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Olympus</w:t>
      </w:r>
      <w:r>
        <w:t xml:space="preserve"> </w:t>
      </w:r>
      <w:r>
        <w:t xml:space="preserve">Corporation</w:t>
      </w:r>
      <w:r>
        <w:t xml:space="preserve"> </w:t>
      </w:r>
      <w:r>
        <w:t xml:space="preserve">(7733</w:t>
      </w:r>
      <w:r>
        <w:t xml:space="preserve"> </w:t>
      </w:r>
      <w:r>
        <w:t xml:space="preserve">JP)</w:t>
      </w:r>
    </w:p>
    <w:p>
      <w:pPr>
        <w:pStyle w:val="Subtitle"/>
      </w:pPr>
      <w:r>
        <w:t xml:space="preserve">Institutional</w:t>
      </w:r>
      <w:r>
        <w:t xml:space="preserve"> </w:t>
      </w:r>
      <w:r>
        <w:t xml:space="preserve">equity</w:t>
      </w:r>
      <w:r>
        <w:t xml:space="preserve"> </w:t>
      </w:r>
      <w:r>
        <w:t xml:space="preserve">research:</w:t>
      </w:r>
      <w:r>
        <w:t xml:space="preserve"> </w:t>
      </w:r>
      <w:r>
        <w:t xml:space="preserve">a</w:t>
      </w:r>
      <w:r>
        <w:t xml:space="preserve"> </w:t>
      </w:r>
      <w:r>
        <w:t xml:space="preserve">70%-share</w:t>
      </w:r>
      <w:r>
        <w:t xml:space="preserve"> </w:t>
      </w:r>
      <w:r>
        <w:t xml:space="preserve">GI</w:t>
      </w:r>
      <w:r>
        <w:t xml:space="preserve"> </w:t>
      </w:r>
      <w:r>
        <w:t xml:space="preserve">endoscopy</w:t>
      </w:r>
      <w:r>
        <w:t xml:space="preserve"> </w:t>
      </w:r>
      <w:r>
        <w:t xml:space="preserve">franchise</w:t>
      </w:r>
      <w:r>
        <w:t xml:space="preserve"> </w:t>
      </w:r>
      <w:r>
        <w:t xml:space="preserve">at</w:t>
      </w:r>
      <w:r>
        <w:t xml:space="preserve"> </w:t>
      </w:r>
      <w:r>
        <w:t xml:space="preserve">a</w:t>
      </w:r>
      <w:r>
        <w:t xml:space="preserve"> </w:t>
      </w:r>
      <w:r>
        <w:t xml:space="preserve">10-year-low</w:t>
      </w:r>
      <w:r>
        <w:t xml:space="preserve"> </w:t>
      </w:r>
      <w:r>
        <w:t xml:space="preserve">multiple,</w:t>
      </w:r>
      <w:r>
        <w:t xml:space="preserve"> </w:t>
      </w:r>
      <w:r>
        <w:t xml:space="preserve">with</w:t>
      </w:r>
      <w:r>
        <w:t xml:space="preserve"> </w:t>
      </w:r>
      <w:r>
        <w:t xml:space="preserve">a</w:t>
      </w:r>
      <w:r>
        <w:t xml:space="preserve"> </w:t>
      </w:r>
      <w:r>
        <w:t xml:space="preserve">Surgical</w:t>
      </w:r>
      <w:r>
        <w:t xml:space="preserve"> </w:t>
      </w:r>
      <w:r>
        <w:t xml:space="preserve">strategic</w:t>
      </w:r>
      <w:r>
        <w:t xml:space="preserve"> </w:t>
      </w:r>
      <w:r>
        <w:t xml:space="preserve">review</w:t>
      </w:r>
      <w:r>
        <w:t xml:space="preserve"> </w:t>
      </w:r>
      <w:r>
        <w:t xml:space="preserve">and</w:t>
      </w:r>
      <w:r>
        <w:t xml:space="preserve"> </w:t>
      </w:r>
      <w:r>
        <w:t xml:space="preserve">FDA</w:t>
      </w:r>
      <w:r>
        <w:t xml:space="preserve"> </w:t>
      </w:r>
      <w:r>
        <w:t xml:space="preserve">remediation</w:t>
      </w:r>
      <w:r>
        <w:t xml:space="preserve"> </w:t>
      </w:r>
      <w:r>
        <w:t xml:space="preserve">as</w:t>
      </w:r>
      <w:r>
        <w:t xml:space="preserve"> </w:t>
      </w:r>
      <w:r>
        <w:t xml:space="preserve">the</w:t>
      </w:r>
      <w:r>
        <w:t xml:space="preserve"> </w:t>
      </w:r>
      <w:r>
        <w:t xml:space="preserve">event</w:t>
      </w:r>
      <w:r>
        <w:t xml:space="preserve"> </w:t>
      </w:r>
      <w:r>
        <w:t xml:space="preserve">path</w:t>
      </w:r>
    </w:p>
    <w:p>
      <w:pPr>
        <w:pStyle w:val="Author"/>
      </w:pPr>
      <w:r>
        <w:t xml:space="preserve">Event-Driven</w:t>
      </w:r>
      <w:r>
        <w:t xml:space="preserve"> </w:t>
      </w:r>
      <w:r>
        <w:t xml:space="preserve">&amp;</w:t>
      </w:r>
      <w:r>
        <w:t xml:space="preserve"> </w:t>
      </w:r>
      <w:r>
        <w:t xml:space="preserve">Special</w:t>
      </w:r>
      <w:r>
        <w:t xml:space="preserve"> </w:t>
      </w:r>
      <w:r>
        <w:t xml:space="preserve">Situations</w:t>
      </w:r>
      <w:r>
        <w:t xml:space="preserve"> </w:t>
      </w:r>
      <w:r>
        <w:t xml:space="preserve">|</w:t>
      </w:r>
      <w:r>
        <w:t xml:space="preserve"> </w:t>
      </w:r>
      <w:r>
        <w:t xml:space="preserve">Equity</w:t>
      </w:r>
      <w:r>
        <w:t xml:space="preserve"> </w:t>
      </w:r>
      <w:r>
        <w:t xml:space="preserve">Research</w:t>
      </w:r>
    </w:p>
    <w:p>
      <w:pPr>
        <w:pStyle w:val="Date"/>
      </w:pPr>
      <w:r>
        <w:t xml:space="preserve">18</w:t>
      </w:r>
      <w:r>
        <w:t xml:space="preserve"> </w:t>
      </w:r>
      <w:r>
        <w:t xml:space="preserve">October</w:t>
      </w:r>
      <w:r>
        <w:t xml:space="preserve"> </w:t>
      </w:r>
      <w:r>
        <w:t xml:space="preserve">2026</w:t>
      </w:r>
      <w:r>
        <w:t xml:space="preserve"> </w:t>
      </w:r>
      <w:r>
        <w:t xml:space="preserve">|</w:t>
      </w:r>
      <w:r>
        <w:t xml:space="preserve"> </w:t>
      </w:r>
      <w:r>
        <w:t xml:space="preserve">Reference</w:t>
      </w:r>
      <w:r>
        <w:t xml:space="preserve"> </w:t>
      </w:r>
      <w:r>
        <w:t xml:space="preserve">price</w:t>
      </w:r>
      <w:r>
        <w:t xml:space="preserve"> </w:t>
      </w:r>
      <w:r>
        <w:t xml:space="preserve">JPY1,690</w:t>
      </w:r>
      <w:r>
        <w:t xml:space="preserve"> </w:t>
      </w:r>
      <w:r>
        <w:t xml:space="preserve">(close</w:t>
      </w:r>
      <w:r>
        <w:t xml:space="preserve"> </w:t>
      </w:r>
      <w:r>
        <w:t xml:space="preserve">16-Oct-2026)</w:t>
      </w:r>
    </w:p>
    <w:bookmarkStart w:id="22" w:name="recommendation-and-key-data"/>
    <w:p>
      <w:pPr>
        <w:pStyle w:val="Heading1"/>
      </w:pPr>
      <w:r>
        <w:t xml:space="preserve">Recommendation and key data</w:t>
      </w:r>
    </w:p>
    <w:p>
      <w:pPr>
        <w:pStyle w:val="FirstParagraph"/>
      </w:pPr>
      <w:r>
        <w:rPr>
          <w:bCs/>
          <w:b/>
        </w:rPr>
        <w:t xml:space="preserve">Recommendation: BUY (event-driven, medium conviction, high event risk). 12-month target price JPY2,350 (+39%); probability-weighted value JPY2,258 (+34%); bear case JPY1,250 (-26%); bull case JPY3,000 (+78%).</w:t>
      </w:r>
      <w:r>
        <w:t xml:space="preserve"> </w:t>
      </w:r>
      <w:r>
        <w:t xml:space="preserve">The upside/downside ratio is about 1.5x to the target and 3.0x to the bull case. We would build the position in two steps: a starter now, and an add once Olympus’s response to the FDA Warning Letter (due in early November 2026) and the 2Q results show that the letter is not escalating.</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806"/>
        <w:gridCol w:w="1836"/>
        <w:gridCol w:w="2951"/>
        <w:gridCol w:w="2383"/>
      </w:tblGrid>
      <w:tr>
        <w:trPr>
          <w:tblHeader w:val="true"/>
          <w:tblHeader w:val="true"/>
          <w:cantSplit/>
        </w:trPr>
        <w:tc>
          <w:tcPr>
            <w:tcW w:type="dxa" w:w="2807"/>
            <w:shd w:val="clear" w:color="auto" w:fill="13213F"/>
          </w:tcPr>
          <w:p>
            <w:pPr>
              <w:pStyle w:val="Compact"/>
              <w:spacing w:after="0" w:before="0" w:line="240" w:lineRule="auto"/>
              <w:jc w:val="left"/>
            </w:pPr>
            <w:r>
              <w:rPr>
                <w:rFonts w:ascii="Arial" w:hAnsi="Arial"/>
                <w:b/>
                <w:color w:val="FFFFFF"/>
                <w:sz w:val="15"/>
              </w:rPr>
              <w:t xml:space="preserve">Item</w:t>
            </w:r>
          </w:p>
        </w:tc>
        <w:tc>
          <w:tcPr>
            <w:tcW w:type="dxa" w:w="1836"/>
            <w:shd w:val="clear" w:color="auto" w:fill="13213F"/>
          </w:tcPr>
          <w:p>
            <w:pPr>
              <w:pStyle w:val="Compact"/>
              <w:spacing w:after="0" w:before="0" w:line="240" w:lineRule="auto"/>
              <w:jc w:val="right"/>
            </w:pPr>
            <w:r>
              <w:rPr>
                <w:rFonts w:ascii="Arial" w:hAnsi="Arial"/>
                <w:b/>
                <w:color w:val="FFFFFF"/>
                <w:sz w:val="15"/>
              </w:rPr>
              <w:t xml:space="preserve">Value</w:t>
            </w:r>
          </w:p>
        </w:tc>
        <w:tc>
          <w:tcPr>
            <w:tcW w:type="dxa" w:w="2951"/>
            <w:shd w:val="clear" w:color="auto" w:fill="13213F"/>
          </w:tcPr>
          <w:p>
            <w:pPr>
              <w:pStyle w:val="Compact"/>
              <w:spacing w:after="0" w:before="0" w:line="240" w:lineRule="auto"/>
              <w:jc w:val="left"/>
            </w:pPr>
            <w:r>
              <w:rPr>
                <w:rFonts w:ascii="Arial" w:hAnsi="Arial"/>
                <w:b/>
                <w:color w:val="FFFFFF"/>
                <w:sz w:val="15"/>
              </w:rPr>
              <w:t xml:space="preserve">Item</w:t>
            </w:r>
          </w:p>
        </w:tc>
        <w:tc>
          <w:tcPr>
            <w:tcW w:type="dxa" w:w="2383"/>
            <w:shd w:val="clear" w:color="auto" w:fill="13213F"/>
          </w:tcPr>
          <w:p>
            <w:pPr>
              <w:pStyle w:val="Compact"/>
              <w:spacing w:after="0" w:before="0" w:line="240" w:lineRule="auto"/>
              <w:jc w:val="right"/>
            </w:pPr>
            <w:r>
              <w:rPr>
                <w:rFonts w:ascii="Arial" w:hAnsi="Arial"/>
                <w:b/>
                <w:color w:val="FFFFFF"/>
                <w:sz w:val="15"/>
              </w:rPr>
              <w:t xml:space="preserve">Value</w:t>
            </w:r>
          </w:p>
        </w:tc>
      </w:tr>
      <w:tr>
        <w:trPr>
          <w:cantSplit/>
        </w:trPr>
        <w:tc>
          <w:tcPr>
            <w:tcW w:type="dxa" w:w="2807"/>
          </w:tcPr>
          <w:p>
            <w:pPr>
              <w:pStyle w:val="Compact"/>
              <w:spacing w:after="0" w:before="0" w:line="240" w:lineRule="auto"/>
              <w:jc w:val="left"/>
            </w:pPr>
            <w:r>
              <w:rPr>
                <w:rFonts w:ascii="Arial" w:hAnsi="Arial"/>
                <w:sz w:val="15"/>
              </w:rPr>
              <w:t xml:space="preserve">Share price (16-Oct-2026)</w:t>
            </w:r>
          </w:p>
        </w:tc>
        <w:tc>
          <w:tcPr>
            <w:tcW w:type="dxa" w:w="1836"/>
          </w:tcPr>
          <w:p>
            <w:pPr>
              <w:pStyle w:val="Compact"/>
              <w:spacing w:after="0" w:before="0" w:line="240" w:lineRule="auto"/>
              <w:jc w:val="right"/>
            </w:pPr>
            <w:r>
              <w:rPr>
                <w:rFonts w:ascii="Arial" w:hAnsi="Arial"/>
                <w:sz w:val="15"/>
              </w:rPr>
              <w:t xml:space="preserve">JPY1,690</w:t>
            </w:r>
          </w:p>
        </w:tc>
        <w:tc>
          <w:tcPr>
            <w:tcW w:type="dxa" w:w="2951"/>
          </w:tcPr>
          <w:p>
            <w:pPr>
              <w:pStyle w:val="Compact"/>
              <w:spacing w:after="0" w:before="0" w:line="240" w:lineRule="auto"/>
              <w:jc w:val="left"/>
            </w:pPr>
            <w:r>
              <w:rPr>
                <w:rFonts w:ascii="Arial" w:hAnsi="Arial"/>
                <w:sz w:val="15"/>
              </w:rPr>
              <w:t xml:space="preserve">52-week closing range</w:t>
            </w:r>
          </w:p>
        </w:tc>
        <w:tc>
          <w:tcPr>
            <w:tcW w:type="dxa" w:w="2383"/>
          </w:tcPr>
          <w:p>
            <w:pPr>
              <w:pStyle w:val="Compact"/>
              <w:spacing w:after="0" w:before="0" w:line="240" w:lineRule="auto"/>
              <w:jc w:val="right"/>
            </w:pPr>
            <w:r>
              <w:rPr>
                <w:rFonts w:ascii="Arial" w:hAnsi="Arial"/>
                <w:sz w:val="15"/>
              </w:rPr>
              <w:t xml:space="preserve">JPY1,310–2,187</w:t>
            </w:r>
          </w:p>
        </w:tc>
      </w:tr>
      <w:tr>
        <w:trPr>
          <w:cantSplit/>
        </w:trPr>
        <w:tc>
          <w:tcPr>
            <w:tcW w:type="dxa" w:w="2807"/>
            <w:shd w:val="clear" w:color="auto" w:fill="F1F2F5"/>
          </w:tcPr>
          <w:p>
            <w:pPr>
              <w:pStyle w:val="Compact"/>
              <w:spacing w:after="0" w:before="0" w:line="240" w:lineRule="auto"/>
              <w:jc w:val="left"/>
            </w:pPr>
            <w:r>
              <w:rPr>
                <w:rFonts w:ascii="Arial" w:hAnsi="Arial"/>
                <w:sz w:val="15"/>
              </w:rPr>
              <w:t xml:space="preserve">Shares outstanding (ex-treasury)</w:t>
            </w:r>
          </w:p>
        </w:tc>
        <w:tc>
          <w:tcPr>
            <w:tcW w:type="dxa" w:w="1836"/>
            <w:shd w:val="clear" w:color="auto" w:fill="F1F2F5"/>
          </w:tcPr>
          <w:p>
            <w:pPr>
              <w:pStyle w:val="Compact"/>
              <w:spacing w:after="0" w:before="0" w:line="240" w:lineRule="auto"/>
              <w:jc w:val="right"/>
            </w:pPr>
            <w:r>
              <w:rPr>
                <w:rFonts w:ascii="Arial" w:hAnsi="Arial"/>
                <w:sz w:val="15"/>
              </w:rPr>
              <w:t xml:space="preserve">1,062.8m</w:t>
            </w:r>
          </w:p>
        </w:tc>
        <w:tc>
          <w:tcPr>
            <w:tcW w:type="dxa" w:w="2951"/>
            <w:shd w:val="clear" w:color="auto" w:fill="F1F2F5"/>
          </w:tcPr>
          <w:p>
            <w:pPr>
              <w:pStyle w:val="Compact"/>
              <w:spacing w:after="0" w:before="0" w:line="240" w:lineRule="auto"/>
              <w:jc w:val="left"/>
            </w:pPr>
            <w:r>
              <w:rPr>
                <w:rFonts w:ascii="Arial" w:hAnsi="Arial"/>
                <w:sz w:val="15"/>
              </w:rPr>
              <w:t xml:space="preserve">Market cap</w:t>
            </w:r>
          </w:p>
        </w:tc>
        <w:tc>
          <w:tcPr>
            <w:tcW w:type="dxa" w:w="2383"/>
            <w:shd w:val="clear" w:color="auto" w:fill="F1F2F5"/>
          </w:tcPr>
          <w:p>
            <w:pPr>
              <w:pStyle w:val="Compact"/>
              <w:spacing w:after="0" w:before="0" w:line="240" w:lineRule="auto"/>
              <w:jc w:val="right"/>
            </w:pPr>
            <w:r>
              <w:rPr>
                <w:rFonts w:ascii="Arial" w:hAnsi="Arial"/>
                <w:sz w:val="15"/>
              </w:rPr>
              <w:t xml:space="preserve">JPY1,796bn / US$11.4bn</w:t>
            </w:r>
          </w:p>
        </w:tc>
      </w:tr>
      <w:tr>
        <w:trPr>
          <w:cantSplit/>
        </w:trPr>
        <w:tc>
          <w:tcPr>
            <w:tcW w:type="dxa" w:w="2807"/>
          </w:tcPr>
          <w:p>
            <w:pPr>
              <w:pStyle w:val="Compact"/>
              <w:spacing w:after="0" w:before="0" w:line="240" w:lineRule="auto"/>
              <w:jc w:val="left"/>
            </w:pPr>
            <w:r>
              <w:rPr>
                <w:rFonts w:ascii="Arial" w:hAnsi="Arial"/>
                <w:sz w:val="15"/>
              </w:rPr>
              <w:t xml:space="preserve">Bonds + borrowings less cash (Jun-26)</w:t>
            </w:r>
          </w:p>
        </w:tc>
        <w:tc>
          <w:tcPr>
            <w:tcW w:type="dxa" w:w="1836"/>
          </w:tcPr>
          <w:p>
            <w:pPr>
              <w:pStyle w:val="Compact"/>
              <w:spacing w:after="0" w:before="0" w:line="240" w:lineRule="auto"/>
              <w:jc w:val="right"/>
            </w:pPr>
            <w:r>
              <w:rPr>
                <w:rFonts w:ascii="Arial" w:hAnsi="Arial"/>
                <w:sz w:val="15"/>
              </w:rPr>
              <w:t xml:space="preserve">JPY200bn</w:t>
            </w:r>
          </w:p>
        </w:tc>
        <w:tc>
          <w:tcPr>
            <w:tcW w:type="dxa" w:w="2951"/>
          </w:tcPr>
          <w:p>
            <w:pPr>
              <w:pStyle w:val="Compact"/>
              <w:spacing w:after="0" w:before="0" w:line="240" w:lineRule="auto"/>
              <w:jc w:val="left"/>
            </w:pPr>
            <w:r>
              <w:rPr>
                <w:rFonts w:ascii="Arial" w:hAnsi="Arial"/>
                <w:sz w:val="15"/>
              </w:rPr>
              <w:t xml:space="preserve">TEV (S&amp;P Capital IQ)</w:t>
            </w:r>
          </w:p>
        </w:tc>
        <w:tc>
          <w:tcPr>
            <w:tcW w:type="dxa" w:w="2383"/>
          </w:tcPr>
          <w:p>
            <w:pPr>
              <w:pStyle w:val="Compact"/>
              <w:spacing w:after="0" w:before="0" w:line="240" w:lineRule="auto"/>
              <w:jc w:val="right"/>
            </w:pPr>
            <w:r>
              <w:rPr>
                <w:rFonts w:ascii="Arial" w:hAnsi="Arial"/>
                <w:sz w:val="15"/>
              </w:rPr>
              <w:t xml:space="preserve">JPY1,996bn / US$12.6bn</w:t>
            </w:r>
          </w:p>
        </w:tc>
      </w:tr>
      <w:tr>
        <w:trPr>
          <w:cantSplit/>
        </w:trPr>
        <w:tc>
          <w:tcPr>
            <w:tcW w:type="dxa" w:w="2807"/>
            <w:shd w:val="clear" w:color="auto" w:fill="F1F2F5"/>
          </w:tcPr>
          <w:p>
            <w:pPr>
              <w:pStyle w:val="Compact"/>
              <w:spacing w:after="0" w:before="0" w:line="240" w:lineRule="auto"/>
              <w:jc w:val="left"/>
            </w:pPr>
            <w:r>
              <w:rPr>
                <w:rFonts w:ascii="Arial" w:hAnsi="Arial"/>
                <w:sz w:val="15"/>
              </w:rPr>
              <w:t xml:space="preserve">TEV / LTM EBITDA (CIQ)</w:t>
            </w:r>
          </w:p>
        </w:tc>
        <w:tc>
          <w:tcPr>
            <w:tcW w:type="dxa" w:w="1836"/>
            <w:shd w:val="clear" w:color="auto" w:fill="F1F2F5"/>
          </w:tcPr>
          <w:p>
            <w:pPr>
              <w:pStyle w:val="Compact"/>
              <w:spacing w:after="0" w:before="0" w:line="240" w:lineRule="auto"/>
              <w:jc w:val="right"/>
            </w:pPr>
            <w:r>
              <w:rPr>
                <w:rFonts w:ascii="Arial" w:hAnsi="Arial"/>
                <w:sz w:val="15"/>
              </w:rPr>
              <w:t xml:space="preserve">9.35x</w:t>
            </w:r>
          </w:p>
        </w:tc>
        <w:tc>
          <w:tcPr>
            <w:tcW w:type="dxa" w:w="2951"/>
            <w:shd w:val="clear" w:color="auto" w:fill="F1F2F5"/>
          </w:tcPr>
          <w:p>
            <w:pPr>
              <w:pStyle w:val="Compact"/>
              <w:spacing w:after="0" w:before="0" w:line="240" w:lineRule="auto"/>
              <w:jc w:val="left"/>
            </w:pPr>
            <w:r>
              <w:rPr>
                <w:rFonts w:ascii="Arial" w:hAnsi="Arial"/>
                <w:sz w:val="15"/>
              </w:rPr>
              <w:t xml:space="preserve">TEV / FY3/27E EBITDA (ours)</w:t>
            </w:r>
          </w:p>
        </w:tc>
        <w:tc>
          <w:tcPr>
            <w:tcW w:type="dxa" w:w="2383"/>
            <w:shd w:val="clear" w:color="auto" w:fill="F1F2F5"/>
          </w:tcPr>
          <w:p>
            <w:pPr>
              <w:pStyle w:val="Compact"/>
              <w:spacing w:after="0" w:before="0" w:line="240" w:lineRule="auto"/>
              <w:jc w:val="right"/>
            </w:pPr>
            <w:r>
              <w:rPr>
                <w:rFonts w:ascii="Arial" w:hAnsi="Arial"/>
                <w:sz w:val="15"/>
              </w:rPr>
              <w:t xml:space="preserve">9.2x</w:t>
            </w:r>
          </w:p>
        </w:tc>
      </w:tr>
      <w:tr>
        <w:trPr>
          <w:cantSplit/>
        </w:trPr>
        <w:tc>
          <w:tcPr>
            <w:tcW w:type="dxa" w:w="2807"/>
          </w:tcPr>
          <w:p>
            <w:pPr>
              <w:pStyle w:val="Compact"/>
              <w:spacing w:after="0" w:before="0" w:line="240" w:lineRule="auto"/>
              <w:jc w:val="left"/>
            </w:pPr>
            <w:r>
              <w:rPr>
                <w:rFonts w:ascii="Arial" w:hAnsi="Arial"/>
                <w:sz w:val="15"/>
              </w:rPr>
              <w:t xml:space="preserve">P/E FY3/27E / FY3/28E (ours)</w:t>
            </w:r>
          </w:p>
        </w:tc>
        <w:tc>
          <w:tcPr>
            <w:tcW w:type="dxa" w:w="1836"/>
          </w:tcPr>
          <w:p>
            <w:pPr>
              <w:pStyle w:val="Compact"/>
              <w:spacing w:after="0" w:before="0" w:line="240" w:lineRule="auto"/>
              <w:jc w:val="right"/>
            </w:pPr>
            <w:r>
              <w:rPr>
                <w:rFonts w:ascii="Arial" w:hAnsi="Arial"/>
                <w:sz w:val="15"/>
              </w:rPr>
              <w:t xml:space="preserve">18.2x / 14.8x</w:t>
            </w:r>
          </w:p>
        </w:tc>
        <w:tc>
          <w:tcPr>
            <w:tcW w:type="dxa" w:w="2951"/>
          </w:tcPr>
          <w:p>
            <w:pPr>
              <w:pStyle w:val="Compact"/>
              <w:spacing w:after="0" w:before="0" w:line="240" w:lineRule="auto"/>
              <w:jc w:val="left"/>
            </w:pPr>
            <w:r>
              <w:rPr>
                <w:rFonts w:ascii="Arial" w:hAnsi="Arial"/>
                <w:sz w:val="15"/>
              </w:rPr>
              <w:t xml:space="preserve">P/B (LTM)</w:t>
            </w:r>
          </w:p>
        </w:tc>
        <w:tc>
          <w:tcPr>
            <w:tcW w:type="dxa" w:w="2383"/>
          </w:tcPr>
          <w:p>
            <w:pPr>
              <w:pStyle w:val="Compact"/>
              <w:spacing w:after="0" w:before="0" w:line="240" w:lineRule="auto"/>
              <w:jc w:val="right"/>
            </w:pPr>
            <w:r>
              <w:rPr>
                <w:rFonts w:ascii="Arial" w:hAnsi="Arial"/>
                <w:sz w:val="15"/>
              </w:rPr>
              <w:t xml:space="preserve">2.40x</w:t>
            </w:r>
          </w:p>
        </w:tc>
      </w:tr>
      <w:tr>
        <w:trPr>
          <w:cantSplit/>
        </w:trPr>
        <w:tc>
          <w:tcPr>
            <w:tcW w:type="dxa" w:w="2807"/>
            <w:shd w:val="clear" w:color="auto" w:fill="F1F2F5"/>
          </w:tcPr>
          <w:p>
            <w:pPr>
              <w:pStyle w:val="Compact"/>
              <w:spacing w:after="0" w:before="0" w:line="240" w:lineRule="auto"/>
              <w:jc w:val="left"/>
            </w:pPr>
            <w:r>
              <w:rPr>
                <w:rFonts w:ascii="Arial" w:hAnsi="Arial"/>
                <w:sz w:val="15"/>
              </w:rPr>
              <w:t xml:space="preserve">Leverage (net debt / LTM EBITDA)</w:t>
            </w:r>
          </w:p>
        </w:tc>
        <w:tc>
          <w:tcPr>
            <w:tcW w:type="dxa" w:w="1836"/>
            <w:shd w:val="clear" w:color="auto" w:fill="F1F2F5"/>
          </w:tcPr>
          <w:p>
            <w:pPr>
              <w:pStyle w:val="Compact"/>
              <w:spacing w:after="0" w:before="0" w:line="240" w:lineRule="auto"/>
              <w:jc w:val="right"/>
            </w:pPr>
            <w:r>
              <w:rPr>
                <w:rFonts w:ascii="Arial" w:hAnsi="Arial"/>
                <w:sz w:val="15"/>
              </w:rPr>
              <w:t xml:space="preserve">0.92x</w:t>
            </w:r>
          </w:p>
        </w:tc>
        <w:tc>
          <w:tcPr>
            <w:tcW w:type="dxa" w:w="2951"/>
            <w:shd w:val="clear" w:color="auto" w:fill="F1F2F5"/>
          </w:tcPr>
          <w:p>
            <w:pPr>
              <w:pStyle w:val="Compact"/>
              <w:spacing w:after="0" w:before="0" w:line="240" w:lineRule="auto"/>
              <w:jc w:val="left"/>
            </w:pPr>
            <w:r>
              <w:rPr>
                <w:rFonts w:ascii="Arial" w:hAnsi="Arial"/>
                <w:sz w:val="15"/>
              </w:rPr>
              <w:t xml:space="preserve">FY3/27E DPS / yield</w:t>
            </w:r>
          </w:p>
        </w:tc>
        <w:tc>
          <w:tcPr>
            <w:tcW w:type="dxa" w:w="2383"/>
            <w:shd w:val="clear" w:color="auto" w:fill="F1F2F5"/>
          </w:tcPr>
          <w:p>
            <w:pPr>
              <w:pStyle w:val="Compact"/>
              <w:spacing w:after="0" w:before="0" w:line="240" w:lineRule="auto"/>
              <w:jc w:val="right"/>
            </w:pPr>
            <w:r>
              <w:rPr>
                <w:rFonts w:ascii="Arial" w:hAnsi="Arial"/>
                <w:sz w:val="15"/>
              </w:rPr>
              <w:t xml:space="preserve">JPY30 / 1.8%</w:t>
            </w:r>
          </w:p>
        </w:tc>
      </w:tr>
      <w:tr>
        <w:trPr>
          <w:cantSplit/>
        </w:trPr>
        <w:tc>
          <w:tcPr>
            <w:tcW w:type="dxa" w:w="2807"/>
          </w:tcPr>
          <w:p>
            <w:pPr>
              <w:pStyle w:val="Compact"/>
              <w:spacing w:after="0" w:before="0" w:line="240" w:lineRule="auto"/>
              <w:jc w:val="left"/>
            </w:pPr>
            <w:r>
              <w:rPr>
                <w:rFonts w:ascii="Arial" w:hAnsi="Arial"/>
                <w:sz w:val="15"/>
              </w:rPr>
              <w:t xml:space="preserve">Largest disclosed beneficial holder</w:t>
            </w:r>
          </w:p>
        </w:tc>
        <w:tc>
          <w:tcPr>
            <w:tcW w:type="dxa" w:w="1836"/>
          </w:tcPr>
          <w:p>
            <w:pPr>
              <w:pStyle w:val="Compact"/>
              <w:spacing w:after="0" w:before="0" w:line="240" w:lineRule="auto"/>
              <w:jc w:val="right"/>
            </w:pPr>
            <w:r>
              <w:rPr>
                <w:rFonts w:ascii="Arial" w:hAnsi="Arial"/>
                <w:sz w:val="15"/>
              </w:rPr>
              <w:t xml:space="preserve">Artisan Partners 5.63% (Jul-26)</w:t>
            </w:r>
          </w:p>
        </w:tc>
        <w:tc>
          <w:tcPr>
            <w:tcW w:type="dxa" w:w="2951"/>
          </w:tcPr>
          <w:p>
            <w:pPr>
              <w:pStyle w:val="Compact"/>
              <w:spacing w:after="0" w:before="0" w:line="240" w:lineRule="auto"/>
              <w:jc w:val="left"/>
            </w:pPr>
            <w:r>
              <w:rPr>
                <w:rFonts w:ascii="Arial" w:hAnsi="Arial"/>
                <w:sz w:val="15"/>
              </w:rPr>
              <w:t xml:space="preserve">ValueAct-linked director</w:t>
            </w:r>
          </w:p>
        </w:tc>
        <w:tc>
          <w:tcPr>
            <w:tcW w:type="dxa" w:w="2383"/>
          </w:tcPr>
          <w:p>
            <w:pPr>
              <w:pStyle w:val="Compact"/>
              <w:spacing w:after="0" w:before="0" w:line="240" w:lineRule="auto"/>
              <w:jc w:val="right"/>
            </w:pPr>
            <w:r>
              <w:rPr>
                <w:rFonts w:ascii="Arial" w:hAnsi="Arial"/>
                <w:sz w:val="15"/>
              </w:rPr>
              <w:t xml:space="preserve">Rob Hale (on board since 2019)</w:t>
            </w:r>
          </w:p>
        </w:tc>
      </w:tr>
      <w:tr>
        <w:trPr>
          <w:cantSplit/>
        </w:trPr>
        <w:tc>
          <w:tcPr>
            <w:tcW w:type="dxa" w:w="2807"/>
            <w:shd w:val="clear" w:color="auto" w:fill="F1F2F5"/>
          </w:tcPr>
          <w:p>
            <w:pPr>
              <w:pStyle w:val="Compact"/>
              <w:spacing w:after="0" w:before="0" w:line="240" w:lineRule="auto"/>
              <w:jc w:val="left"/>
            </w:pPr>
            <w:r>
              <w:rPr>
                <w:rFonts w:ascii="Arial" w:hAnsi="Arial"/>
                <w:sz w:val="15"/>
              </w:rPr>
              <w:t xml:space="preserve">Consensus target (13 analysts)</w:t>
            </w:r>
          </w:p>
        </w:tc>
        <w:tc>
          <w:tcPr>
            <w:tcW w:type="dxa" w:w="1836"/>
            <w:shd w:val="clear" w:color="auto" w:fill="F1F2F5"/>
          </w:tcPr>
          <w:p>
            <w:pPr>
              <w:pStyle w:val="Compact"/>
              <w:spacing w:after="0" w:before="0" w:line="240" w:lineRule="auto"/>
              <w:jc w:val="right"/>
            </w:pPr>
            <w:r>
              <w:rPr>
                <w:rFonts w:ascii="Arial" w:hAnsi="Arial"/>
                <w:sz w:val="15"/>
              </w:rPr>
              <w:t xml:space="preserve">JPY2,123 mean / JPY1,910 median</w:t>
            </w:r>
          </w:p>
        </w:tc>
        <w:tc>
          <w:tcPr>
            <w:tcW w:type="dxa" w:w="2951"/>
            <w:shd w:val="clear" w:color="auto" w:fill="F1F2F5"/>
          </w:tcPr>
          <w:p>
            <w:pPr>
              <w:pStyle w:val="Compact"/>
              <w:spacing w:after="0" w:before="0" w:line="240" w:lineRule="auto"/>
              <w:jc w:val="left"/>
            </w:pPr>
            <w:r>
              <w:rPr>
                <w:rFonts w:ascii="Arial" w:hAnsi="Arial"/>
                <w:sz w:val="15"/>
              </w:rPr>
              <w:t xml:space="preserve">Ratings (Buy+Outperform / Hold / Underperform)</w:t>
            </w:r>
          </w:p>
        </w:tc>
        <w:tc>
          <w:tcPr>
            <w:tcW w:type="dxa" w:w="2383"/>
            <w:shd w:val="clear" w:color="auto" w:fill="F1F2F5"/>
          </w:tcPr>
          <w:p>
            <w:pPr>
              <w:pStyle w:val="Compact"/>
              <w:spacing w:after="0" w:before="0" w:line="240" w:lineRule="auto"/>
              <w:jc w:val="right"/>
            </w:pPr>
            <w:r>
              <w:rPr>
                <w:rFonts w:ascii="Arial" w:hAnsi="Arial"/>
                <w:sz w:val="15"/>
              </w:rPr>
              <w:t xml:space="preserve">4 / 9 / 1</w:t>
            </w:r>
          </w:p>
        </w:tc>
      </w:tr>
    </w:tbl>
    <w:p>
      <w:pPr>
        <w:pStyle w:val="BodyText"/>
      </w:pPr>
      <w:r>
        <w:rPr>
          <w:iCs/>
          <w:i/>
        </w:rPr>
        <w:t xml:space="preserve">Sources: S&amp;P Capital IQ (prices, financials, estimates, multiples, key developments, transcripts), Olympus tanshin, securities reports and integrated reports via the CapIQ document viewer, TSE disclosures, and web sources cited in the text. [u] = unverified (single secondary source or search summary); [e] = our estimate; n/d = not disclosed. US$ at JPY158/US$ (CIQ, 18-Oct-2026). Fiscal year ends 31 March:</w:t>
      </w:r>
      <w:r>
        <w:rPr>
          <w:iCs/>
          <w:i/>
        </w:rPr>
        <w:t xml:space="preserve"> </w:t>
      </w:r>
      <w:r>
        <w:rPr>
          <w:iCs/>
          <w:i/>
        </w:rPr>
        <w:t xml:space="preserve">“</w:t>
      </w:r>
      <w:r>
        <w:rPr>
          <w:iCs/>
          <w:i/>
        </w:rPr>
        <w:t xml:space="preserve">FY3/27</w:t>
      </w:r>
      <w:r>
        <w:rPr>
          <w:iCs/>
          <w:i/>
        </w:rPr>
        <w:t xml:space="preserve">”</w:t>
      </w:r>
      <w:r>
        <w:rPr>
          <w:iCs/>
          <w:i/>
        </w:rPr>
        <w:t xml:space="preserve"> </w:t>
      </w:r>
      <w:r>
        <w:rPr>
          <w:iCs/>
          <w:i/>
        </w:rPr>
        <w:t xml:space="preserve">= April 2026 to March 2027. ProntoNLP was not connected in this session, so sentiment is scored from S&amp;P transcripts with a Loughran-McDonald-style dictionary.</w:t>
      </w:r>
    </w:p>
    <w:bookmarkStart w:id="20" w:name="investment-summary"/>
    <w:p>
      <w:pPr>
        <w:pStyle w:val="Heading2"/>
      </w:pPr>
      <w:r>
        <w:t xml:space="preserve">Investment summary</w:t>
      </w:r>
    </w:p>
    <w:p>
      <w:pPr>
        <w:numPr>
          <w:ilvl w:val="0"/>
          <w:numId w:val="1001"/>
        </w:numPr>
        <w:pStyle w:val="Compact"/>
      </w:pPr>
      <w:r>
        <w:rPr>
          <w:bCs/>
          <w:b/>
        </w:rPr>
        <w:t xml:space="preserve">The market is pricing a quality-system failure, not a broken franchise.</w:t>
      </w:r>
      <w:r>
        <w:t xml:space="preserve"> </w:t>
      </w:r>
      <w:r>
        <w:t xml:space="preserve">The shares fell 16.8% in three sessions (JPY2,032 to JPY1,690) after Olympus disclosed, on 13-Oct-2026, an FDA Warning Letter covering six manufacturing sites. The letter criticises the adequacy of Olympus’s responses to inspection findings (</w:t>
      </w:r>
      <w:r>
        <w:t xml:space="preserve">“</w:t>
      </w:r>
      <w:r>
        <w:t xml:space="preserve">Form 483s</w:t>
      </w:r>
      <w:r>
        <w:t xml:space="preserve">”</w:t>
      </w:r>
      <w:r>
        <w:t xml:space="preserve">) from late 2025. It does not restrict production, sales or new 510(k) clearances, and it requires no recall. At JPY1,690 Olympus trades on</w:t>
      </w:r>
      <w:r>
        <w:t xml:space="preserve"> </w:t>
      </w:r>
      <w:r>
        <w:rPr>
          <w:bCs/>
          <w:b/>
        </w:rPr>
        <w:t xml:space="preserve">9.35x LTM EBITDA and 1.91x sales</w:t>
      </w:r>
      <w:r>
        <w:t xml:space="preserve">. That is the</w:t>
      </w:r>
      <w:r>
        <w:t xml:space="preserve"> </w:t>
      </w:r>
      <w:r>
        <w:rPr>
          <w:bCs/>
          <w:b/>
        </w:rPr>
        <w:t xml:space="preserve">6th percentile of its own 10-year range</w:t>
      </w:r>
      <w:r>
        <w:t xml:space="preserve"> </w:t>
      </w:r>
      <w:r>
        <w:t xml:space="preserve">(10-year average 13.7x) and a 32% discount to the median of 33 listed medtech peers (13.7x). Yet its EBIT margin (14.4%) and growth (7.8%) are close to the peer median.</w:t>
      </w:r>
    </w:p>
    <w:p>
      <w:pPr>
        <w:numPr>
          <w:ilvl w:val="0"/>
          <w:numId w:val="1001"/>
        </w:numPr>
        <w:pStyle w:val="Compact"/>
      </w:pPr>
      <w:r>
        <w:rPr>
          <w:bCs/>
          <w:b/>
        </w:rPr>
        <w:t xml:space="preserve">GIS is a high-quality monopoly-like asset. SIS is sub-scale and loss-making.</w:t>
      </w:r>
      <w:r>
        <w:t xml:space="preserve"> </w:t>
      </w:r>
      <w:r>
        <w:t xml:space="preserve">Gastrointestinal Solutions (GIS, 69% of sales) earned a 19.6% IFRS operating margin in FY3/26 (25.4% in FY3/25), on a roughly 70% global share of flexible GI endoscopy [u] and a ~30% recurring service mix. Surgical &amp; Interventional Solutions (SIS, 31%) lost JPY15bn on JPY313bn of sales.</w:t>
      </w:r>
      <w:r>
        <w:t xml:space="preserve"> </w:t>
      </w:r>
      <w:r>
        <w:rPr>
          <w:bCs/>
          <w:b/>
        </w:rPr>
        <w:t xml:space="preserve">On 12-May-2026 management launched a strategic review of</w:t>
      </w:r>
      <w:r>
        <w:rPr>
          <w:bCs/>
          <w:b/>
        </w:rPr>
        <w:t xml:space="preserve"> </w:t>
      </w:r>
      <w:r>
        <w:rPr>
          <w:bCs/>
          <w:b/>
        </w:rPr>
        <w:t xml:space="preserve">“</w:t>
      </w:r>
      <w:r>
        <w:rPr>
          <w:bCs/>
          <w:b/>
        </w:rPr>
        <w:t xml:space="preserve">Surgical</w:t>
      </w:r>
      <w:r>
        <w:rPr>
          <w:bCs/>
          <w:b/>
        </w:rPr>
        <w:t xml:space="preserve">”</w:t>
      </w:r>
      <w:r>
        <w:rPr>
          <w:bCs/>
          <w:b/>
        </w:rPr>
        <w:t xml:space="preserve"> </w:t>
      </w:r>
      <w:r>
        <w:rPr>
          <w:bCs/>
          <w:b/>
        </w:rPr>
        <w:t xml:space="preserve">in which</w:t>
      </w:r>
      <w:r>
        <w:rPr>
          <w:bCs/>
          <w:b/>
        </w:rPr>
        <w:t xml:space="preserve"> </w:t>
      </w:r>
      <w:r>
        <w:rPr>
          <w:bCs/>
          <w:b/>
        </w:rPr>
        <w:t xml:space="preserve">“</w:t>
      </w:r>
      <w:r>
        <w:rPr>
          <w:bCs/>
          <w:b/>
        </w:rPr>
        <w:t xml:space="preserve">nothing is off the table</w:t>
      </w:r>
      <w:r>
        <w:rPr>
          <w:bCs/>
          <w:b/>
        </w:rPr>
        <w:t xml:space="preserve">”</w:t>
      </w:r>
      <w:r>
        <w:rPr>
          <w:bCs/>
          <w:b/>
        </w:rPr>
        <w:t xml:space="preserve">.</w:t>
      </w:r>
      <w:r>
        <w:t xml:space="preserve"> </w:t>
      </w:r>
      <w:r>
        <w:t xml:space="preserve">Our base case values GIS at 12x FY3/27E EBITDA and SIS at 1.2x sales. That sum-of-the-parts gives</w:t>
      </w:r>
      <w:r>
        <w:t xml:space="preserve"> </w:t>
      </w:r>
      <w:r>
        <w:rPr>
          <w:bCs/>
          <w:b/>
        </w:rPr>
        <w:t xml:space="preserve">JPY2,389 per share</w:t>
      </w:r>
      <w:r>
        <w:t xml:space="preserve">.</w:t>
      </w:r>
    </w:p>
    <w:p>
      <w:pPr>
        <w:numPr>
          <w:ilvl w:val="0"/>
          <w:numId w:val="1001"/>
        </w:numPr>
        <w:pStyle w:val="Compact"/>
      </w:pPr>
      <w:r>
        <w:rPr>
          <w:bCs/>
          <w:b/>
        </w:rPr>
        <w:t xml:space="preserve">The earnings trough is behind us.</w:t>
      </w:r>
      <w:r>
        <w:t xml:space="preserve"> </w:t>
      </w:r>
      <w:r>
        <w:t xml:space="preserve">Adjusted OP (before other income and expenses) fell to JPY143bn (14.2% margin) in FY3/26. The causes were ~JPY25bn of US tariffs, ~JPY30bn of FDA import-alert and ship-hold losses, and remediation costs. 1Q FY3/27 adjusted OP more than doubled to JPY30.7bn (12.8%, +6.4pp) on revenue of +16% reported (~+5% constant currency). SG&amp;A fell from 59% to 52% of sales after ~2,000 job cuts, which are worth ~JPY24bn a year. CEO Bob White (ex-Medtronic) has set a</w:t>
      </w:r>
      <w:r>
        <w:t xml:space="preserve"> </w:t>
      </w:r>
      <w:r>
        <w:t xml:space="preserve">“</w:t>
      </w:r>
      <w:r>
        <w:t xml:space="preserve">3-4-5</w:t>
      </w:r>
      <w:r>
        <w:t xml:space="preserve">”</w:t>
      </w:r>
      <w:r>
        <w:t xml:space="preserve"> </w:t>
      </w:r>
      <w:r>
        <w:t xml:space="preserve">plan: 3%, 4% and 5% constant-currency growth in FY3/27–29, with 100bp+ of margin expansion a year towards a 20%+ operating margin.</w:t>
      </w:r>
    </w:p>
    <w:p>
      <w:pPr>
        <w:numPr>
          <w:ilvl w:val="0"/>
          <w:numId w:val="1001"/>
        </w:numPr>
        <w:pStyle w:val="Compact"/>
      </w:pPr>
      <w:r>
        <w:rPr>
          <w:bCs/>
          <w:b/>
        </w:rPr>
        <w:t xml:space="preserve">Capital allocation is shareholder-aligned, but leverage is rising.</w:t>
      </w:r>
      <w:r>
        <w:t xml:space="preserve"> </w:t>
      </w:r>
      <w:r>
        <w:t xml:space="preserve">Olympus has bought back ~JPY470bn of stock since Dec-2021, including a JPY60bn ToSTNeT-3 block in May-2026 at JPY1,540. Shares outstanding have fallen 17% since Mar-2021. The cost: net debt swung from JPY52bn (Mar-26) to ~JPY200bn (Jun-26). FY3/26 FCF was only JPY13bn. The board is 9 of 10 independent, includes ValueAct’s Rob Hale, and is chaired by an outsider. Artisan Partners disclosed a 5.63% stake in Jul-2026.</w:t>
      </w:r>
    </w:p>
    <w:p>
      <w:pPr>
        <w:numPr>
          <w:ilvl w:val="0"/>
          <w:numId w:val="1001"/>
        </w:numPr>
        <w:pStyle w:val="Compact"/>
      </w:pPr>
      <w:r>
        <w:rPr>
          <w:bCs/>
          <w:b/>
        </w:rPr>
        <w:t xml:space="preserve">The event path.</w:t>
      </w:r>
      <w:r>
        <w:t xml:space="preserve"> </w:t>
      </w:r>
      <w:r>
        <w:t xml:space="preserve">In order of likelihood:</w:t>
      </w:r>
    </w:p>
    <w:p>
      <w:pPr>
        <w:numPr>
          <w:ilvl w:val="1"/>
          <w:numId w:val="1002"/>
        </w:numPr>
        <w:pStyle w:val="Compact"/>
      </w:pPr>
      <w:r>
        <w:t xml:space="preserve">The Warning Letter response (~early Nov-2026) and 2Q FY3/27 results (early-to-mid Nov-2026), where Olympus has announced buybacks at 2Q before.</w:t>
      </w:r>
    </w:p>
    <w:p>
      <w:pPr>
        <w:numPr>
          <w:ilvl w:val="1"/>
          <w:numId w:val="1002"/>
        </w:numPr>
        <w:pStyle w:val="Compact"/>
      </w:pPr>
      <w:r>
        <w:t xml:space="preserve">An outcome from the Surgical review: a sale, partnership or carve-out of some or all of SIS.</w:t>
      </w:r>
    </w:p>
    <w:p>
      <w:pPr>
        <w:numPr>
          <w:ilvl w:val="1"/>
          <w:numId w:val="1002"/>
        </w:numPr>
        <w:pStyle w:val="Compact"/>
      </w:pPr>
      <w:r>
        <w:t xml:space="preserve">FDA re-inspection and eventual close-out of the 2025 Aizu import alert.</w:t>
      </w:r>
    </w:p>
    <w:p>
      <w:pPr>
        <w:numPr>
          <w:ilvl w:val="1"/>
          <w:numId w:val="1002"/>
        </w:numPr>
        <w:pStyle w:val="Compact"/>
      </w:pPr>
      <w:r>
        <w:t xml:space="preserve">A take-private or strategic approach. Precedents include KKR/JIC–Topcon (2025), Blackstone/TPG–Hologic (2025) and Bain–Evident (bought from Olympus itself in 2022). Our illustrative takeout range is</w:t>
      </w:r>
      <w:r>
        <w:t xml:space="preserve"> </w:t>
      </w:r>
      <w:r>
        <w:rPr>
          <w:bCs/>
          <w:b/>
        </w:rPr>
        <w:t xml:space="preserve">JPY2,500–3,300</w:t>
      </w:r>
      <w:r>
        <w:t xml:space="preserve"> </w:t>
      </w:r>
      <w:r>
        <w:t xml:space="preserve">(13–17x FY3/27E EBITDA).</w:t>
      </w:r>
    </w:p>
    <w:p>
      <w:pPr>
        <w:numPr>
          <w:ilvl w:val="0"/>
          <w:numId w:val="1001"/>
        </w:numPr>
        <w:pStyle w:val="Compact"/>
      </w:pPr>
      <w:r>
        <w:rPr>
          <w:bCs/>
          <w:b/>
        </w:rPr>
        <w:t xml:space="preserve">What could make us wrong.</w:t>
      </w:r>
    </w:p>
    <w:p>
      <w:pPr>
        <w:numPr>
          <w:ilvl w:val="1"/>
          <w:numId w:val="1003"/>
        </w:numPr>
        <w:pStyle w:val="Compact"/>
      </w:pPr>
      <w:r>
        <w:t xml:space="preserve">FDA escalation to a consent decree, wider import alerts or a 510(k) hold. Philips Respironics is the cautionary precedent.</w:t>
      </w:r>
    </w:p>
    <w:p>
      <w:pPr>
        <w:numPr>
          <w:ilvl w:val="1"/>
          <w:numId w:val="1003"/>
        </w:numPr>
        <w:pStyle w:val="Compact"/>
      </w:pPr>
      <w:r>
        <w:t xml:space="preserve">A fifth consecutive third-quarter guidance cut (Feb-2027).</w:t>
      </w:r>
    </w:p>
    <w:p>
      <w:pPr>
        <w:numPr>
          <w:ilvl w:val="1"/>
          <w:numId w:val="1003"/>
        </w:numPr>
        <w:pStyle w:val="Compact"/>
      </w:pPr>
      <w:r>
        <w:t xml:space="preserve">China (8% of sales, down 34% since FY3/22) and Japan (10%, down every year) keep shrinking.</w:t>
      </w:r>
    </w:p>
    <w:p>
      <w:pPr>
        <w:numPr>
          <w:ilvl w:val="1"/>
          <w:numId w:val="1003"/>
        </w:numPr>
        <w:pStyle w:val="Compact"/>
      </w:pPr>
      <w:r>
        <w:t xml:space="preserve">Value-destructive M&amp;A under an</w:t>
      </w:r>
      <w:r>
        <w:t xml:space="preserve"> </w:t>
      </w:r>
      <w:r>
        <w:t xml:space="preserve">“</w:t>
      </w:r>
      <w:r>
        <w:t xml:space="preserve">M&amp;A machine</w:t>
      </w:r>
      <w:r>
        <w:t xml:space="preserve">”</w:t>
      </w:r>
      <w:r>
        <w:t xml:space="preserve"> </w:t>
      </w:r>
      <w:r>
        <w:t xml:space="preserve">ambition. Olympus’s record includes the Veran write-off (JPY52bn) and the rescinded Taewoong deal.</w:t>
      </w:r>
    </w:p>
    <w:bookmarkEnd w:id="20"/>
    <w:bookmarkStart w:id="21" w:name="our-estimates-vs-consensus"/>
    <w:p>
      <w:pPr>
        <w:pStyle w:val="Heading2"/>
      </w:pPr>
      <w:r>
        <w:t xml:space="preserve">Our estimates vs consensus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557"/>
        <w:gridCol w:w="1615"/>
        <w:gridCol w:w="1145"/>
        <w:gridCol w:w="1143"/>
        <w:gridCol w:w="1167"/>
        <w:gridCol w:w="1173"/>
        <w:gridCol w:w="1175"/>
      </w:tblGrid>
      <w:tr>
        <w:trPr>
          <w:tblHeader w:val="true"/>
          <w:tblHeader w:val="true"/>
          <w:cantSplit/>
        </w:trPr>
        <w:tc>
          <w:tcPr>
            <w:tcW w:type="dxa" w:w="2558"/>
            <w:shd w:val="clear" w:color="auto" w:fill="13213F"/>
          </w:tcPr>
          <w:p>
            <w:pPr>
              <w:pStyle w:val="Compact"/>
              <w:spacing w:after="0" w:before="0" w:line="240" w:lineRule="auto"/>
              <w:jc w:val="left"/>
            </w:pPr>
            <w:r>
              <w:rPr>
                <w:rFonts w:ascii="Arial" w:hAnsi="Arial"/>
                <w:b/>
                <w:color w:val="FFFFFF"/>
                <w:sz w:val="15"/>
              </w:rPr>
              <w:t xml:space="preserve">JPY bn (March YE)</w:t>
            </w:r>
          </w:p>
        </w:tc>
        <w:tc>
          <w:tcPr>
            <w:tcW w:type="dxa" w:w="1615"/>
            <w:shd w:val="clear" w:color="auto" w:fill="13213F"/>
          </w:tcPr>
          <w:p>
            <w:pPr>
              <w:pStyle w:val="Compact"/>
              <w:spacing w:after="0" w:before="0" w:line="240" w:lineRule="auto"/>
              <w:jc w:val="right"/>
            </w:pPr>
            <w:r>
              <w:rPr>
                <w:rFonts w:ascii="Arial" w:hAnsi="Arial"/>
                <w:b/>
                <w:color w:val="FFFFFF"/>
                <w:sz w:val="15"/>
              </w:rPr>
              <w:t xml:space="preserve">FY3/24A</w:t>
            </w:r>
          </w:p>
        </w:tc>
        <w:tc>
          <w:tcPr>
            <w:tcW w:type="dxa" w:w="1146"/>
            <w:shd w:val="clear" w:color="auto" w:fill="13213F"/>
          </w:tcPr>
          <w:p>
            <w:pPr>
              <w:pStyle w:val="Compact"/>
              <w:spacing w:after="0" w:before="0" w:line="240" w:lineRule="auto"/>
              <w:jc w:val="right"/>
            </w:pPr>
            <w:r>
              <w:rPr>
                <w:rFonts w:ascii="Arial" w:hAnsi="Arial"/>
                <w:b/>
                <w:color w:val="FFFFFF"/>
                <w:sz w:val="15"/>
              </w:rPr>
              <w:t xml:space="preserve">FY3/25A</w:t>
            </w:r>
          </w:p>
        </w:tc>
        <w:tc>
          <w:tcPr>
            <w:tcW w:type="dxa" w:w="1143"/>
            <w:shd w:val="clear" w:color="auto" w:fill="13213F"/>
          </w:tcPr>
          <w:p>
            <w:pPr>
              <w:pStyle w:val="Compact"/>
              <w:spacing w:after="0" w:before="0" w:line="240" w:lineRule="auto"/>
              <w:jc w:val="right"/>
            </w:pPr>
            <w:r>
              <w:rPr>
                <w:rFonts w:ascii="Arial" w:hAnsi="Arial"/>
                <w:b/>
                <w:color w:val="FFFFFF"/>
                <w:sz w:val="15"/>
              </w:rPr>
              <w:t xml:space="preserve">FY3/26A</w:t>
            </w:r>
          </w:p>
        </w:tc>
        <w:tc>
          <w:tcPr>
            <w:tcW w:type="dxa" w:w="1168"/>
            <w:shd w:val="clear" w:color="auto" w:fill="13213F"/>
          </w:tcPr>
          <w:p>
            <w:pPr>
              <w:pStyle w:val="Compact"/>
              <w:spacing w:after="0" w:before="0" w:line="240" w:lineRule="auto"/>
              <w:jc w:val="right"/>
            </w:pPr>
            <w:r>
              <w:rPr>
                <w:rFonts w:ascii="Arial" w:hAnsi="Arial"/>
                <w:b/>
                <w:color w:val="FFFFFF"/>
                <w:sz w:val="15"/>
              </w:rPr>
              <w:t xml:space="preserve">FY3/27E</w:t>
            </w:r>
          </w:p>
        </w:tc>
        <w:tc>
          <w:tcPr>
            <w:tcW w:type="dxa" w:w="1173"/>
            <w:shd w:val="clear" w:color="auto" w:fill="13213F"/>
          </w:tcPr>
          <w:p>
            <w:pPr>
              <w:pStyle w:val="Compact"/>
              <w:spacing w:after="0" w:before="0" w:line="240" w:lineRule="auto"/>
              <w:jc w:val="right"/>
            </w:pPr>
            <w:r>
              <w:rPr>
                <w:rFonts w:ascii="Arial" w:hAnsi="Arial"/>
                <w:b/>
                <w:color w:val="FFFFFF"/>
                <w:sz w:val="15"/>
              </w:rPr>
              <w:t xml:space="preserve">FY3/28E</w:t>
            </w:r>
          </w:p>
        </w:tc>
        <w:tc>
          <w:tcPr>
            <w:tcW w:type="dxa" w:w="1176"/>
            <w:shd w:val="clear" w:color="auto" w:fill="13213F"/>
          </w:tcPr>
          <w:p>
            <w:pPr>
              <w:pStyle w:val="Compact"/>
              <w:spacing w:after="0" w:before="0" w:line="240" w:lineRule="auto"/>
              <w:jc w:val="right"/>
            </w:pPr>
            <w:r>
              <w:rPr>
                <w:rFonts w:ascii="Arial" w:hAnsi="Arial"/>
                <w:b/>
                <w:color w:val="FFFFFF"/>
                <w:sz w:val="15"/>
              </w:rPr>
              <w:t xml:space="preserve">FY3/29E</w:t>
            </w:r>
          </w:p>
        </w:tc>
      </w:tr>
      <w:tr>
        <w:trPr>
          <w:cantSplit/>
        </w:trPr>
        <w:tc>
          <w:tcPr>
            <w:tcW w:type="dxa" w:w="2558"/>
          </w:tcPr>
          <w:p>
            <w:pPr>
              <w:pStyle w:val="Compact"/>
              <w:spacing w:after="0" w:before="0" w:line="240" w:lineRule="auto"/>
              <w:jc w:val="left"/>
            </w:pPr>
            <w:r>
              <w:rPr>
                <w:rFonts w:ascii="Arial" w:hAnsi="Arial"/>
                <w:sz w:val="15"/>
              </w:rPr>
              <w:t xml:space="preserve">Revenue</w:t>
            </w:r>
          </w:p>
        </w:tc>
        <w:tc>
          <w:tcPr>
            <w:tcW w:type="dxa" w:w="1615"/>
          </w:tcPr>
          <w:p>
            <w:pPr>
              <w:pStyle w:val="Compact"/>
              <w:spacing w:after="0" w:before="0" w:line="240" w:lineRule="auto"/>
              <w:jc w:val="right"/>
            </w:pPr>
            <w:r>
              <w:rPr>
                <w:rFonts w:ascii="Arial" w:hAnsi="Arial"/>
                <w:sz w:val="15"/>
              </w:rPr>
              <w:t xml:space="preserve">925.8</w:t>
            </w:r>
          </w:p>
        </w:tc>
        <w:tc>
          <w:tcPr>
            <w:tcW w:type="dxa" w:w="1146"/>
          </w:tcPr>
          <w:p>
            <w:pPr>
              <w:pStyle w:val="Compact"/>
              <w:spacing w:after="0" w:before="0" w:line="240" w:lineRule="auto"/>
              <w:jc w:val="right"/>
            </w:pPr>
            <w:r>
              <w:rPr>
                <w:rFonts w:ascii="Arial" w:hAnsi="Arial"/>
                <w:sz w:val="15"/>
              </w:rPr>
              <w:t xml:space="preserve">997.3</w:t>
            </w:r>
          </w:p>
        </w:tc>
        <w:tc>
          <w:tcPr>
            <w:tcW w:type="dxa" w:w="1143"/>
          </w:tcPr>
          <w:p>
            <w:pPr>
              <w:pStyle w:val="Compact"/>
              <w:spacing w:after="0" w:before="0" w:line="240" w:lineRule="auto"/>
              <w:jc w:val="right"/>
            </w:pPr>
            <w:r>
              <w:rPr>
                <w:rFonts w:ascii="Arial" w:hAnsi="Arial"/>
                <w:sz w:val="15"/>
              </w:rPr>
              <w:t xml:space="preserve">1,010.7</w:t>
            </w:r>
          </w:p>
        </w:tc>
        <w:tc>
          <w:tcPr>
            <w:tcW w:type="dxa" w:w="1168"/>
          </w:tcPr>
          <w:p>
            <w:pPr>
              <w:pStyle w:val="Compact"/>
              <w:spacing w:after="0" w:before="0" w:line="240" w:lineRule="auto"/>
              <w:jc w:val="right"/>
            </w:pPr>
            <w:r>
              <w:rPr>
                <w:rFonts w:ascii="Arial" w:hAnsi="Arial"/>
                <w:sz w:val="15"/>
              </w:rPr>
              <w:t xml:space="preserve">1,071.9</w:t>
            </w:r>
          </w:p>
        </w:tc>
        <w:tc>
          <w:tcPr>
            <w:tcW w:type="dxa" w:w="1173"/>
          </w:tcPr>
          <w:p>
            <w:pPr>
              <w:pStyle w:val="Compact"/>
              <w:spacing w:after="0" w:before="0" w:line="240" w:lineRule="auto"/>
              <w:jc w:val="right"/>
            </w:pPr>
            <w:r>
              <w:rPr>
                <w:rFonts w:ascii="Arial" w:hAnsi="Arial"/>
                <w:sz w:val="15"/>
              </w:rPr>
              <w:t xml:space="preserve">1,118.9</w:t>
            </w:r>
          </w:p>
        </w:tc>
        <w:tc>
          <w:tcPr>
            <w:tcW w:type="dxa" w:w="1176"/>
          </w:tcPr>
          <w:p>
            <w:pPr>
              <w:pStyle w:val="Compact"/>
              <w:spacing w:after="0" w:before="0" w:line="240" w:lineRule="auto"/>
              <w:jc w:val="right"/>
            </w:pPr>
            <w:r>
              <w:rPr>
                <w:rFonts w:ascii="Arial" w:hAnsi="Arial"/>
                <w:sz w:val="15"/>
              </w:rPr>
              <w:t xml:space="preserve">1,173.7</w:t>
            </w:r>
          </w:p>
        </w:tc>
      </w:tr>
      <w:tr>
        <w:trPr>
          <w:cantSplit/>
        </w:trPr>
        <w:tc>
          <w:tcPr>
            <w:tcW w:type="dxa" w:w="2558"/>
            <w:shd w:val="clear" w:color="auto" w:fill="F1F2F5"/>
          </w:tcPr>
          <w:p>
            <w:pPr>
              <w:pStyle w:val="Compact"/>
              <w:spacing w:after="0" w:before="0" w:line="240" w:lineRule="auto"/>
              <w:jc w:val="left"/>
            </w:pPr>
            <w:r>
              <w:rPr>
                <w:rFonts w:ascii="Arial" w:hAnsi="Arial"/>
                <w:sz w:val="15"/>
              </w:rPr>
              <w:t xml:space="preserve">Revenue growth (reported)</w:t>
            </w:r>
          </w:p>
        </w:tc>
        <w:tc>
          <w:tcPr>
            <w:tcW w:type="dxa" w:w="1615"/>
            <w:shd w:val="clear" w:color="auto" w:fill="F1F2F5"/>
          </w:tcPr>
          <w:p>
            <w:pPr>
              <w:pStyle w:val="Compact"/>
              <w:spacing w:after="0" w:before="0" w:line="240" w:lineRule="auto"/>
              <w:jc w:val="right"/>
            </w:pPr>
            <w:r>
              <w:rPr>
                <w:rFonts w:ascii="Arial" w:hAnsi="Arial"/>
                <w:sz w:val="15"/>
              </w:rPr>
              <w:t xml:space="preserve">n/m (restated)</w:t>
            </w:r>
          </w:p>
        </w:tc>
        <w:tc>
          <w:tcPr>
            <w:tcW w:type="dxa" w:w="1146"/>
            <w:shd w:val="clear" w:color="auto" w:fill="F1F2F5"/>
          </w:tcPr>
          <w:p>
            <w:pPr>
              <w:pStyle w:val="Compact"/>
              <w:spacing w:after="0" w:before="0" w:line="240" w:lineRule="auto"/>
              <w:jc w:val="right"/>
            </w:pPr>
            <w:r>
              <w:rPr>
                <w:rFonts w:ascii="Arial" w:hAnsi="Arial"/>
                <w:sz w:val="15"/>
              </w:rPr>
              <w:t xml:space="preserve">+7.7%</w:t>
            </w:r>
          </w:p>
        </w:tc>
        <w:tc>
          <w:tcPr>
            <w:tcW w:type="dxa" w:w="1143"/>
            <w:shd w:val="clear" w:color="auto" w:fill="F1F2F5"/>
          </w:tcPr>
          <w:p>
            <w:pPr>
              <w:pStyle w:val="Compact"/>
              <w:spacing w:after="0" w:before="0" w:line="240" w:lineRule="auto"/>
              <w:jc w:val="right"/>
            </w:pPr>
            <w:r>
              <w:rPr>
                <w:rFonts w:ascii="Arial" w:hAnsi="Arial"/>
                <w:sz w:val="15"/>
              </w:rPr>
              <w:t xml:space="preserve">+1.3%</w:t>
            </w:r>
          </w:p>
        </w:tc>
        <w:tc>
          <w:tcPr>
            <w:tcW w:type="dxa" w:w="1168"/>
            <w:shd w:val="clear" w:color="auto" w:fill="F1F2F5"/>
          </w:tcPr>
          <w:p>
            <w:pPr>
              <w:pStyle w:val="Compact"/>
              <w:spacing w:after="0" w:before="0" w:line="240" w:lineRule="auto"/>
              <w:jc w:val="right"/>
            </w:pPr>
            <w:r>
              <w:rPr>
                <w:rFonts w:ascii="Arial" w:hAnsi="Arial"/>
                <w:sz w:val="15"/>
              </w:rPr>
              <w:t xml:space="preserve">+6.1%</w:t>
            </w:r>
          </w:p>
        </w:tc>
        <w:tc>
          <w:tcPr>
            <w:tcW w:type="dxa" w:w="1173"/>
            <w:shd w:val="clear" w:color="auto" w:fill="F1F2F5"/>
          </w:tcPr>
          <w:p>
            <w:pPr>
              <w:pStyle w:val="Compact"/>
              <w:spacing w:after="0" w:before="0" w:line="240" w:lineRule="auto"/>
              <w:jc w:val="right"/>
            </w:pPr>
            <w:r>
              <w:rPr>
                <w:rFonts w:ascii="Arial" w:hAnsi="Arial"/>
                <w:sz w:val="15"/>
              </w:rPr>
              <w:t xml:space="preserve">+4.4%</w:t>
            </w:r>
          </w:p>
        </w:tc>
        <w:tc>
          <w:tcPr>
            <w:tcW w:type="dxa" w:w="1176"/>
            <w:shd w:val="clear" w:color="auto" w:fill="F1F2F5"/>
          </w:tcPr>
          <w:p>
            <w:pPr>
              <w:pStyle w:val="Compact"/>
              <w:spacing w:after="0" w:before="0" w:line="240" w:lineRule="auto"/>
              <w:jc w:val="right"/>
            </w:pPr>
            <w:r>
              <w:rPr>
                <w:rFonts w:ascii="Arial" w:hAnsi="Arial"/>
                <w:sz w:val="15"/>
              </w:rPr>
              <w:t xml:space="preserve">+4.9%</w:t>
            </w:r>
          </w:p>
        </w:tc>
      </w:tr>
      <w:tr>
        <w:trPr>
          <w:cantSplit/>
        </w:trPr>
        <w:tc>
          <w:tcPr>
            <w:tcW w:type="dxa" w:w="2558"/>
          </w:tcPr>
          <w:p>
            <w:pPr>
              <w:pStyle w:val="Compact"/>
              <w:spacing w:after="0" w:before="0" w:line="240" w:lineRule="auto"/>
              <w:jc w:val="left"/>
            </w:pPr>
            <w:r>
              <w:rPr>
                <w:rFonts w:ascii="Arial" w:hAnsi="Arial"/>
                <w:sz w:val="15"/>
              </w:rPr>
              <w:t xml:space="preserve">Adjusted OP (pre other inc/exp)</w:t>
            </w:r>
          </w:p>
        </w:tc>
        <w:tc>
          <w:tcPr>
            <w:tcW w:type="dxa" w:w="1615"/>
          </w:tcPr>
          <w:p>
            <w:pPr>
              <w:pStyle w:val="Compact"/>
              <w:spacing w:after="0" w:before="0" w:line="240" w:lineRule="auto"/>
              <w:jc w:val="right"/>
            </w:pPr>
            <w:r>
              <w:rPr>
                <w:rFonts w:ascii="Arial" w:hAnsi="Arial"/>
                <w:sz w:val="15"/>
              </w:rPr>
              <w:t xml:space="preserve">151.3</w:t>
            </w:r>
          </w:p>
        </w:tc>
        <w:tc>
          <w:tcPr>
            <w:tcW w:type="dxa" w:w="1146"/>
          </w:tcPr>
          <w:p>
            <w:pPr>
              <w:pStyle w:val="Compact"/>
              <w:spacing w:after="0" w:before="0" w:line="240" w:lineRule="auto"/>
              <w:jc w:val="right"/>
            </w:pPr>
            <w:r>
              <w:rPr>
                <w:rFonts w:ascii="Arial" w:hAnsi="Arial"/>
                <w:sz w:val="15"/>
              </w:rPr>
              <w:t xml:space="preserve">188.5</w:t>
            </w:r>
          </w:p>
        </w:tc>
        <w:tc>
          <w:tcPr>
            <w:tcW w:type="dxa" w:w="1143"/>
          </w:tcPr>
          <w:p>
            <w:pPr>
              <w:pStyle w:val="Compact"/>
              <w:spacing w:after="0" w:before="0" w:line="240" w:lineRule="auto"/>
              <w:jc w:val="right"/>
            </w:pPr>
            <w:r>
              <w:rPr>
                <w:rFonts w:ascii="Arial" w:hAnsi="Arial"/>
                <w:sz w:val="15"/>
              </w:rPr>
              <w:t xml:space="preserve">143.3</w:t>
            </w:r>
          </w:p>
        </w:tc>
        <w:tc>
          <w:tcPr>
            <w:tcW w:type="dxa" w:w="1168"/>
          </w:tcPr>
          <w:p>
            <w:pPr>
              <w:pStyle w:val="Compact"/>
              <w:spacing w:after="0" w:before="0" w:line="240" w:lineRule="auto"/>
              <w:jc w:val="right"/>
            </w:pPr>
            <w:r>
              <w:rPr>
                <w:rFonts w:ascii="Arial" w:hAnsi="Arial"/>
                <w:sz w:val="15"/>
              </w:rPr>
              <w:t xml:space="preserve">171.0</w:t>
            </w:r>
          </w:p>
        </w:tc>
        <w:tc>
          <w:tcPr>
            <w:tcW w:type="dxa" w:w="1173"/>
          </w:tcPr>
          <w:p>
            <w:pPr>
              <w:pStyle w:val="Compact"/>
              <w:spacing w:after="0" w:before="0" w:line="240" w:lineRule="auto"/>
              <w:jc w:val="right"/>
            </w:pPr>
            <w:r>
              <w:rPr>
                <w:rFonts w:ascii="Arial" w:hAnsi="Arial"/>
                <w:sz w:val="15"/>
              </w:rPr>
              <w:t xml:space="preserve">188.3</w:t>
            </w:r>
          </w:p>
        </w:tc>
        <w:tc>
          <w:tcPr>
            <w:tcW w:type="dxa" w:w="1176"/>
          </w:tcPr>
          <w:p>
            <w:pPr>
              <w:pStyle w:val="Compact"/>
              <w:spacing w:after="0" w:before="0" w:line="240" w:lineRule="auto"/>
              <w:jc w:val="right"/>
            </w:pPr>
            <w:r>
              <w:rPr>
                <w:rFonts w:ascii="Arial" w:hAnsi="Arial"/>
                <w:sz w:val="15"/>
              </w:rPr>
              <w:t xml:space="preserve">210.2</w:t>
            </w:r>
          </w:p>
        </w:tc>
      </w:tr>
      <w:tr>
        <w:trPr>
          <w:cantSplit/>
        </w:trPr>
        <w:tc>
          <w:tcPr>
            <w:tcW w:type="dxa" w:w="2558"/>
            <w:shd w:val="clear" w:color="auto" w:fill="F1F2F5"/>
          </w:tcPr>
          <w:p>
            <w:pPr>
              <w:pStyle w:val="Compact"/>
              <w:spacing w:after="0" w:before="0" w:line="240" w:lineRule="auto"/>
              <w:jc w:val="left"/>
            </w:pPr>
            <w:r>
              <w:rPr>
                <w:rFonts w:ascii="Arial" w:hAnsi="Arial"/>
                <w:sz w:val="15"/>
              </w:rPr>
              <w:t xml:space="preserve">Adjusted OP margin</w:t>
            </w:r>
          </w:p>
        </w:tc>
        <w:tc>
          <w:tcPr>
            <w:tcW w:type="dxa" w:w="1615"/>
            <w:shd w:val="clear" w:color="auto" w:fill="F1F2F5"/>
          </w:tcPr>
          <w:p>
            <w:pPr>
              <w:pStyle w:val="Compact"/>
              <w:spacing w:after="0" w:before="0" w:line="240" w:lineRule="auto"/>
              <w:jc w:val="right"/>
            </w:pPr>
            <w:r>
              <w:rPr>
                <w:rFonts w:ascii="Arial" w:hAnsi="Arial"/>
                <w:sz w:val="15"/>
              </w:rPr>
              <w:t xml:space="preserve">16.3%</w:t>
            </w:r>
          </w:p>
        </w:tc>
        <w:tc>
          <w:tcPr>
            <w:tcW w:type="dxa" w:w="1146"/>
            <w:shd w:val="clear" w:color="auto" w:fill="F1F2F5"/>
          </w:tcPr>
          <w:p>
            <w:pPr>
              <w:pStyle w:val="Compact"/>
              <w:spacing w:after="0" w:before="0" w:line="240" w:lineRule="auto"/>
              <w:jc w:val="right"/>
            </w:pPr>
            <w:r>
              <w:rPr>
                <w:rFonts w:ascii="Arial" w:hAnsi="Arial"/>
                <w:sz w:val="15"/>
              </w:rPr>
              <w:t xml:space="preserve">18.9%</w:t>
            </w:r>
          </w:p>
        </w:tc>
        <w:tc>
          <w:tcPr>
            <w:tcW w:type="dxa" w:w="1143"/>
            <w:shd w:val="clear" w:color="auto" w:fill="F1F2F5"/>
          </w:tcPr>
          <w:p>
            <w:pPr>
              <w:pStyle w:val="Compact"/>
              <w:spacing w:after="0" w:before="0" w:line="240" w:lineRule="auto"/>
              <w:jc w:val="right"/>
            </w:pPr>
            <w:r>
              <w:rPr>
                <w:rFonts w:ascii="Arial" w:hAnsi="Arial"/>
                <w:sz w:val="15"/>
              </w:rPr>
              <w:t xml:space="preserve">14.2%</w:t>
            </w:r>
          </w:p>
        </w:tc>
        <w:tc>
          <w:tcPr>
            <w:tcW w:type="dxa" w:w="1168"/>
            <w:shd w:val="clear" w:color="auto" w:fill="F1F2F5"/>
          </w:tcPr>
          <w:p>
            <w:pPr>
              <w:pStyle w:val="Compact"/>
              <w:spacing w:after="0" w:before="0" w:line="240" w:lineRule="auto"/>
              <w:jc w:val="right"/>
            </w:pPr>
            <w:r>
              <w:rPr>
                <w:rFonts w:ascii="Arial" w:hAnsi="Arial"/>
                <w:sz w:val="15"/>
              </w:rPr>
              <w:t xml:space="preserve">16.0%</w:t>
            </w:r>
          </w:p>
        </w:tc>
        <w:tc>
          <w:tcPr>
            <w:tcW w:type="dxa" w:w="1173"/>
            <w:shd w:val="clear" w:color="auto" w:fill="F1F2F5"/>
          </w:tcPr>
          <w:p>
            <w:pPr>
              <w:pStyle w:val="Compact"/>
              <w:spacing w:after="0" w:before="0" w:line="240" w:lineRule="auto"/>
              <w:jc w:val="right"/>
            </w:pPr>
            <w:r>
              <w:rPr>
                <w:rFonts w:ascii="Arial" w:hAnsi="Arial"/>
                <w:sz w:val="15"/>
              </w:rPr>
              <w:t xml:space="preserve">16.8%</w:t>
            </w:r>
          </w:p>
        </w:tc>
        <w:tc>
          <w:tcPr>
            <w:tcW w:type="dxa" w:w="1176"/>
            <w:shd w:val="clear" w:color="auto" w:fill="F1F2F5"/>
          </w:tcPr>
          <w:p>
            <w:pPr>
              <w:pStyle w:val="Compact"/>
              <w:spacing w:after="0" w:before="0" w:line="240" w:lineRule="auto"/>
              <w:jc w:val="right"/>
            </w:pPr>
            <w:r>
              <w:rPr>
                <w:rFonts w:ascii="Arial" w:hAnsi="Arial"/>
                <w:sz w:val="15"/>
              </w:rPr>
              <w:t xml:space="preserve">17.9%</w:t>
            </w:r>
          </w:p>
        </w:tc>
      </w:tr>
      <w:tr>
        <w:trPr>
          <w:cantSplit/>
        </w:trPr>
        <w:tc>
          <w:tcPr>
            <w:tcW w:type="dxa" w:w="2558"/>
          </w:tcPr>
          <w:p>
            <w:pPr>
              <w:pStyle w:val="Compact"/>
              <w:spacing w:after="0" w:before="0" w:line="240" w:lineRule="auto"/>
              <w:jc w:val="left"/>
            </w:pPr>
            <w:r>
              <w:rPr>
                <w:rFonts w:ascii="Arial" w:hAnsi="Arial"/>
                <w:sz w:val="15"/>
              </w:rPr>
              <w:t xml:space="preserve">Operating profit (IFRS)</w:t>
            </w:r>
          </w:p>
        </w:tc>
        <w:tc>
          <w:tcPr>
            <w:tcW w:type="dxa" w:w="1615"/>
          </w:tcPr>
          <w:p>
            <w:pPr>
              <w:pStyle w:val="Compact"/>
              <w:spacing w:after="0" w:before="0" w:line="240" w:lineRule="auto"/>
              <w:jc w:val="right"/>
            </w:pPr>
            <w:r>
              <w:rPr>
                <w:rFonts w:ascii="Arial" w:hAnsi="Arial"/>
                <w:sz w:val="15"/>
              </w:rPr>
              <w:t xml:space="preserve">51.4</w:t>
            </w:r>
          </w:p>
        </w:tc>
        <w:tc>
          <w:tcPr>
            <w:tcW w:type="dxa" w:w="1146"/>
          </w:tcPr>
          <w:p>
            <w:pPr>
              <w:pStyle w:val="Compact"/>
              <w:spacing w:after="0" w:before="0" w:line="240" w:lineRule="auto"/>
              <w:jc w:val="right"/>
            </w:pPr>
            <w:r>
              <w:rPr>
                <w:rFonts w:ascii="Arial" w:hAnsi="Arial"/>
                <w:sz w:val="15"/>
              </w:rPr>
              <w:t xml:space="preserve">162.5</w:t>
            </w:r>
          </w:p>
        </w:tc>
        <w:tc>
          <w:tcPr>
            <w:tcW w:type="dxa" w:w="1143"/>
          </w:tcPr>
          <w:p>
            <w:pPr>
              <w:pStyle w:val="Compact"/>
              <w:spacing w:after="0" w:before="0" w:line="240" w:lineRule="auto"/>
              <w:jc w:val="right"/>
            </w:pPr>
            <w:r>
              <w:rPr>
                <w:rFonts w:ascii="Arial" w:hAnsi="Arial"/>
                <w:sz w:val="15"/>
              </w:rPr>
              <w:t xml:space="preserve">97.1</w:t>
            </w:r>
          </w:p>
        </w:tc>
        <w:tc>
          <w:tcPr>
            <w:tcW w:type="dxa" w:w="1168"/>
          </w:tcPr>
          <w:p>
            <w:pPr>
              <w:pStyle w:val="Compact"/>
              <w:spacing w:after="0" w:before="0" w:line="240" w:lineRule="auto"/>
              <w:jc w:val="right"/>
            </w:pPr>
            <w:r>
              <w:rPr>
                <w:rFonts w:ascii="Arial" w:hAnsi="Arial"/>
                <w:sz w:val="15"/>
              </w:rPr>
              <w:t xml:space="preserve">145.0</w:t>
            </w:r>
          </w:p>
        </w:tc>
        <w:tc>
          <w:tcPr>
            <w:tcW w:type="dxa" w:w="1173"/>
          </w:tcPr>
          <w:p>
            <w:pPr>
              <w:pStyle w:val="Compact"/>
              <w:spacing w:after="0" w:before="0" w:line="240" w:lineRule="auto"/>
              <w:jc w:val="right"/>
            </w:pPr>
            <w:r>
              <w:rPr>
                <w:rFonts w:ascii="Arial" w:hAnsi="Arial"/>
                <w:sz w:val="15"/>
              </w:rPr>
              <w:t xml:space="preserve">174.3</w:t>
            </w:r>
          </w:p>
        </w:tc>
        <w:tc>
          <w:tcPr>
            <w:tcW w:type="dxa" w:w="1176"/>
          </w:tcPr>
          <w:p>
            <w:pPr>
              <w:pStyle w:val="Compact"/>
              <w:spacing w:after="0" w:before="0" w:line="240" w:lineRule="auto"/>
              <w:jc w:val="right"/>
            </w:pPr>
            <w:r>
              <w:rPr>
                <w:rFonts w:ascii="Arial" w:hAnsi="Arial"/>
                <w:sz w:val="15"/>
              </w:rPr>
              <w:t xml:space="preserve">200.2</w:t>
            </w:r>
          </w:p>
        </w:tc>
      </w:tr>
      <w:tr>
        <w:trPr>
          <w:cantSplit/>
        </w:trPr>
        <w:tc>
          <w:tcPr>
            <w:tcW w:type="dxa" w:w="2558"/>
            <w:shd w:val="clear" w:color="auto" w:fill="F1F2F5"/>
          </w:tcPr>
          <w:p>
            <w:pPr>
              <w:pStyle w:val="Compact"/>
              <w:spacing w:after="0" w:before="0" w:line="240" w:lineRule="auto"/>
              <w:jc w:val="left"/>
            </w:pPr>
            <w:r>
              <w:rPr>
                <w:rFonts w:ascii="Arial" w:hAnsi="Arial"/>
                <w:sz w:val="15"/>
              </w:rPr>
              <w:t xml:space="preserve">EBITDA (OP + D&amp;A)</w:t>
            </w:r>
          </w:p>
        </w:tc>
        <w:tc>
          <w:tcPr>
            <w:tcW w:type="dxa" w:w="1615"/>
            <w:shd w:val="clear" w:color="auto" w:fill="F1F2F5"/>
          </w:tcPr>
          <w:p>
            <w:pPr>
              <w:pStyle w:val="Compact"/>
              <w:spacing w:after="0" w:before="0" w:line="240" w:lineRule="auto"/>
              <w:jc w:val="right"/>
            </w:pPr>
            <w:r>
              <w:rPr>
                <w:rFonts w:ascii="Arial" w:hAnsi="Arial"/>
                <w:sz w:val="15"/>
              </w:rPr>
              <w:t xml:space="preserve">116.6</w:t>
            </w:r>
          </w:p>
        </w:tc>
        <w:tc>
          <w:tcPr>
            <w:tcW w:type="dxa" w:w="1146"/>
            <w:shd w:val="clear" w:color="auto" w:fill="F1F2F5"/>
          </w:tcPr>
          <w:p>
            <w:pPr>
              <w:pStyle w:val="Compact"/>
              <w:spacing w:after="0" w:before="0" w:line="240" w:lineRule="auto"/>
              <w:jc w:val="right"/>
            </w:pPr>
            <w:r>
              <w:rPr>
                <w:rFonts w:ascii="Arial" w:hAnsi="Arial"/>
                <w:sz w:val="15"/>
              </w:rPr>
              <w:t xml:space="preserve">228.8</w:t>
            </w:r>
          </w:p>
        </w:tc>
        <w:tc>
          <w:tcPr>
            <w:tcW w:type="dxa" w:w="1143"/>
            <w:shd w:val="clear" w:color="auto" w:fill="F1F2F5"/>
          </w:tcPr>
          <w:p>
            <w:pPr>
              <w:pStyle w:val="Compact"/>
              <w:spacing w:after="0" w:before="0" w:line="240" w:lineRule="auto"/>
              <w:jc w:val="right"/>
            </w:pPr>
            <w:r>
              <w:rPr>
                <w:rFonts w:ascii="Arial" w:hAnsi="Arial"/>
                <w:sz w:val="15"/>
              </w:rPr>
              <w:t xml:space="preserve">164.3</w:t>
            </w:r>
          </w:p>
        </w:tc>
        <w:tc>
          <w:tcPr>
            <w:tcW w:type="dxa" w:w="1168"/>
            <w:shd w:val="clear" w:color="auto" w:fill="F1F2F5"/>
          </w:tcPr>
          <w:p>
            <w:pPr>
              <w:pStyle w:val="Compact"/>
              <w:spacing w:after="0" w:before="0" w:line="240" w:lineRule="auto"/>
              <w:jc w:val="right"/>
            </w:pPr>
            <w:r>
              <w:rPr>
                <w:rFonts w:ascii="Arial" w:hAnsi="Arial"/>
                <w:sz w:val="15"/>
              </w:rPr>
              <w:t xml:space="preserve">216.0</w:t>
            </w:r>
          </w:p>
        </w:tc>
        <w:tc>
          <w:tcPr>
            <w:tcW w:type="dxa" w:w="1173"/>
            <w:shd w:val="clear" w:color="auto" w:fill="F1F2F5"/>
          </w:tcPr>
          <w:p>
            <w:pPr>
              <w:pStyle w:val="Compact"/>
              <w:spacing w:after="0" w:before="0" w:line="240" w:lineRule="auto"/>
              <w:jc w:val="right"/>
            </w:pPr>
            <w:r>
              <w:rPr>
                <w:rFonts w:ascii="Arial" w:hAnsi="Arial"/>
                <w:sz w:val="15"/>
              </w:rPr>
              <w:t xml:space="preserve">248.3</w:t>
            </w:r>
          </w:p>
        </w:tc>
        <w:tc>
          <w:tcPr>
            <w:tcW w:type="dxa" w:w="1176"/>
            <w:shd w:val="clear" w:color="auto" w:fill="F1F2F5"/>
          </w:tcPr>
          <w:p>
            <w:pPr>
              <w:pStyle w:val="Compact"/>
              <w:spacing w:after="0" w:before="0" w:line="240" w:lineRule="auto"/>
              <w:jc w:val="right"/>
            </w:pPr>
            <w:r>
              <w:rPr>
                <w:rFonts w:ascii="Arial" w:hAnsi="Arial"/>
                <w:sz w:val="15"/>
              </w:rPr>
              <w:t xml:space="preserve">277.2</w:t>
            </w:r>
          </w:p>
        </w:tc>
      </w:tr>
      <w:tr>
        <w:trPr>
          <w:cantSplit/>
        </w:trPr>
        <w:tc>
          <w:tcPr>
            <w:tcW w:type="dxa" w:w="2558"/>
          </w:tcPr>
          <w:p>
            <w:pPr>
              <w:pStyle w:val="Compact"/>
              <w:spacing w:after="0" w:before="0" w:line="240" w:lineRule="auto"/>
              <w:jc w:val="left"/>
            </w:pPr>
            <w:r>
              <w:rPr>
                <w:rFonts w:ascii="Arial" w:hAnsi="Arial"/>
                <w:sz w:val="15"/>
              </w:rPr>
              <w:t xml:space="preserve">Net income (to owners)</w:t>
            </w:r>
          </w:p>
        </w:tc>
        <w:tc>
          <w:tcPr>
            <w:tcW w:type="dxa" w:w="1615"/>
          </w:tcPr>
          <w:p>
            <w:pPr>
              <w:pStyle w:val="Compact"/>
              <w:spacing w:after="0" w:before="0" w:line="240" w:lineRule="auto"/>
              <w:jc w:val="right"/>
            </w:pPr>
            <w:r>
              <w:rPr>
                <w:rFonts w:ascii="Arial" w:hAnsi="Arial"/>
                <w:sz w:val="15"/>
              </w:rPr>
              <w:t xml:space="preserve">242.6*</w:t>
            </w:r>
          </w:p>
        </w:tc>
        <w:tc>
          <w:tcPr>
            <w:tcW w:type="dxa" w:w="1146"/>
          </w:tcPr>
          <w:p>
            <w:pPr>
              <w:pStyle w:val="Compact"/>
              <w:spacing w:after="0" w:before="0" w:line="240" w:lineRule="auto"/>
              <w:jc w:val="right"/>
            </w:pPr>
            <w:r>
              <w:rPr>
                <w:rFonts w:ascii="Arial" w:hAnsi="Arial"/>
                <w:sz w:val="15"/>
              </w:rPr>
              <w:t xml:space="preserve">117.9</w:t>
            </w:r>
          </w:p>
        </w:tc>
        <w:tc>
          <w:tcPr>
            <w:tcW w:type="dxa" w:w="1143"/>
          </w:tcPr>
          <w:p>
            <w:pPr>
              <w:pStyle w:val="Compact"/>
              <w:spacing w:after="0" w:before="0" w:line="240" w:lineRule="auto"/>
              <w:jc w:val="right"/>
            </w:pPr>
            <w:r>
              <w:rPr>
                <w:rFonts w:ascii="Arial" w:hAnsi="Arial"/>
                <w:sz w:val="15"/>
              </w:rPr>
              <w:t xml:space="preserve">68.2</w:t>
            </w:r>
          </w:p>
        </w:tc>
        <w:tc>
          <w:tcPr>
            <w:tcW w:type="dxa" w:w="1168"/>
          </w:tcPr>
          <w:p>
            <w:pPr>
              <w:pStyle w:val="Compact"/>
              <w:spacing w:after="0" w:before="0" w:line="240" w:lineRule="auto"/>
              <w:jc w:val="right"/>
            </w:pPr>
            <w:r>
              <w:rPr>
                <w:rFonts w:ascii="Arial" w:hAnsi="Arial"/>
                <w:sz w:val="15"/>
              </w:rPr>
              <w:t xml:space="preserve">99.3</w:t>
            </w:r>
          </w:p>
        </w:tc>
        <w:tc>
          <w:tcPr>
            <w:tcW w:type="dxa" w:w="1173"/>
          </w:tcPr>
          <w:p>
            <w:pPr>
              <w:pStyle w:val="Compact"/>
              <w:spacing w:after="0" w:before="0" w:line="240" w:lineRule="auto"/>
              <w:jc w:val="right"/>
            </w:pPr>
            <w:r>
              <w:rPr>
                <w:rFonts w:ascii="Arial" w:hAnsi="Arial"/>
                <w:sz w:val="15"/>
              </w:rPr>
              <w:t xml:space="preserve">119.8</w:t>
            </w:r>
          </w:p>
        </w:tc>
        <w:tc>
          <w:tcPr>
            <w:tcW w:type="dxa" w:w="1176"/>
          </w:tcPr>
          <w:p>
            <w:pPr>
              <w:pStyle w:val="Compact"/>
              <w:spacing w:after="0" w:before="0" w:line="240" w:lineRule="auto"/>
              <w:jc w:val="right"/>
            </w:pPr>
            <w:r>
              <w:rPr>
                <w:rFonts w:ascii="Arial" w:hAnsi="Arial"/>
                <w:sz w:val="15"/>
              </w:rPr>
              <w:t xml:space="preserve">138.6</w:t>
            </w:r>
          </w:p>
        </w:tc>
      </w:tr>
      <w:tr>
        <w:trPr>
          <w:cantSplit/>
        </w:trPr>
        <w:tc>
          <w:tcPr>
            <w:tcW w:type="dxa" w:w="2558"/>
            <w:shd w:val="clear" w:color="auto" w:fill="F1F2F5"/>
          </w:tcPr>
          <w:p>
            <w:pPr>
              <w:pStyle w:val="Compact"/>
              <w:spacing w:after="0" w:before="0" w:line="240" w:lineRule="auto"/>
              <w:jc w:val="left"/>
            </w:pPr>
            <w:r>
              <w:rPr>
                <w:rFonts w:ascii="Arial" w:hAnsi="Arial"/>
                <w:sz w:val="15"/>
              </w:rPr>
              <w:t xml:space="preserve">EPS (JPY)</w:t>
            </w:r>
          </w:p>
        </w:tc>
        <w:tc>
          <w:tcPr>
            <w:tcW w:type="dxa" w:w="1615"/>
            <w:shd w:val="clear" w:color="auto" w:fill="F1F2F5"/>
          </w:tcPr>
          <w:p>
            <w:pPr>
              <w:pStyle w:val="Compact"/>
              <w:spacing w:after="0" w:before="0" w:line="240" w:lineRule="auto"/>
              <w:jc w:val="right"/>
            </w:pPr>
            <w:r>
              <w:rPr>
                <w:rFonts w:ascii="Arial" w:hAnsi="Arial"/>
                <w:sz w:val="15"/>
              </w:rPr>
              <w:t xml:space="preserve">199.91*</w:t>
            </w:r>
          </w:p>
        </w:tc>
        <w:tc>
          <w:tcPr>
            <w:tcW w:type="dxa" w:w="1146"/>
            <w:shd w:val="clear" w:color="auto" w:fill="F1F2F5"/>
          </w:tcPr>
          <w:p>
            <w:pPr>
              <w:pStyle w:val="Compact"/>
              <w:spacing w:after="0" w:before="0" w:line="240" w:lineRule="auto"/>
              <w:jc w:val="right"/>
            </w:pPr>
            <w:r>
              <w:rPr>
                <w:rFonts w:ascii="Arial" w:hAnsi="Arial"/>
                <w:sz w:val="15"/>
              </w:rPr>
              <w:t xml:space="preserve">102.99</w:t>
            </w:r>
          </w:p>
        </w:tc>
        <w:tc>
          <w:tcPr>
            <w:tcW w:type="dxa" w:w="1143"/>
            <w:shd w:val="clear" w:color="auto" w:fill="F1F2F5"/>
          </w:tcPr>
          <w:p>
            <w:pPr>
              <w:pStyle w:val="Compact"/>
              <w:spacing w:after="0" w:before="0" w:line="240" w:lineRule="auto"/>
              <w:jc w:val="right"/>
            </w:pPr>
            <w:r>
              <w:rPr>
                <w:rFonts w:ascii="Arial" w:hAnsi="Arial"/>
                <w:sz w:val="15"/>
              </w:rPr>
              <w:t xml:space="preserve">61.32</w:t>
            </w:r>
          </w:p>
        </w:tc>
        <w:tc>
          <w:tcPr>
            <w:tcW w:type="dxa" w:w="1168"/>
            <w:shd w:val="clear" w:color="auto" w:fill="F1F2F5"/>
          </w:tcPr>
          <w:p>
            <w:pPr>
              <w:pStyle w:val="Compact"/>
              <w:spacing w:after="0" w:before="0" w:line="240" w:lineRule="auto"/>
              <w:jc w:val="right"/>
            </w:pPr>
            <w:r>
              <w:rPr>
                <w:rFonts w:ascii="Arial" w:hAnsi="Arial"/>
                <w:sz w:val="15"/>
              </w:rPr>
              <w:t xml:space="preserve">93.1</w:t>
            </w:r>
          </w:p>
        </w:tc>
        <w:tc>
          <w:tcPr>
            <w:tcW w:type="dxa" w:w="1173"/>
            <w:shd w:val="clear" w:color="auto" w:fill="F1F2F5"/>
          </w:tcPr>
          <w:p>
            <w:pPr>
              <w:pStyle w:val="Compact"/>
              <w:spacing w:after="0" w:before="0" w:line="240" w:lineRule="auto"/>
              <w:jc w:val="right"/>
            </w:pPr>
            <w:r>
              <w:rPr>
                <w:rFonts w:ascii="Arial" w:hAnsi="Arial"/>
                <w:sz w:val="15"/>
              </w:rPr>
              <w:t xml:space="preserve">114.1</w:t>
            </w:r>
          </w:p>
        </w:tc>
        <w:tc>
          <w:tcPr>
            <w:tcW w:type="dxa" w:w="1176"/>
            <w:shd w:val="clear" w:color="auto" w:fill="F1F2F5"/>
          </w:tcPr>
          <w:p>
            <w:pPr>
              <w:pStyle w:val="Compact"/>
              <w:spacing w:after="0" w:before="0" w:line="240" w:lineRule="auto"/>
              <w:jc w:val="right"/>
            </w:pPr>
            <w:r>
              <w:rPr>
                <w:rFonts w:ascii="Arial" w:hAnsi="Arial"/>
                <w:sz w:val="15"/>
              </w:rPr>
              <w:t xml:space="preserve">135.2</w:t>
            </w:r>
          </w:p>
        </w:tc>
      </w:tr>
      <w:tr>
        <w:trPr>
          <w:cantSplit/>
        </w:trPr>
        <w:tc>
          <w:tcPr>
            <w:tcW w:type="dxa" w:w="2558"/>
          </w:tcPr>
          <w:p>
            <w:pPr>
              <w:pStyle w:val="Compact"/>
              <w:spacing w:after="0" w:before="0" w:line="240" w:lineRule="auto"/>
              <w:jc w:val="left"/>
            </w:pPr>
            <w:r>
              <w:rPr>
                <w:rFonts w:ascii="Arial" w:hAnsi="Arial"/>
                <w:sz w:val="15"/>
              </w:rPr>
              <w:t xml:space="preserve">Consensus EPS (JPY)</w:t>
            </w:r>
          </w:p>
        </w:tc>
        <w:tc>
          <w:tcPr>
            <w:tcW w:type="dxa" w:w="1615"/>
          </w:tcPr>
          <w:p>
            <w:pPr>
              <w:pStyle w:val="Compact"/>
              <w:spacing w:after="0" w:before="0" w:line="240" w:lineRule="auto"/>
              <w:jc w:val="right"/>
            </w:pPr>
            <w:r>
              <w:rPr>
                <w:rFonts w:ascii="Arial" w:hAnsi="Arial"/>
                <w:sz w:val="15"/>
              </w:rPr>
              <w:t xml:space="preserve">–</w:t>
            </w:r>
          </w:p>
        </w:tc>
        <w:tc>
          <w:tcPr>
            <w:tcW w:type="dxa" w:w="1146"/>
          </w:tcPr>
          <w:p>
            <w:pPr>
              <w:pStyle w:val="Compact"/>
              <w:spacing w:after="0" w:before="0" w:line="240" w:lineRule="auto"/>
              <w:jc w:val="right"/>
            </w:pPr>
            <w:r>
              <w:rPr>
                <w:rFonts w:ascii="Arial" w:hAnsi="Arial"/>
                <w:sz w:val="15"/>
              </w:rPr>
              <w:t xml:space="preserve">–</w:t>
            </w:r>
          </w:p>
        </w:tc>
        <w:tc>
          <w:tcPr>
            <w:tcW w:type="dxa" w:w="1143"/>
          </w:tcPr>
          <w:p>
            <w:pPr>
              <w:pStyle w:val="Compact"/>
              <w:spacing w:after="0" w:before="0" w:line="240" w:lineRule="auto"/>
              <w:jc w:val="right"/>
            </w:pPr>
            <w:r>
              <w:rPr>
                <w:rFonts w:ascii="Arial" w:hAnsi="Arial"/>
                <w:sz w:val="15"/>
              </w:rPr>
              <w:t xml:space="preserve">–</w:t>
            </w:r>
          </w:p>
        </w:tc>
        <w:tc>
          <w:tcPr>
            <w:tcW w:type="dxa" w:w="1168"/>
          </w:tcPr>
          <w:p>
            <w:pPr>
              <w:pStyle w:val="Compact"/>
              <w:spacing w:after="0" w:before="0" w:line="240" w:lineRule="auto"/>
              <w:jc w:val="right"/>
            </w:pPr>
            <w:r>
              <w:rPr>
                <w:rFonts w:ascii="Arial" w:hAnsi="Arial"/>
                <w:sz w:val="15"/>
              </w:rPr>
              <w:t xml:space="preserve">98.0</w:t>
            </w:r>
          </w:p>
        </w:tc>
        <w:tc>
          <w:tcPr>
            <w:tcW w:type="dxa" w:w="1173"/>
          </w:tcPr>
          <w:p>
            <w:pPr>
              <w:pStyle w:val="Compact"/>
              <w:spacing w:after="0" w:before="0" w:line="240" w:lineRule="auto"/>
              <w:jc w:val="right"/>
            </w:pPr>
            <w:r>
              <w:rPr>
                <w:rFonts w:ascii="Arial" w:hAnsi="Arial"/>
                <w:sz w:val="15"/>
              </w:rPr>
              <w:t xml:space="preserve">113.9</w:t>
            </w:r>
          </w:p>
        </w:tc>
        <w:tc>
          <w:tcPr>
            <w:tcW w:type="dxa" w:w="1176"/>
          </w:tcPr>
          <w:p>
            <w:pPr>
              <w:pStyle w:val="Compact"/>
              <w:spacing w:after="0" w:before="0" w:line="240" w:lineRule="auto"/>
              <w:jc w:val="right"/>
            </w:pPr>
            <w:r>
              <w:rPr>
                <w:rFonts w:ascii="Arial" w:hAnsi="Arial"/>
                <w:sz w:val="15"/>
              </w:rPr>
              <w:t xml:space="preserve">124.8</w:t>
            </w:r>
          </w:p>
        </w:tc>
      </w:tr>
      <w:tr>
        <w:trPr>
          <w:cantSplit/>
        </w:trPr>
        <w:tc>
          <w:tcPr>
            <w:tcW w:type="dxa" w:w="2558"/>
            <w:shd w:val="clear" w:color="auto" w:fill="F1F2F5"/>
          </w:tcPr>
          <w:p>
            <w:pPr>
              <w:pStyle w:val="Compact"/>
              <w:spacing w:after="0" w:before="0" w:line="240" w:lineRule="auto"/>
              <w:jc w:val="left"/>
            </w:pPr>
            <w:r>
              <w:rPr>
                <w:rFonts w:ascii="Arial" w:hAnsi="Arial"/>
                <w:sz w:val="15"/>
              </w:rPr>
              <w:t xml:space="preserve">Ours vs consensus</w:t>
            </w:r>
          </w:p>
        </w:tc>
        <w:tc>
          <w:tcPr>
            <w:tcW w:type="dxa" w:w="1615"/>
            <w:shd w:val="clear" w:color="auto" w:fill="F1F2F5"/>
          </w:tcPr>
          <w:p>
            <w:pPr>
              <w:pStyle w:val="Compact"/>
              <w:spacing w:after="0" w:before="0" w:line="240" w:lineRule="auto"/>
              <w:jc w:val="right"/>
            </w:pPr>
            <w:r>
              <w:rPr>
                <w:rFonts w:ascii="Arial" w:hAnsi="Arial"/>
                <w:sz w:val="15"/>
              </w:rPr>
              <w:t xml:space="preserve">–</w:t>
            </w:r>
          </w:p>
        </w:tc>
        <w:tc>
          <w:tcPr>
            <w:tcW w:type="dxa" w:w="1146"/>
            <w:shd w:val="clear" w:color="auto" w:fill="F1F2F5"/>
          </w:tcPr>
          <w:p>
            <w:pPr>
              <w:pStyle w:val="Compact"/>
              <w:spacing w:after="0" w:before="0" w:line="240" w:lineRule="auto"/>
              <w:jc w:val="right"/>
            </w:pPr>
            <w:r>
              <w:rPr>
                <w:rFonts w:ascii="Arial" w:hAnsi="Arial"/>
                <w:sz w:val="15"/>
              </w:rPr>
              <w:t xml:space="preserve">–</w:t>
            </w:r>
          </w:p>
        </w:tc>
        <w:tc>
          <w:tcPr>
            <w:tcW w:type="dxa" w:w="1143"/>
            <w:shd w:val="clear" w:color="auto" w:fill="F1F2F5"/>
          </w:tcPr>
          <w:p>
            <w:pPr>
              <w:pStyle w:val="Compact"/>
              <w:spacing w:after="0" w:before="0" w:line="240" w:lineRule="auto"/>
              <w:jc w:val="right"/>
            </w:pPr>
            <w:r>
              <w:rPr>
                <w:rFonts w:ascii="Arial" w:hAnsi="Arial"/>
                <w:sz w:val="15"/>
              </w:rPr>
              <w:t xml:space="preserve">–</w:t>
            </w:r>
          </w:p>
        </w:tc>
        <w:tc>
          <w:tcPr>
            <w:tcW w:type="dxa" w:w="1168"/>
            <w:shd w:val="clear" w:color="auto" w:fill="F1F2F5"/>
          </w:tcPr>
          <w:p>
            <w:pPr>
              <w:pStyle w:val="Compact"/>
              <w:spacing w:after="0" w:before="0" w:line="240" w:lineRule="auto"/>
              <w:jc w:val="right"/>
            </w:pPr>
            <w:r>
              <w:rPr>
                <w:rFonts w:ascii="Arial" w:hAnsi="Arial"/>
                <w:sz w:val="15"/>
              </w:rPr>
              <w:t xml:space="preserve">-5%</w:t>
            </w:r>
          </w:p>
        </w:tc>
        <w:tc>
          <w:tcPr>
            <w:tcW w:type="dxa" w:w="1173"/>
            <w:shd w:val="clear" w:color="auto" w:fill="F1F2F5"/>
          </w:tcPr>
          <w:p>
            <w:pPr>
              <w:pStyle w:val="Compact"/>
              <w:spacing w:after="0" w:before="0" w:line="240" w:lineRule="auto"/>
              <w:jc w:val="right"/>
            </w:pPr>
            <w:r>
              <w:rPr>
                <w:rFonts w:ascii="Arial" w:hAnsi="Arial"/>
                <w:sz w:val="15"/>
              </w:rPr>
              <w:t xml:space="preserve">0%</w:t>
            </w:r>
          </w:p>
        </w:tc>
        <w:tc>
          <w:tcPr>
            <w:tcW w:type="dxa" w:w="1176"/>
            <w:shd w:val="clear" w:color="auto" w:fill="F1F2F5"/>
          </w:tcPr>
          <w:p>
            <w:pPr>
              <w:pStyle w:val="Compact"/>
              <w:spacing w:after="0" w:before="0" w:line="240" w:lineRule="auto"/>
              <w:jc w:val="right"/>
            </w:pPr>
            <w:r>
              <w:rPr>
                <w:rFonts w:ascii="Arial" w:hAnsi="Arial"/>
                <w:sz w:val="15"/>
              </w:rPr>
              <w:t xml:space="preserve">+8%</w:t>
            </w:r>
          </w:p>
        </w:tc>
      </w:tr>
      <w:tr>
        <w:trPr>
          <w:cantSplit/>
        </w:trPr>
        <w:tc>
          <w:tcPr>
            <w:tcW w:type="dxa" w:w="2558"/>
          </w:tcPr>
          <w:p>
            <w:pPr>
              <w:pStyle w:val="Compact"/>
              <w:spacing w:after="0" w:before="0" w:line="240" w:lineRule="auto"/>
              <w:jc w:val="left"/>
            </w:pPr>
            <w:r>
              <w:rPr>
                <w:rFonts w:ascii="Arial" w:hAnsi="Arial"/>
                <w:sz w:val="15"/>
              </w:rPr>
              <w:t xml:space="preserve">Consensus EBIT (JPY bn)</w:t>
            </w:r>
          </w:p>
        </w:tc>
        <w:tc>
          <w:tcPr>
            <w:tcW w:type="dxa" w:w="1615"/>
          </w:tcPr>
          <w:p>
            <w:pPr>
              <w:pStyle w:val="Compact"/>
              <w:spacing w:after="0" w:before="0" w:line="240" w:lineRule="auto"/>
              <w:jc w:val="right"/>
            </w:pPr>
            <w:r>
              <w:rPr>
                <w:rFonts w:ascii="Arial" w:hAnsi="Arial"/>
                <w:sz w:val="15"/>
              </w:rPr>
              <w:t xml:space="preserve">–</w:t>
            </w:r>
          </w:p>
        </w:tc>
        <w:tc>
          <w:tcPr>
            <w:tcW w:type="dxa" w:w="1146"/>
          </w:tcPr>
          <w:p>
            <w:pPr>
              <w:pStyle w:val="Compact"/>
              <w:spacing w:after="0" w:before="0" w:line="240" w:lineRule="auto"/>
              <w:jc w:val="right"/>
            </w:pPr>
            <w:r>
              <w:rPr>
                <w:rFonts w:ascii="Arial" w:hAnsi="Arial"/>
                <w:sz w:val="15"/>
              </w:rPr>
              <w:t xml:space="preserve">–</w:t>
            </w:r>
          </w:p>
        </w:tc>
        <w:tc>
          <w:tcPr>
            <w:tcW w:type="dxa" w:w="1143"/>
          </w:tcPr>
          <w:p>
            <w:pPr>
              <w:pStyle w:val="Compact"/>
              <w:spacing w:after="0" w:before="0" w:line="240" w:lineRule="auto"/>
              <w:jc w:val="right"/>
            </w:pPr>
            <w:r>
              <w:rPr>
                <w:rFonts w:ascii="Arial" w:hAnsi="Arial"/>
                <w:sz w:val="15"/>
              </w:rPr>
              <w:t xml:space="preserve">–</w:t>
            </w:r>
          </w:p>
        </w:tc>
        <w:tc>
          <w:tcPr>
            <w:tcW w:type="dxa" w:w="1168"/>
          </w:tcPr>
          <w:p>
            <w:pPr>
              <w:pStyle w:val="Compact"/>
              <w:spacing w:after="0" w:before="0" w:line="240" w:lineRule="auto"/>
              <w:jc w:val="right"/>
            </w:pPr>
            <w:r>
              <w:rPr>
                <w:rFonts w:ascii="Arial" w:hAnsi="Arial"/>
                <w:sz w:val="15"/>
              </w:rPr>
              <w:t xml:space="preserve">150.4</w:t>
            </w:r>
          </w:p>
        </w:tc>
        <w:tc>
          <w:tcPr>
            <w:tcW w:type="dxa" w:w="1173"/>
          </w:tcPr>
          <w:p>
            <w:pPr>
              <w:pStyle w:val="Compact"/>
              <w:spacing w:after="0" w:before="0" w:line="240" w:lineRule="auto"/>
              <w:jc w:val="right"/>
            </w:pPr>
            <w:r>
              <w:rPr>
                <w:rFonts w:ascii="Arial" w:hAnsi="Arial"/>
                <w:sz w:val="15"/>
              </w:rPr>
              <w:t xml:space="preserve">171.7</w:t>
            </w:r>
          </w:p>
        </w:tc>
        <w:tc>
          <w:tcPr>
            <w:tcW w:type="dxa" w:w="1176"/>
          </w:tcPr>
          <w:p>
            <w:pPr>
              <w:pStyle w:val="Compact"/>
              <w:spacing w:after="0" w:before="0" w:line="240" w:lineRule="auto"/>
              <w:jc w:val="right"/>
            </w:pPr>
            <w:r>
              <w:rPr>
                <w:rFonts w:ascii="Arial" w:hAnsi="Arial"/>
                <w:sz w:val="15"/>
              </w:rPr>
              <w:t xml:space="preserve">186.5</w:t>
            </w:r>
          </w:p>
        </w:tc>
      </w:tr>
      <w:tr>
        <w:trPr>
          <w:cantSplit/>
        </w:trPr>
        <w:tc>
          <w:tcPr>
            <w:tcW w:type="dxa" w:w="2558"/>
            <w:shd w:val="clear" w:color="auto" w:fill="F1F2F5"/>
          </w:tcPr>
          <w:p>
            <w:pPr>
              <w:pStyle w:val="Compact"/>
              <w:spacing w:after="0" w:before="0" w:line="240" w:lineRule="auto"/>
              <w:jc w:val="left"/>
            </w:pPr>
            <w:r>
              <w:rPr>
                <w:rFonts w:ascii="Arial" w:hAnsi="Arial"/>
                <w:sz w:val="15"/>
              </w:rPr>
              <w:t xml:space="preserve">DPS (JPY)</w:t>
            </w:r>
          </w:p>
        </w:tc>
        <w:tc>
          <w:tcPr>
            <w:tcW w:type="dxa" w:w="1615"/>
            <w:shd w:val="clear" w:color="auto" w:fill="F1F2F5"/>
          </w:tcPr>
          <w:p>
            <w:pPr>
              <w:pStyle w:val="Compact"/>
              <w:spacing w:after="0" w:before="0" w:line="240" w:lineRule="auto"/>
              <w:jc w:val="right"/>
            </w:pPr>
            <w:r>
              <w:rPr>
                <w:rFonts w:ascii="Arial" w:hAnsi="Arial"/>
                <w:sz w:val="15"/>
              </w:rPr>
              <w:t xml:space="preserve">18</w:t>
            </w:r>
          </w:p>
        </w:tc>
        <w:tc>
          <w:tcPr>
            <w:tcW w:type="dxa" w:w="1146"/>
            <w:shd w:val="clear" w:color="auto" w:fill="F1F2F5"/>
          </w:tcPr>
          <w:p>
            <w:pPr>
              <w:pStyle w:val="Compact"/>
              <w:spacing w:after="0" w:before="0" w:line="240" w:lineRule="auto"/>
              <w:jc w:val="right"/>
            </w:pPr>
            <w:r>
              <w:rPr>
                <w:rFonts w:ascii="Arial" w:hAnsi="Arial"/>
                <w:sz w:val="15"/>
              </w:rPr>
              <w:t xml:space="preserve">20</w:t>
            </w:r>
          </w:p>
        </w:tc>
        <w:tc>
          <w:tcPr>
            <w:tcW w:type="dxa" w:w="1143"/>
            <w:shd w:val="clear" w:color="auto" w:fill="F1F2F5"/>
          </w:tcPr>
          <w:p>
            <w:pPr>
              <w:pStyle w:val="Compact"/>
              <w:spacing w:after="0" w:before="0" w:line="240" w:lineRule="auto"/>
              <w:jc w:val="right"/>
            </w:pPr>
            <w:r>
              <w:rPr>
                <w:rFonts w:ascii="Arial" w:hAnsi="Arial"/>
                <w:sz w:val="15"/>
              </w:rPr>
              <w:t xml:space="preserve">30</w:t>
            </w:r>
          </w:p>
        </w:tc>
        <w:tc>
          <w:tcPr>
            <w:tcW w:type="dxa" w:w="1168"/>
            <w:shd w:val="clear" w:color="auto" w:fill="F1F2F5"/>
          </w:tcPr>
          <w:p>
            <w:pPr>
              <w:pStyle w:val="Compact"/>
              <w:spacing w:after="0" w:before="0" w:line="240" w:lineRule="auto"/>
              <w:jc w:val="right"/>
            </w:pPr>
            <w:r>
              <w:rPr>
                <w:rFonts w:ascii="Arial" w:hAnsi="Arial"/>
                <w:sz w:val="15"/>
              </w:rPr>
              <w:t xml:space="preserve">30</w:t>
            </w:r>
          </w:p>
        </w:tc>
        <w:tc>
          <w:tcPr>
            <w:tcW w:type="dxa" w:w="1173"/>
            <w:shd w:val="clear" w:color="auto" w:fill="F1F2F5"/>
          </w:tcPr>
          <w:p>
            <w:pPr>
              <w:pStyle w:val="Compact"/>
              <w:spacing w:after="0" w:before="0" w:line="240" w:lineRule="auto"/>
              <w:jc w:val="right"/>
            </w:pPr>
            <w:r>
              <w:rPr>
                <w:rFonts w:ascii="Arial" w:hAnsi="Arial"/>
                <w:sz w:val="15"/>
              </w:rPr>
              <w:t xml:space="preserve">32</w:t>
            </w:r>
          </w:p>
        </w:tc>
        <w:tc>
          <w:tcPr>
            <w:tcW w:type="dxa" w:w="1176"/>
            <w:shd w:val="clear" w:color="auto" w:fill="F1F2F5"/>
          </w:tcPr>
          <w:p>
            <w:pPr>
              <w:pStyle w:val="Compact"/>
              <w:spacing w:after="0" w:before="0" w:line="240" w:lineRule="auto"/>
              <w:jc w:val="right"/>
            </w:pPr>
            <w:r>
              <w:rPr>
                <w:rFonts w:ascii="Arial" w:hAnsi="Arial"/>
                <w:sz w:val="15"/>
              </w:rPr>
              <w:t xml:space="preserve">34</w:t>
            </w:r>
          </w:p>
        </w:tc>
      </w:tr>
      <w:tr>
        <w:trPr>
          <w:cantSplit/>
        </w:trPr>
        <w:tc>
          <w:tcPr>
            <w:tcW w:type="dxa" w:w="2558"/>
          </w:tcPr>
          <w:p>
            <w:pPr>
              <w:pStyle w:val="Compact"/>
              <w:spacing w:after="0" w:before="0" w:line="240" w:lineRule="auto"/>
              <w:jc w:val="left"/>
            </w:pPr>
            <w:r>
              <w:rPr>
                <w:rFonts w:ascii="Arial" w:hAnsi="Arial"/>
                <w:sz w:val="15"/>
              </w:rPr>
              <w:t xml:space="preserve">P/E at JPY1,690</w:t>
            </w:r>
          </w:p>
        </w:tc>
        <w:tc>
          <w:tcPr>
            <w:tcW w:type="dxa" w:w="1615"/>
          </w:tcPr>
          <w:p>
            <w:pPr>
              <w:pStyle w:val="Compact"/>
              <w:spacing w:after="0" w:before="0" w:line="240" w:lineRule="auto"/>
              <w:jc w:val="right"/>
            </w:pPr>
            <w:r>
              <w:rPr>
                <w:rFonts w:ascii="Arial" w:hAnsi="Arial"/>
                <w:sz w:val="15"/>
              </w:rPr>
              <w:t xml:space="preserve">n/m</w:t>
            </w:r>
          </w:p>
        </w:tc>
        <w:tc>
          <w:tcPr>
            <w:tcW w:type="dxa" w:w="1146"/>
          </w:tcPr>
          <w:p>
            <w:pPr>
              <w:pStyle w:val="Compact"/>
              <w:spacing w:after="0" w:before="0" w:line="240" w:lineRule="auto"/>
              <w:jc w:val="right"/>
            </w:pPr>
            <w:r>
              <w:rPr>
                <w:rFonts w:ascii="Arial" w:hAnsi="Arial"/>
                <w:sz w:val="15"/>
              </w:rPr>
              <w:t xml:space="preserve">16.4x</w:t>
            </w:r>
          </w:p>
        </w:tc>
        <w:tc>
          <w:tcPr>
            <w:tcW w:type="dxa" w:w="1143"/>
          </w:tcPr>
          <w:p>
            <w:pPr>
              <w:pStyle w:val="Compact"/>
              <w:spacing w:after="0" w:before="0" w:line="240" w:lineRule="auto"/>
              <w:jc w:val="right"/>
            </w:pPr>
            <w:r>
              <w:rPr>
                <w:rFonts w:ascii="Arial" w:hAnsi="Arial"/>
                <w:sz w:val="15"/>
              </w:rPr>
              <w:t xml:space="preserve">27.6x</w:t>
            </w:r>
          </w:p>
        </w:tc>
        <w:tc>
          <w:tcPr>
            <w:tcW w:type="dxa" w:w="1168"/>
          </w:tcPr>
          <w:p>
            <w:pPr>
              <w:pStyle w:val="Compact"/>
              <w:spacing w:after="0" w:before="0" w:line="240" w:lineRule="auto"/>
              <w:jc w:val="right"/>
            </w:pPr>
            <w:r>
              <w:rPr>
                <w:rFonts w:ascii="Arial" w:hAnsi="Arial"/>
                <w:sz w:val="15"/>
              </w:rPr>
              <w:t xml:space="preserve">18.2x</w:t>
            </w:r>
          </w:p>
        </w:tc>
        <w:tc>
          <w:tcPr>
            <w:tcW w:type="dxa" w:w="1173"/>
          </w:tcPr>
          <w:p>
            <w:pPr>
              <w:pStyle w:val="Compact"/>
              <w:spacing w:after="0" w:before="0" w:line="240" w:lineRule="auto"/>
              <w:jc w:val="right"/>
            </w:pPr>
            <w:r>
              <w:rPr>
                <w:rFonts w:ascii="Arial" w:hAnsi="Arial"/>
                <w:sz w:val="15"/>
              </w:rPr>
              <w:t xml:space="preserve">14.8x</w:t>
            </w:r>
          </w:p>
        </w:tc>
        <w:tc>
          <w:tcPr>
            <w:tcW w:type="dxa" w:w="1176"/>
          </w:tcPr>
          <w:p>
            <w:pPr>
              <w:pStyle w:val="Compact"/>
              <w:spacing w:after="0" w:before="0" w:line="240" w:lineRule="auto"/>
              <w:jc w:val="right"/>
            </w:pPr>
            <w:r>
              <w:rPr>
                <w:rFonts w:ascii="Arial" w:hAnsi="Arial"/>
                <w:sz w:val="15"/>
              </w:rPr>
              <w:t xml:space="preserve">12.5x</w:t>
            </w:r>
          </w:p>
        </w:tc>
      </w:tr>
    </w:tbl>
    <w:p>
      <w:pPr>
        <w:pStyle w:val="BodyText"/>
      </w:pPr>
      <w:r>
        <w:rPr>
          <w:iCs/>
          <w:i/>
        </w:rPr>
        <w:t xml:space="preserve">Actuals: Olympus tanshin (IFRS, continuing operations, restated for the Scientific Solutions and Orthopaedic exits). *FY3/24 includes the JPY216bn after-tax gain on the sale of Evident to Bain Capital; continuing EPS was JPY28.60. Estimates: ours [e]. Consensus: S&amp;P Capital IQ, 14–18 Oct 2026 (12 estimates; CIQ EBIT ≈ IFRS OP). FY3/27 guidance: revenue JPY1,055–1,076bn, OP JPY136.5–155.5bn, EPS JPY89.6–102.2.</w:t>
      </w:r>
    </w:p>
    <w:p>
      <w:pPr>
        <w:pStyle w:val="BodyText"/>
      </w:pPr>
      <w:r>
        <w:rPr>
          <w:bCs/>
          <w:b/>
        </w:rPr>
        <w:t xml:space="preserve">How we differ from consensus.</w:t>
      </w:r>
    </w:p>
    <w:p>
      <w:pPr>
        <w:numPr>
          <w:ilvl w:val="0"/>
          <w:numId w:val="1004"/>
        </w:numPr>
        <w:pStyle w:val="Compact"/>
      </w:pPr>
      <w:r>
        <w:rPr>
          <w:bCs/>
          <w:b/>
        </w:rPr>
        <w:t xml:space="preserve">FY3/27: below consensus (-5%).</w:t>
      </w:r>
      <w:r>
        <w:t xml:space="preserve"> </w:t>
      </w:r>
      <w:r>
        <w:t xml:space="preserve">We add ~JPY5–8bn of extra remediation spend for the Warning Letter, and we hold SIS margins near break-even while ship-holds persist through 1H.</w:t>
      </w:r>
    </w:p>
    <w:p>
      <w:pPr>
        <w:numPr>
          <w:ilvl w:val="0"/>
          <w:numId w:val="1004"/>
        </w:numPr>
        <w:pStyle w:val="Compact"/>
      </w:pPr>
      <w:r>
        <w:rPr>
          <w:bCs/>
          <w:b/>
        </w:rPr>
        <w:t xml:space="preserve">FY3/29: above consensus (+8%).</w:t>
      </w:r>
      <w:r>
        <w:t xml:space="preserve"> </w:t>
      </w:r>
      <w:r>
        <w:t xml:space="preserve">We give credit for the cost programme, buybacks of ~JPY50bn a year and SIS recovery. Even so, our FY3/29E adjusted margin of 17.9% remains below management’s 20%+ goal.</w:t>
      </w:r>
    </w:p>
    <w:p>
      <w:pPr>
        <w:pStyle w:val="FirstParagraph"/>
      </w:pPr>
      <w:r>
        <w:t xml:space="preserve">In short, we think the market is extrapolating the FDA overhang into the out-years.</w:t>
      </w:r>
    </w:p>
    <w:bookmarkEnd w:id="21"/>
    <w:bookmarkEnd w:id="22"/>
    <w:bookmarkStart w:id="23" w:name="a-laymans-guide-to-olympus"/>
    <w:p>
      <w:pPr>
        <w:pStyle w:val="Heading1"/>
      </w:pPr>
      <w:r>
        <w:t xml:space="preserve">A layman’s guide to Olympus</w:t>
      </w:r>
    </w:p>
    <w:p>
      <w:pPr>
        <w:pStyle w:val="FirstParagraph"/>
      </w:pPr>
      <w:r>
        <w:rPr>
          <w:bCs/>
          <w:b/>
        </w:rPr>
        <w:t xml:space="preserve">What it is.</w:t>
      </w:r>
      <w:r>
        <w:t xml:space="preserve"> </w:t>
      </w:r>
      <w:r>
        <w:t xml:space="preserve">Olympus is a Tokyo-based maker of medical endoscopes: the flexible, camera-tipped tubes doctors use to look inside the stomach, colon, lungs and urinary tract, and to treat disease without open surgery. It once made cameras and microscopes but sold those businesses (cameras to JIP in 2021, microscopes and industrial inspection to Bain Capital in 2023). It is now a pure medical-technology company. About 90% of sales are outside Japan, and North America is the largest market.</w:t>
      </w:r>
    </w:p>
    <w:p>
      <w:pPr>
        <w:pStyle w:val="BodyText"/>
      </w:pPr>
      <w:r>
        <w:rPr>
          <w:bCs/>
          <w:b/>
        </w:rPr>
        <w:t xml:space="preserve">How it makes money.</w:t>
      </w:r>
      <w:r>
        <w:t xml:space="preserve"> </w:t>
      </w:r>
      <w:r>
        <w:t xml:space="preserve">Think of Olympus as a</w:t>
      </w:r>
      <w:r>
        <w:t xml:space="preserve"> </w:t>
      </w:r>
      <w:r>
        <w:t xml:space="preserve">“</w:t>
      </w:r>
      <w:r>
        <w:t xml:space="preserve">razor-and-blade-plus-service</w:t>
      </w:r>
      <w:r>
        <w:t xml:space="preserve">”</w:t>
      </w:r>
      <w:r>
        <w:t xml:space="preserve"> </w:t>
      </w:r>
      <w:r>
        <w:t xml:space="preserve">business built on an installed base.</w:t>
      </w:r>
    </w:p>
    <w:p>
      <w:pPr>
        <w:numPr>
          <w:ilvl w:val="0"/>
          <w:numId w:val="1005"/>
        </w:numPr>
        <w:pStyle w:val="Compact"/>
      </w:pPr>
      <w:r>
        <w:rPr>
          <w:bCs/>
          <w:b/>
        </w:rPr>
        <w:t xml:space="preserve">The razor.</w:t>
      </w:r>
      <w:r>
        <w:t xml:space="preserve"> </w:t>
      </w:r>
      <w:r>
        <w:t xml:space="preserve">Hospitals buy (or lease) video processors and scopes, such as the EVIS X1 platform. These cost hundreds of thousands of dollars per endoscopy suite and are replaced every 6–8 years [e].</w:t>
      </w:r>
    </w:p>
    <w:p>
      <w:pPr>
        <w:numPr>
          <w:ilvl w:val="0"/>
          <w:numId w:val="1005"/>
        </w:numPr>
        <w:pStyle w:val="Compact"/>
      </w:pPr>
      <w:r>
        <w:rPr>
          <w:bCs/>
          <w:b/>
        </w:rPr>
        <w:t xml:space="preserve">The blades.</w:t>
      </w:r>
      <w:r>
        <w:t xml:space="preserve"> </w:t>
      </w:r>
      <w:r>
        <w:t xml:space="preserve">Every procedure uses consumable</w:t>
      </w:r>
      <w:r>
        <w:t xml:space="preserve"> </w:t>
      </w:r>
      <w:r>
        <w:t xml:space="preserve">“</w:t>
      </w:r>
      <w:r>
        <w:t xml:space="preserve">endotherapy</w:t>
      </w:r>
      <w:r>
        <w:t xml:space="preserve">”</w:t>
      </w:r>
      <w:r>
        <w:t xml:space="preserve"> </w:t>
      </w:r>
      <w:r>
        <w:t xml:space="preserve">devices, such as biopsy forceps, snares, clips, stents and ERCP tools.</w:t>
      </w:r>
    </w:p>
    <w:p>
      <w:pPr>
        <w:numPr>
          <w:ilvl w:val="0"/>
          <w:numId w:val="1005"/>
        </w:numPr>
        <w:pStyle w:val="Compact"/>
      </w:pPr>
      <w:r>
        <w:rPr>
          <w:bCs/>
          <w:b/>
        </w:rPr>
        <w:t xml:space="preserve">The service.</w:t>
      </w:r>
      <w:r>
        <w:t xml:space="preserve"> </w:t>
      </w:r>
      <w:r>
        <w:t xml:space="preserve">Scopes are delicate and break often, so a large repair, maintenance-contract and loaner business (Medical Service, ~30% of GIS revenue) earns a steady annuity.</w:t>
      </w:r>
    </w:p>
    <w:p>
      <w:pPr>
        <w:pStyle w:val="FirstParagraph"/>
      </w:pPr>
      <w:r>
        <w:t xml:space="preserve">Because Olympus is the default brand in GI endoscopy (an estimated ~70% global share [u]), physicians train on its equipment. That makes hospitals reluctant to switch.</w:t>
      </w:r>
    </w:p>
    <w:p>
      <w:pPr>
        <w:pStyle w:val="BodyText"/>
      </w:pPr>
      <w:r>
        <w:rPr>
          <w:bCs/>
          <w:b/>
        </w:rPr>
        <w:t xml:space="preserve">How each division contributes (FY3/26).</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90"/>
        <w:gridCol w:w="2787"/>
        <w:gridCol w:w="1051"/>
        <w:gridCol w:w="697"/>
        <w:gridCol w:w="1327"/>
        <w:gridCol w:w="1923"/>
      </w:tblGrid>
      <w:tr>
        <w:trPr>
          <w:tblHeader w:val="true"/>
          <w:tblHeader w:val="true"/>
          <w:cantSplit/>
        </w:trPr>
        <w:tc>
          <w:tcPr>
            <w:tcW w:type="dxa" w:w="2191"/>
            <w:shd w:val="clear" w:color="auto" w:fill="13213F"/>
          </w:tcPr>
          <w:p>
            <w:pPr>
              <w:pStyle w:val="Compact"/>
              <w:spacing w:after="0" w:before="0" w:line="240" w:lineRule="auto"/>
              <w:jc w:val="left"/>
            </w:pPr>
            <w:r>
              <w:rPr>
                <w:rFonts w:ascii="Arial" w:hAnsi="Arial"/>
                <w:b/>
                <w:color w:val="FFFFFF"/>
                <w:sz w:val="15"/>
              </w:rPr>
              <w:t xml:space="preserve">Division</w:t>
            </w:r>
          </w:p>
        </w:tc>
        <w:tc>
          <w:tcPr>
            <w:tcW w:type="dxa" w:w="2788"/>
            <w:shd w:val="clear" w:color="auto" w:fill="13213F"/>
          </w:tcPr>
          <w:p>
            <w:pPr>
              <w:pStyle w:val="Compact"/>
              <w:spacing w:after="0" w:before="0" w:line="240" w:lineRule="auto"/>
              <w:jc w:val="left"/>
            </w:pPr>
            <w:r>
              <w:rPr>
                <w:rFonts w:ascii="Arial" w:hAnsi="Arial"/>
                <w:b/>
                <w:color w:val="FFFFFF"/>
                <w:sz w:val="15"/>
              </w:rPr>
              <w:t xml:space="preserve">What it sells</w:t>
            </w:r>
          </w:p>
        </w:tc>
        <w:tc>
          <w:tcPr>
            <w:tcW w:type="dxa" w:w="1051"/>
            <w:shd w:val="clear" w:color="auto" w:fill="13213F"/>
          </w:tcPr>
          <w:p>
            <w:pPr>
              <w:pStyle w:val="Compact"/>
              <w:spacing w:after="0" w:before="0" w:line="240" w:lineRule="auto"/>
              <w:jc w:val="right"/>
            </w:pPr>
            <w:r>
              <w:rPr>
                <w:rFonts w:ascii="Arial" w:hAnsi="Arial"/>
                <w:b/>
                <w:color w:val="FFFFFF"/>
                <w:sz w:val="15"/>
              </w:rPr>
              <w:t xml:space="preserve">FY3/26 revenue (JPY bn)</w:t>
            </w:r>
          </w:p>
        </w:tc>
        <w:tc>
          <w:tcPr>
            <w:tcW w:type="dxa" w:w="698"/>
            <w:shd w:val="clear" w:color="auto" w:fill="13213F"/>
          </w:tcPr>
          <w:p>
            <w:pPr>
              <w:pStyle w:val="Compact"/>
              <w:spacing w:after="0" w:before="0" w:line="240" w:lineRule="auto"/>
              <w:jc w:val="right"/>
            </w:pPr>
            <w:r>
              <w:rPr>
                <w:rFonts w:ascii="Arial" w:hAnsi="Arial"/>
                <w:b/>
                <w:color w:val="FFFFFF"/>
                <w:sz w:val="15"/>
              </w:rPr>
              <w:t xml:space="preserve">Share</w:t>
            </w:r>
          </w:p>
        </w:tc>
        <w:tc>
          <w:tcPr>
            <w:tcW w:type="dxa" w:w="1328"/>
            <w:shd w:val="clear" w:color="auto" w:fill="13213F"/>
          </w:tcPr>
          <w:p>
            <w:pPr>
              <w:pStyle w:val="Compact"/>
              <w:spacing w:after="0" w:before="0" w:line="240" w:lineRule="auto"/>
              <w:jc w:val="left"/>
            </w:pPr>
            <w:r>
              <w:rPr>
                <w:rFonts w:ascii="Arial" w:hAnsi="Arial"/>
                <w:b/>
                <w:color w:val="FFFFFF"/>
                <w:sz w:val="15"/>
              </w:rPr>
              <w:t xml:space="preserve">IFRS OP (margin)</w:t>
            </w:r>
          </w:p>
        </w:tc>
        <w:tc>
          <w:tcPr>
            <w:tcW w:type="dxa" w:w="1923"/>
            <w:shd w:val="clear" w:color="auto" w:fill="13213F"/>
          </w:tcPr>
          <w:p>
            <w:pPr>
              <w:pStyle w:val="Compact"/>
              <w:spacing w:after="0" w:before="0" w:line="240" w:lineRule="auto"/>
              <w:jc w:val="left"/>
            </w:pPr>
            <w:r>
              <w:rPr>
                <w:rFonts w:ascii="Arial" w:hAnsi="Arial"/>
                <w:b/>
                <w:color w:val="FFFFFF"/>
                <w:sz w:val="15"/>
              </w:rPr>
              <w:t xml:space="preserve">Trend</w:t>
            </w:r>
          </w:p>
        </w:tc>
      </w:tr>
      <w:tr>
        <w:trPr>
          <w:cantSplit/>
        </w:trPr>
        <w:tc>
          <w:tcPr>
            <w:tcW w:type="dxa" w:w="2191"/>
          </w:tcPr>
          <w:p>
            <w:pPr>
              <w:pStyle w:val="Compact"/>
              <w:spacing w:after="0" w:before="0" w:line="240" w:lineRule="auto"/>
              <w:jc w:val="left"/>
            </w:pPr>
            <w:r>
              <w:rPr>
                <w:rFonts w:ascii="Arial" w:hAnsi="Arial"/>
                <w:sz w:val="15"/>
              </w:rPr>
              <w:t xml:space="preserve">GIS (Gastrointestinal Solutions)</w:t>
            </w:r>
          </w:p>
        </w:tc>
        <w:tc>
          <w:tcPr>
            <w:tcW w:type="dxa" w:w="2788"/>
          </w:tcPr>
          <w:p>
            <w:pPr>
              <w:pStyle w:val="Compact"/>
              <w:spacing w:after="0" w:before="0" w:line="240" w:lineRule="auto"/>
              <w:jc w:val="left"/>
            </w:pPr>
            <w:r>
              <w:rPr>
                <w:rFonts w:ascii="Arial" w:hAnsi="Arial"/>
                <w:sz w:val="15"/>
              </w:rPr>
              <w:t xml:space="preserve">GI endoscopes and processors (EVIS X1, EDOF scopes), endotherapy consumables, Medical Service (repair, contracts)</w:t>
            </w:r>
          </w:p>
        </w:tc>
        <w:tc>
          <w:tcPr>
            <w:tcW w:type="dxa" w:w="1051"/>
          </w:tcPr>
          <w:p>
            <w:pPr>
              <w:pStyle w:val="Compact"/>
              <w:spacing w:after="0" w:before="0" w:line="240" w:lineRule="auto"/>
              <w:jc w:val="right"/>
            </w:pPr>
            <w:r>
              <w:rPr>
                <w:rFonts w:ascii="Arial" w:hAnsi="Arial"/>
                <w:sz w:val="15"/>
              </w:rPr>
              <w:t xml:space="preserve">697.4</w:t>
            </w:r>
          </w:p>
        </w:tc>
        <w:tc>
          <w:tcPr>
            <w:tcW w:type="dxa" w:w="698"/>
          </w:tcPr>
          <w:p>
            <w:pPr>
              <w:pStyle w:val="Compact"/>
              <w:spacing w:after="0" w:before="0" w:line="240" w:lineRule="auto"/>
              <w:jc w:val="right"/>
            </w:pPr>
            <w:r>
              <w:rPr>
                <w:rFonts w:ascii="Arial" w:hAnsi="Arial"/>
                <w:sz w:val="15"/>
              </w:rPr>
              <w:t xml:space="preserve">69%</w:t>
            </w:r>
          </w:p>
        </w:tc>
        <w:tc>
          <w:tcPr>
            <w:tcW w:type="dxa" w:w="1328"/>
          </w:tcPr>
          <w:p>
            <w:pPr>
              <w:pStyle w:val="Compact"/>
              <w:spacing w:after="0" w:before="0" w:line="240" w:lineRule="auto"/>
              <w:jc w:val="left"/>
            </w:pPr>
            <w:r>
              <w:rPr>
                <w:rFonts w:ascii="Arial" w:hAnsi="Arial"/>
                <w:sz w:val="15"/>
              </w:rPr>
              <w:t xml:space="preserve">136.4 (19.6%)</w:t>
            </w:r>
          </w:p>
        </w:tc>
        <w:tc>
          <w:tcPr>
            <w:tcW w:type="dxa" w:w="1923"/>
          </w:tcPr>
          <w:p>
            <w:pPr>
              <w:pStyle w:val="Compact"/>
              <w:spacing w:after="0" w:before="0" w:line="240" w:lineRule="auto"/>
              <w:jc w:val="left"/>
            </w:pPr>
            <w:r>
              <w:rPr>
                <w:rFonts w:ascii="Arial" w:hAnsi="Arial"/>
                <w:sz w:val="15"/>
              </w:rPr>
              <w:t xml:space="preserve">Core franchise; margin hit by tariffs and remediation (25.4% in FY3/25)</w:t>
            </w:r>
          </w:p>
        </w:tc>
      </w:tr>
      <w:tr>
        <w:trPr>
          <w:cantSplit/>
        </w:trPr>
        <w:tc>
          <w:tcPr>
            <w:tcW w:type="dxa" w:w="2191"/>
            <w:shd w:val="clear" w:color="auto" w:fill="F1F2F5"/>
          </w:tcPr>
          <w:p>
            <w:pPr>
              <w:pStyle w:val="Compact"/>
              <w:spacing w:after="0" w:before="0" w:line="240" w:lineRule="auto"/>
              <w:jc w:val="left"/>
            </w:pPr>
            <w:r>
              <w:rPr>
                <w:rFonts w:ascii="Arial" w:hAnsi="Arial"/>
                <w:sz w:val="15"/>
              </w:rPr>
              <w:t xml:space="preserve">SIS (Surgical &amp; Interventional Solutions)</w:t>
            </w:r>
          </w:p>
        </w:tc>
        <w:tc>
          <w:tcPr>
            <w:tcW w:type="dxa" w:w="2788"/>
            <w:shd w:val="clear" w:color="auto" w:fill="F1F2F5"/>
          </w:tcPr>
          <w:p>
            <w:pPr>
              <w:pStyle w:val="Compact"/>
              <w:spacing w:after="0" w:before="0" w:line="240" w:lineRule="auto"/>
              <w:jc w:val="left"/>
            </w:pPr>
            <w:r>
              <w:rPr>
                <w:rFonts w:ascii="Arial" w:hAnsi="Arial"/>
                <w:sz w:val="15"/>
              </w:rPr>
              <w:t xml:space="preserve">Urology (ureteroscopes, lasers, BioProtect), respiratory (bronchoscopes, EBUS), surgical endoscopy (VISERA ELITE III), energy devices (THUNDERBEAT), ENT, gynaecology</w:t>
            </w:r>
          </w:p>
        </w:tc>
        <w:tc>
          <w:tcPr>
            <w:tcW w:type="dxa" w:w="1051"/>
            <w:shd w:val="clear" w:color="auto" w:fill="F1F2F5"/>
          </w:tcPr>
          <w:p>
            <w:pPr>
              <w:pStyle w:val="Compact"/>
              <w:spacing w:after="0" w:before="0" w:line="240" w:lineRule="auto"/>
              <w:jc w:val="right"/>
            </w:pPr>
            <w:r>
              <w:rPr>
                <w:rFonts w:ascii="Arial" w:hAnsi="Arial"/>
                <w:sz w:val="15"/>
              </w:rPr>
              <w:t xml:space="preserve">313.1</w:t>
            </w:r>
          </w:p>
        </w:tc>
        <w:tc>
          <w:tcPr>
            <w:tcW w:type="dxa" w:w="698"/>
            <w:shd w:val="clear" w:color="auto" w:fill="F1F2F5"/>
          </w:tcPr>
          <w:p>
            <w:pPr>
              <w:pStyle w:val="Compact"/>
              <w:spacing w:after="0" w:before="0" w:line="240" w:lineRule="auto"/>
              <w:jc w:val="right"/>
            </w:pPr>
            <w:r>
              <w:rPr>
                <w:rFonts w:ascii="Arial" w:hAnsi="Arial"/>
                <w:sz w:val="15"/>
              </w:rPr>
              <w:t xml:space="preserve">31%</w:t>
            </w:r>
          </w:p>
        </w:tc>
        <w:tc>
          <w:tcPr>
            <w:tcW w:type="dxa" w:w="1328"/>
            <w:shd w:val="clear" w:color="auto" w:fill="F1F2F5"/>
          </w:tcPr>
          <w:p>
            <w:pPr>
              <w:pStyle w:val="Compact"/>
              <w:spacing w:after="0" w:before="0" w:line="240" w:lineRule="auto"/>
              <w:jc w:val="left"/>
            </w:pPr>
            <w:r>
              <w:rPr>
                <w:rFonts w:ascii="Arial" w:hAnsi="Arial"/>
                <w:sz w:val="15"/>
              </w:rPr>
              <w:t xml:space="preserve">-15.0 (-4.8%)</w:t>
            </w:r>
          </w:p>
        </w:tc>
        <w:tc>
          <w:tcPr>
            <w:tcW w:type="dxa" w:w="1923"/>
            <w:shd w:val="clear" w:color="auto" w:fill="F1F2F5"/>
          </w:tcPr>
          <w:p>
            <w:pPr>
              <w:pStyle w:val="Compact"/>
              <w:spacing w:after="0" w:before="0" w:line="240" w:lineRule="auto"/>
              <w:jc w:val="left"/>
            </w:pPr>
            <w:r>
              <w:rPr>
                <w:rFonts w:ascii="Arial" w:hAnsi="Arial"/>
                <w:sz w:val="15"/>
              </w:rPr>
              <w:t xml:space="preserve">Loss-making after FDA ship-holds; under strategic review</w:t>
            </w:r>
          </w:p>
        </w:tc>
      </w:tr>
      <w:tr>
        <w:trPr>
          <w:cantSplit/>
        </w:trPr>
        <w:tc>
          <w:tcPr>
            <w:tcW w:type="dxa" w:w="2191"/>
          </w:tcPr>
          <w:p>
            <w:pPr>
              <w:pStyle w:val="Compact"/>
              <w:spacing w:after="0" w:before="0" w:line="240" w:lineRule="auto"/>
              <w:jc w:val="left"/>
            </w:pPr>
            <w:r>
              <w:rPr>
                <w:rFonts w:ascii="Arial" w:hAnsi="Arial"/>
                <w:sz w:val="15"/>
              </w:rPr>
              <w:t xml:space="preserve">Other / corporate</w:t>
            </w:r>
          </w:p>
        </w:tc>
        <w:tc>
          <w:tcPr>
            <w:tcW w:type="dxa" w:w="2788"/>
          </w:tcPr>
          <w:p>
            <w:pPr>
              <w:pStyle w:val="Compact"/>
              <w:spacing w:after="0" w:before="0" w:line="240" w:lineRule="auto"/>
              <w:jc w:val="left"/>
            </w:pPr>
            <w:r>
              <w:rPr>
                <w:rFonts w:ascii="Arial" w:hAnsi="Arial"/>
                <w:sz w:val="15"/>
              </w:rPr>
              <w:t xml:space="preserve">Head-office costs, eliminations</w:t>
            </w:r>
          </w:p>
        </w:tc>
        <w:tc>
          <w:tcPr>
            <w:tcW w:type="dxa" w:w="1051"/>
          </w:tcPr>
          <w:p>
            <w:pPr>
              <w:pStyle w:val="Compact"/>
              <w:spacing w:after="0" w:before="0" w:line="240" w:lineRule="auto"/>
              <w:jc w:val="right"/>
            </w:pPr>
            <w:r>
              <w:rPr>
                <w:rFonts w:ascii="Arial" w:hAnsi="Arial"/>
                <w:sz w:val="15"/>
              </w:rPr>
              <w:t xml:space="preserve">0.2</w:t>
            </w:r>
          </w:p>
        </w:tc>
        <w:tc>
          <w:tcPr>
            <w:tcW w:type="dxa" w:w="698"/>
          </w:tcPr>
          <w:p>
            <w:pPr>
              <w:pStyle w:val="Compact"/>
              <w:spacing w:after="0" w:before="0" w:line="240" w:lineRule="auto"/>
              <w:jc w:val="right"/>
            </w:pPr>
            <w:r>
              <w:rPr>
                <w:rFonts w:ascii="Arial" w:hAnsi="Arial"/>
                <w:sz w:val="15"/>
              </w:rPr>
              <w:t xml:space="preserve">0%</w:t>
            </w:r>
          </w:p>
        </w:tc>
        <w:tc>
          <w:tcPr>
            <w:tcW w:type="dxa" w:w="1328"/>
          </w:tcPr>
          <w:p>
            <w:pPr>
              <w:pStyle w:val="Compact"/>
              <w:spacing w:after="0" w:before="0" w:line="240" w:lineRule="auto"/>
              <w:jc w:val="left"/>
            </w:pPr>
            <w:r>
              <w:rPr>
                <w:rFonts w:ascii="Arial" w:hAnsi="Arial"/>
                <w:sz w:val="15"/>
              </w:rPr>
              <w:t xml:space="preserve">-24.3</w:t>
            </w:r>
          </w:p>
        </w:tc>
        <w:tc>
          <w:tcPr>
            <w:tcW w:type="dxa" w:w="1923"/>
          </w:tcPr>
          <w:p>
            <w:pPr>
              <w:pStyle w:val="Compact"/>
              <w:spacing w:after="0" w:before="0" w:line="240" w:lineRule="auto"/>
              <w:jc w:val="left"/>
            </w:pPr>
            <w:r>
              <w:rPr>
                <w:rFonts w:ascii="Arial" w:hAnsi="Arial"/>
                <w:sz w:val="15"/>
              </w:rPr>
              <w:t xml:space="preserve">Flat</w:t>
            </w:r>
          </w:p>
        </w:tc>
      </w:tr>
      <w:tr>
        <w:trPr>
          <w:cantSplit/>
        </w:trPr>
        <w:tc>
          <w:tcPr>
            <w:tcW w:type="dxa" w:w="2191"/>
            <w:shd w:val="clear" w:color="auto" w:fill="DCE4F2"/>
          </w:tcPr>
          <w:p>
            <w:pPr>
              <w:pStyle w:val="Compact"/>
              <w:spacing w:after="0" w:before="0" w:line="240" w:lineRule="auto"/>
              <w:jc w:val="left"/>
            </w:pPr>
            <w:r>
              <w:rPr>
                <w:bCs/>
                <w:rFonts w:ascii="Arial" w:hAnsi="Arial"/>
                <w:b/>
                <w:sz w:val="15"/>
              </w:rPr>
              <w:t xml:space="preserve">Total</w:t>
            </w:r>
          </w:p>
        </w:tc>
        <w:tc>
          <w:tcPr>
            <w:tcW w:type="dxa" w:w="2788"/>
            <w:shd w:val="clear" w:color="auto" w:fill="DCE4F2"/>
          </w:tcPr>
          <w:p>
            <w:pPr>
              <w:pStyle w:val="Compact"/>
              <w:spacing w:after="0" w:before="0" w:line="240" w:lineRule="auto"/>
            </w:pPr>
          </w:p>
        </w:tc>
        <w:tc>
          <w:tcPr>
            <w:tcW w:type="dxa" w:w="1051"/>
            <w:shd w:val="clear" w:color="auto" w:fill="DCE4F2"/>
          </w:tcPr>
          <w:p>
            <w:pPr>
              <w:pStyle w:val="Compact"/>
              <w:spacing w:after="0" w:before="0" w:line="240" w:lineRule="auto"/>
              <w:jc w:val="right"/>
            </w:pPr>
            <w:r>
              <w:rPr>
                <w:bCs/>
                <w:rFonts w:ascii="Arial" w:hAnsi="Arial"/>
                <w:b/>
                <w:sz w:val="15"/>
              </w:rPr>
              <w:t xml:space="preserve">1,010.7</w:t>
            </w:r>
          </w:p>
        </w:tc>
        <w:tc>
          <w:tcPr>
            <w:tcW w:type="dxa" w:w="698"/>
            <w:shd w:val="clear" w:color="auto" w:fill="DCE4F2"/>
          </w:tcPr>
          <w:p>
            <w:pPr>
              <w:pStyle w:val="Compact"/>
              <w:spacing w:after="0" w:before="0" w:line="240" w:lineRule="auto"/>
              <w:jc w:val="right"/>
            </w:pPr>
            <w:r>
              <w:rPr>
                <w:bCs/>
                <w:rFonts w:ascii="Arial" w:hAnsi="Arial"/>
                <w:b/>
                <w:sz w:val="15"/>
              </w:rPr>
              <w:t xml:space="preserve">100%</w:t>
            </w:r>
          </w:p>
        </w:tc>
        <w:tc>
          <w:tcPr>
            <w:tcW w:type="dxa" w:w="1328"/>
            <w:shd w:val="clear" w:color="auto" w:fill="DCE4F2"/>
          </w:tcPr>
          <w:p>
            <w:pPr>
              <w:pStyle w:val="Compact"/>
              <w:spacing w:after="0" w:before="0" w:line="240" w:lineRule="auto"/>
              <w:jc w:val="left"/>
            </w:pPr>
            <w:r>
              <w:rPr>
                <w:bCs/>
                <w:rFonts w:ascii="Arial" w:hAnsi="Arial"/>
                <w:b/>
                <w:sz w:val="15"/>
              </w:rPr>
              <w:t xml:space="preserve">97.1 (9.6%)</w:t>
            </w:r>
            <w:r>
              <w:rPr>
                <w:rFonts w:ascii="Arial" w:hAnsi="Arial"/>
                <w:b/>
                <w:sz w:val="15"/>
              </w:rPr>
              <w:t xml:space="preserve">; adjusted OP 143.3 (14.2%)</w:t>
            </w:r>
          </w:p>
        </w:tc>
        <w:tc>
          <w:tcPr>
            <w:tcW w:type="dxa" w:w="1923"/>
            <w:shd w:val="clear" w:color="auto" w:fill="DCE4F2"/>
          </w:tcPr>
          <w:p>
            <w:pPr>
              <w:pStyle w:val="Compact"/>
              <w:spacing w:after="0" w:before="0" w:line="240" w:lineRule="auto"/>
            </w:pPr>
          </w:p>
        </w:tc>
      </w:tr>
    </w:tbl>
    <w:p>
      <w:pPr>
        <w:pStyle w:val="BodyText"/>
      </w:pPr>
      <w:r>
        <w:rPr>
          <w:iCs/>
          <w:i/>
        </w:rPr>
        <w:t xml:space="preserve">Source: FY3/26 tanshin segment note. Segment OP is IFRS operating profit, including</w:t>
      </w:r>
      <w:r>
        <w:rPr>
          <w:iCs/>
          <w:i/>
        </w:rPr>
        <w:t xml:space="preserve"> </w:t>
      </w:r>
      <w:r>
        <w:rPr>
          <w:iCs/>
          <w:i/>
        </w:rPr>
        <w:t xml:space="preserve">“</w:t>
      </w:r>
      <w:r>
        <w:rPr>
          <w:iCs/>
          <w:i/>
        </w:rPr>
        <w:t xml:space="preserve">other income and expenses</w:t>
      </w:r>
      <w:r>
        <w:rPr>
          <w:iCs/>
          <w:i/>
        </w:rPr>
        <w:t xml:space="preserve">”</w:t>
      </w:r>
      <w:r>
        <w:rPr>
          <w:iCs/>
          <w:i/>
        </w:rPr>
        <w:t xml:space="preserve"> </w:t>
      </w:r>
      <w:r>
        <w:rPr>
          <w:iCs/>
          <w:i/>
        </w:rPr>
        <w:t xml:space="preserve">(restructuring, impairments and similar items) allocated to each segment.</w:t>
      </w:r>
    </w:p>
    <w:p>
      <w:pPr>
        <w:pStyle w:val="BodyText"/>
      </w:pPr>
      <w:r>
        <w:rPr>
          <w:bCs/>
          <w:b/>
        </w:rPr>
        <w:t xml:space="preserve">In one sentence:</w:t>
      </w:r>
      <w:r>
        <w:t xml:space="preserve"> </w:t>
      </w:r>
      <w:r>
        <w:t xml:space="preserve">Olympus is the world’s dominant GI endoscopy franchise, with a recurring service tail, attached to a sub-scale surgical business. Its value depends on fixing a chronic US FDA quality-system problem, and on what it decides to do with Surgical.</w:t>
      </w:r>
    </w:p>
    <w:bookmarkEnd w:id="23"/>
    <w:bookmarkStart w:id="33" w:name="X9ac7dda3f4a0dd19cd69c932fcd0c0751a05c59"/>
    <w:p>
      <w:pPr>
        <w:pStyle w:val="Heading1"/>
      </w:pPr>
      <w:r>
        <w:t xml:space="preserve">Business model, products, customers, suppliers and competitors</w:t>
      </w:r>
    </w:p>
    <w:bookmarkStart w:id="24" w:name="business-model-in-simple-terms"/>
    <w:p>
      <w:pPr>
        <w:pStyle w:val="Heading2"/>
      </w:pPr>
      <w:r>
        <w:t xml:space="preserve">Business model in simple terms</w:t>
      </w:r>
    </w:p>
    <w:p>
      <w:pPr>
        <w:numPr>
          <w:ilvl w:val="0"/>
          <w:numId w:val="1006"/>
        </w:numPr>
        <w:pStyle w:val="Compact"/>
      </w:pPr>
      <w:r>
        <w:rPr>
          <w:bCs/>
          <w:b/>
        </w:rPr>
        <w:t xml:space="preserve">Installed-base economics.</w:t>
      </w:r>
      <w:r>
        <w:t xml:space="preserve"> </w:t>
      </w:r>
      <w:r>
        <w:t xml:space="preserve">Capital placements (processors and scopes) drive pull-through of consumables and service for 6–8 years. GIS combines roughly 55% GI endoscopy capital, ~15% endotherapy consumables and ~30% Medical Service (IR 2025, approximate) [u]. Recurring revenue (service plus consumables) is therefore roughly 45% of GIS and ~40% of the group [e].</w:t>
      </w:r>
    </w:p>
    <w:p>
      <w:pPr>
        <w:numPr>
          <w:ilvl w:val="0"/>
          <w:numId w:val="1006"/>
        </w:numPr>
        <w:pStyle w:val="Compact"/>
      </w:pPr>
      <w:r>
        <w:rPr>
          <w:bCs/>
          <w:b/>
        </w:rPr>
        <w:t xml:space="preserve">Pricing power through clinical workflow.</w:t>
      </w:r>
      <w:r>
        <w:t xml:space="preserve"> </w:t>
      </w:r>
      <w:r>
        <w:t xml:space="preserve">Olympus image-enhancement features are embedded in clinical practice and training: NBI (narrow-band imaging), TXI, RDI, EDOF (extended depth of field) and AI-assisted detection (CADDIE, OLYSENSE). The US EVIS X1 launch in 2023 lifted North America GI endoscopy by ~44% YoY at its peak (2Q FY3/25).</w:t>
      </w:r>
    </w:p>
    <w:p>
      <w:pPr>
        <w:numPr>
          <w:ilvl w:val="0"/>
          <w:numId w:val="1006"/>
        </w:numPr>
        <w:pStyle w:val="Compact"/>
      </w:pPr>
      <w:r>
        <w:rPr>
          <w:bCs/>
          <w:b/>
        </w:rPr>
        <w:t xml:space="preserve">Financing as a sales tool.</w:t>
      </w:r>
      <w:r>
        <w:t xml:space="preserve"> </w:t>
      </w:r>
      <w:r>
        <w:t xml:space="preserve">Olympus increasingly places equipment through customer leases. Lease receivables rose from JPY86bn (Mar-24) to JPY137bn (Mar-26). This supports sales, but it uses the balance sheet and inflates receivables (receivable days rose from 75 to 86).</w:t>
      </w:r>
    </w:p>
    <w:p>
      <w:pPr>
        <w:numPr>
          <w:ilvl w:val="0"/>
          <w:numId w:val="1006"/>
        </w:numPr>
        <w:pStyle w:val="Compact"/>
      </w:pPr>
      <w:r>
        <w:rPr>
          <w:bCs/>
          <w:b/>
        </w:rPr>
        <w:t xml:space="preserve">Cost structure.</w:t>
      </w:r>
    </w:p>
    <w:p>
      <w:pPr>
        <w:numPr>
          <w:ilvl w:val="1"/>
          <w:numId w:val="1007"/>
        </w:numPr>
        <w:pStyle w:val="Compact"/>
      </w:pPr>
      <w:r>
        <w:t xml:space="preserve">Gross margin is ~65% (64.7% in FY3/26, down from 68.6%, on tariffs and ship-hold costs).</w:t>
      </w:r>
    </w:p>
    <w:p>
      <w:pPr>
        <w:numPr>
          <w:ilvl w:val="1"/>
          <w:numId w:val="1007"/>
        </w:numPr>
        <w:pStyle w:val="Compact"/>
      </w:pPr>
      <w:r>
        <w:t xml:space="preserve">SG&amp;A including R&amp;D is ~50% of sales. R&amp;D is JPY110bn, or 10.9% of sales; FY3/27 guidance is JPY119bn.</w:t>
      </w:r>
    </w:p>
    <w:p>
      <w:pPr>
        <w:numPr>
          <w:ilvl w:val="1"/>
          <w:numId w:val="1007"/>
        </w:numPr>
        <w:pStyle w:val="Compact"/>
      </w:pPr>
      <w:r>
        <w:t xml:space="preserve">Manufacturing is concentrated in Japan (Aizu, Hachioji, Hinode, Aomori, Shirakawa). That exposes Olympus to the 15% US tariff on Japanese goods and to FDA inspection risk at a few critical plants.</w:t>
      </w:r>
    </w:p>
    <w:bookmarkEnd w:id="24"/>
    <w:bookmarkStart w:id="25" w:name="key-products-and-services"/>
    <w:p>
      <w:pPr>
        <w:pStyle w:val="Heading2"/>
      </w:pPr>
      <w:r>
        <w:t xml:space="preserve">Key products and services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763"/>
        <w:gridCol w:w="3391"/>
        <w:gridCol w:w="1918"/>
        <w:gridCol w:w="2904"/>
      </w:tblGrid>
      <w:tr>
        <w:trPr>
          <w:tblHeader w:val="true"/>
          <w:tblHeader w:val="true"/>
          <w:cantSplit/>
        </w:trPr>
        <w:tc>
          <w:tcPr>
            <w:tcW w:type="dxa" w:w="1764"/>
            <w:shd w:val="clear" w:color="auto" w:fill="13213F"/>
          </w:tcPr>
          <w:p>
            <w:pPr>
              <w:pStyle w:val="Compact"/>
              <w:spacing w:after="0" w:before="0" w:line="240" w:lineRule="auto"/>
              <w:jc w:val="left"/>
            </w:pPr>
            <w:r>
              <w:rPr>
                <w:rFonts w:ascii="Arial" w:hAnsi="Arial"/>
                <w:b/>
                <w:color w:val="FFFFFF"/>
                <w:sz w:val="15"/>
              </w:rPr>
              <w:t xml:space="preserve">Franchise</w:t>
            </w:r>
          </w:p>
        </w:tc>
        <w:tc>
          <w:tcPr>
            <w:tcW w:type="dxa" w:w="3392"/>
            <w:shd w:val="clear" w:color="auto" w:fill="13213F"/>
          </w:tcPr>
          <w:p>
            <w:pPr>
              <w:pStyle w:val="Compact"/>
              <w:spacing w:after="0" w:before="0" w:line="240" w:lineRule="auto"/>
              <w:jc w:val="left"/>
            </w:pPr>
            <w:r>
              <w:rPr>
                <w:rFonts w:ascii="Arial" w:hAnsi="Arial"/>
                <w:b/>
                <w:color w:val="FFFFFF"/>
                <w:sz w:val="15"/>
              </w:rPr>
              <w:t xml:space="preserve">Key products</w:t>
            </w:r>
          </w:p>
        </w:tc>
        <w:tc>
          <w:tcPr>
            <w:tcW w:type="dxa" w:w="1919"/>
            <w:shd w:val="clear" w:color="auto" w:fill="13213F"/>
          </w:tcPr>
          <w:p>
            <w:pPr>
              <w:pStyle w:val="Compact"/>
              <w:spacing w:after="0" w:before="0" w:line="240" w:lineRule="auto"/>
              <w:jc w:val="left"/>
            </w:pPr>
            <w:r>
              <w:rPr>
                <w:rFonts w:ascii="Arial" w:hAnsi="Arial"/>
                <w:b/>
                <w:color w:val="FFFFFF"/>
                <w:sz w:val="15"/>
              </w:rPr>
              <w:t xml:space="preserve">Position</w:t>
            </w:r>
          </w:p>
        </w:tc>
        <w:tc>
          <w:tcPr>
            <w:tcW w:type="dxa" w:w="2904"/>
            <w:shd w:val="clear" w:color="auto" w:fill="13213F"/>
          </w:tcPr>
          <w:p>
            <w:pPr>
              <w:pStyle w:val="Compact"/>
              <w:spacing w:after="0" w:before="0" w:line="240" w:lineRule="auto"/>
              <w:jc w:val="left"/>
            </w:pPr>
            <w:r>
              <w:rPr>
                <w:rFonts w:ascii="Arial" w:hAnsi="Arial"/>
                <w:b/>
                <w:color w:val="FFFFFF"/>
                <w:sz w:val="15"/>
              </w:rPr>
              <w:t xml:space="preserve">Comment</w:t>
            </w:r>
          </w:p>
        </w:tc>
      </w:tr>
      <w:tr>
        <w:trPr>
          <w:cantSplit/>
        </w:trPr>
        <w:tc>
          <w:tcPr>
            <w:tcW w:type="dxa" w:w="1764"/>
          </w:tcPr>
          <w:p>
            <w:pPr>
              <w:pStyle w:val="Compact"/>
              <w:spacing w:after="0" w:before="0" w:line="240" w:lineRule="auto"/>
              <w:jc w:val="left"/>
            </w:pPr>
            <w:r>
              <w:rPr>
                <w:rFonts w:ascii="Arial" w:hAnsi="Arial"/>
                <w:sz w:val="15"/>
              </w:rPr>
              <w:t xml:space="preserve">GI endoscopy (GIS)</w:t>
            </w:r>
          </w:p>
        </w:tc>
        <w:tc>
          <w:tcPr>
            <w:tcW w:type="dxa" w:w="3392"/>
          </w:tcPr>
          <w:p>
            <w:pPr>
              <w:pStyle w:val="Compact"/>
              <w:spacing w:after="0" w:before="0" w:line="240" w:lineRule="auto"/>
              <w:jc w:val="left"/>
            </w:pPr>
            <w:r>
              <w:rPr>
                <w:rFonts w:ascii="Arial" w:hAnsi="Arial"/>
                <w:sz w:val="15"/>
              </w:rPr>
              <w:t xml:space="preserve">EVIS X1 (CV-1500) platform; GIF-1100 / CF-HQ1100 scopes; EZ1500 EDOF scopes (FDA-cleared May-2025); single-use cholangioscope (pipeline)</w:t>
            </w:r>
          </w:p>
        </w:tc>
        <w:tc>
          <w:tcPr>
            <w:tcW w:type="dxa" w:w="1919"/>
          </w:tcPr>
          <w:p>
            <w:pPr>
              <w:pStyle w:val="Compact"/>
              <w:spacing w:after="0" w:before="0" w:line="240" w:lineRule="auto"/>
              <w:jc w:val="left"/>
            </w:pPr>
            <w:r>
              <w:rPr>
                <w:rFonts w:ascii="Arial" w:hAnsi="Arial"/>
                <w:sz w:val="15"/>
              </w:rPr>
              <w:t xml:space="preserve">#1 globally (~70% [u]); Fujifilm #2, PENTAX (Hoya) #3</w:t>
            </w:r>
          </w:p>
        </w:tc>
        <w:tc>
          <w:tcPr>
            <w:tcW w:type="dxa" w:w="2904"/>
          </w:tcPr>
          <w:p>
            <w:pPr>
              <w:pStyle w:val="Compact"/>
              <w:spacing w:after="0" w:before="0" w:line="240" w:lineRule="auto"/>
              <w:jc w:val="left"/>
            </w:pPr>
            <w:r>
              <w:rPr>
                <w:rFonts w:ascii="Arial" w:hAnsi="Arial"/>
                <w:sz w:val="15"/>
              </w:rPr>
              <w:t xml:space="preserve">US EVIS X1 launch came ~3 years after Europe and Japan; local GI-scope production started in China in FY3/26</w:t>
            </w:r>
          </w:p>
        </w:tc>
      </w:tr>
      <w:tr>
        <w:trPr>
          <w:cantSplit/>
        </w:trPr>
        <w:tc>
          <w:tcPr>
            <w:tcW w:type="dxa" w:w="1764"/>
            <w:shd w:val="clear" w:color="auto" w:fill="F1F2F5"/>
          </w:tcPr>
          <w:p>
            <w:pPr>
              <w:pStyle w:val="Compact"/>
              <w:spacing w:after="0" w:before="0" w:line="240" w:lineRule="auto"/>
              <w:jc w:val="left"/>
            </w:pPr>
            <w:r>
              <w:rPr>
                <w:rFonts w:ascii="Arial" w:hAnsi="Arial"/>
                <w:sz w:val="15"/>
              </w:rPr>
              <w:t xml:space="preserve">GI endotherapy (GIS)</w:t>
            </w:r>
          </w:p>
        </w:tc>
        <w:tc>
          <w:tcPr>
            <w:tcW w:type="dxa" w:w="3392"/>
            <w:shd w:val="clear" w:color="auto" w:fill="F1F2F5"/>
          </w:tcPr>
          <w:p>
            <w:pPr>
              <w:pStyle w:val="Compact"/>
              <w:spacing w:after="0" w:before="0" w:line="240" w:lineRule="auto"/>
              <w:jc w:val="left"/>
            </w:pPr>
            <w:r>
              <w:rPr>
                <w:rFonts w:ascii="Arial" w:hAnsi="Arial"/>
                <w:sz w:val="15"/>
              </w:rPr>
              <w:t xml:space="preserve">Biopsy forceps, snares, clips, ERCP tools, GORE VIABIL biliary stent (distributed from Jan-2026), EndoRobotics ESD robot (distribution from May-2026)</w:t>
            </w:r>
          </w:p>
        </w:tc>
        <w:tc>
          <w:tcPr>
            <w:tcW w:type="dxa" w:w="1919"/>
            <w:shd w:val="clear" w:color="auto" w:fill="F1F2F5"/>
          </w:tcPr>
          <w:p>
            <w:pPr>
              <w:pStyle w:val="Compact"/>
              <w:spacing w:after="0" w:before="0" w:line="240" w:lineRule="auto"/>
              <w:jc w:val="left"/>
            </w:pPr>
            <w:r>
              <w:rPr>
                <w:rFonts w:ascii="Arial" w:hAnsi="Arial"/>
                <w:sz w:val="15"/>
              </w:rPr>
              <w:t xml:space="preserve">Top-3 with Boston Scientific and Cook [e]</w:t>
            </w:r>
          </w:p>
        </w:tc>
        <w:tc>
          <w:tcPr>
            <w:tcW w:type="dxa" w:w="2904"/>
            <w:shd w:val="clear" w:color="auto" w:fill="F1F2F5"/>
          </w:tcPr>
          <w:p>
            <w:pPr>
              <w:pStyle w:val="Compact"/>
              <w:spacing w:after="0" w:before="0" w:line="240" w:lineRule="auto"/>
              <w:jc w:val="left"/>
            </w:pPr>
            <w:r>
              <w:rPr>
                <w:rFonts w:ascii="Arial" w:hAnsi="Arial"/>
                <w:sz w:val="15"/>
              </w:rPr>
              <w:t xml:space="preserve">China volume-based procurement (VBP) has hit consumable pricing</w:t>
            </w:r>
          </w:p>
        </w:tc>
      </w:tr>
      <w:tr>
        <w:trPr>
          <w:cantSplit/>
        </w:trPr>
        <w:tc>
          <w:tcPr>
            <w:tcW w:type="dxa" w:w="1764"/>
          </w:tcPr>
          <w:p>
            <w:pPr>
              <w:pStyle w:val="Compact"/>
              <w:spacing w:after="0" w:before="0" w:line="240" w:lineRule="auto"/>
              <w:jc w:val="left"/>
            </w:pPr>
            <w:r>
              <w:rPr>
                <w:rFonts w:ascii="Arial" w:hAnsi="Arial"/>
                <w:sz w:val="15"/>
              </w:rPr>
              <w:t xml:space="preserve">Medical Service (GIS)</w:t>
            </w:r>
          </w:p>
        </w:tc>
        <w:tc>
          <w:tcPr>
            <w:tcW w:type="dxa" w:w="3392"/>
          </w:tcPr>
          <w:p>
            <w:pPr>
              <w:pStyle w:val="Compact"/>
              <w:spacing w:after="0" w:before="0" w:line="240" w:lineRule="auto"/>
              <w:jc w:val="left"/>
            </w:pPr>
            <w:r>
              <w:rPr>
                <w:rFonts w:ascii="Arial" w:hAnsi="Arial"/>
                <w:sz w:val="15"/>
              </w:rPr>
              <w:t xml:space="preserve">Repair, maintenance contracts, loaners, leasing</w:t>
            </w:r>
          </w:p>
        </w:tc>
        <w:tc>
          <w:tcPr>
            <w:tcW w:type="dxa" w:w="1919"/>
          </w:tcPr>
          <w:p>
            <w:pPr>
              <w:pStyle w:val="Compact"/>
              <w:spacing w:after="0" w:before="0" w:line="240" w:lineRule="auto"/>
              <w:jc w:val="left"/>
            </w:pPr>
            <w:r>
              <w:rPr>
                <w:rFonts w:ascii="Arial" w:hAnsi="Arial"/>
                <w:sz w:val="15"/>
              </w:rPr>
              <w:t xml:space="preserve">Unique scale [e]</w:t>
            </w:r>
          </w:p>
        </w:tc>
        <w:tc>
          <w:tcPr>
            <w:tcW w:type="dxa" w:w="2904"/>
          </w:tcPr>
          <w:p>
            <w:pPr>
              <w:pStyle w:val="Compact"/>
              <w:spacing w:after="0" w:before="0" w:line="240" w:lineRule="auto"/>
              <w:jc w:val="left"/>
            </w:pPr>
            <w:r>
              <w:rPr>
                <w:rFonts w:ascii="Arial" w:hAnsi="Arial"/>
                <w:sz w:val="15"/>
              </w:rPr>
              <w:t xml:space="preserve">~20% of group revenue [e]; stable growth, especially in Europe</w:t>
            </w:r>
          </w:p>
        </w:tc>
      </w:tr>
      <w:tr>
        <w:trPr>
          <w:cantSplit/>
        </w:trPr>
        <w:tc>
          <w:tcPr>
            <w:tcW w:type="dxa" w:w="1764"/>
            <w:shd w:val="clear" w:color="auto" w:fill="F1F2F5"/>
          </w:tcPr>
          <w:p>
            <w:pPr>
              <w:pStyle w:val="Compact"/>
              <w:spacing w:after="0" w:before="0" w:line="240" w:lineRule="auto"/>
              <w:jc w:val="left"/>
            </w:pPr>
            <w:r>
              <w:rPr>
                <w:rFonts w:ascii="Arial" w:hAnsi="Arial"/>
                <w:sz w:val="15"/>
              </w:rPr>
              <w:t xml:space="preserve">Respiratory (SIS)</w:t>
            </w:r>
          </w:p>
        </w:tc>
        <w:tc>
          <w:tcPr>
            <w:tcW w:type="dxa" w:w="3392"/>
            <w:shd w:val="clear" w:color="auto" w:fill="F1F2F5"/>
          </w:tcPr>
          <w:p>
            <w:pPr>
              <w:pStyle w:val="Compact"/>
              <w:spacing w:after="0" w:before="0" w:line="240" w:lineRule="auto"/>
              <w:jc w:val="left"/>
            </w:pPr>
            <w:r>
              <w:rPr>
                <w:rFonts w:ascii="Arial" w:hAnsi="Arial"/>
                <w:sz w:val="15"/>
              </w:rPr>
              <w:t xml:space="preserve">Bronchoscopes, EBUS (peripheral EBUS BF-UCP190F, US launch Oct-2026), H-SteriScope single-use</w:t>
            </w:r>
          </w:p>
        </w:tc>
        <w:tc>
          <w:tcPr>
            <w:tcW w:type="dxa" w:w="1919"/>
            <w:shd w:val="clear" w:color="auto" w:fill="F1F2F5"/>
          </w:tcPr>
          <w:p>
            <w:pPr>
              <w:pStyle w:val="Compact"/>
              <w:spacing w:after="0" w:before="0" w:line="240" w:lineRule="auto"/>
              <w:jc w:val="left"/>
            </w:pPr>
            <w:r>
              <w:rPr>
                <w:rFonts w:ascii="Arial" w:hAnsi="Arial"/>
                <w:sz w:val="15"/>
              </w:rPr>
              <w:t xml:space="preserve">#1 in EBUS [u]</w:t>
            </w:r>
          </w:p>
        </w:tc>
        <w:tc>
          <w:tcPr>
            <w:tcW w:type="dxa" w:w="2904"/>
            <w:shd w:val="clear" w:color="auto" w:fill="F1F2F5"/>
          </w:tcPr>
          <w:p>
            <w:pPr>
              <w:pStyle w:val="Compact"/>
              <w:spacing w:after="0" w:before="0" w:line="240" w:lineRule="auto"/>
              <w:jc w:val="left"/>
            </w:pPr>
            <w:r>
              <w:rPr>
                <w:rFonts w:ascii="Arial" w:hAnsi="Arial"/>
                <w:sz w:val="15"/>
              </w:rPr>
              <w:t xml:space="preserve">Veran navigation was exited in 2023 (JPY52bn loss)</w:t>
            </w:r>
          </w:p>
        </w:tc>
      </w:tr>
      <w:tr>
        <w:trPr>
          <w:cantSplit/>
        </w:trPr>
        <w:tc>
          <w:tcPr>
            <w:tcW w:type="dxa" w:w="1764"/>
          </w:tcPr>
          <w:p>
            <w:pPr>
              <w:pStyle w:val="Compact"/>
              <w:spacing w:after="0" w:before="0" w:line="240" w:lineRule="auto"/>
              <w:jc w:val="left"/>
            </w:pPr>
            <w:r>
              <w:rPr>
                <w:rFonts w:ascii="Arial" w:hAnsi="Arial"/>
                <w:sz w:val="15"/>
              </w:rPr>
              <w:t xml:space="preserve">Urology (SIS)</w:t>
            </w:r>
          </w:p>
        </w:tc>
        <w:tc>
          <w:tcPr>
            <w:tcW w:type="dxa" w:w="3392"/>
          </w:tcPr>
          <w:p>
            <w:pPr>
              <w:pStyle w:val="Compact"/>
              <w:spacing w:after="0" w:before="0" w:line="240" w:lineRule="auto"/>
              <w:jc w:val="left"/>
            </w:pPr>
            <w:r>
              <w:rPr>
                <w:rFonts w:ascii="Arial" w:hAnsi="Arial"/>
                <w:sz w:val="15"/>
              </w:rPr>
              <w:t xml:space="preserve">Ureteroscopes, Soltive laser, iTind (Medi-Tate), BioProtect rectal spacer (US$270m, Jun-2026)</w:t>
            </w:r>
          </w:p>
        </w:tc>
        <w:tc>
          <w:tcPr>
            <w:tcW w:type="dxa" w:w="1919"/>
          </w:tcPr>
          <w:p>
            <w:pPr>
              <w:pStyle w:val="Compact"/>
              <w:spacing w:after="0" w:before="0" w:line="240" w:lineRule="auto"/>
              <w:jc w:val="left"/>
            </w:pPr>
            <w:r>
              <w:rPr>
                <w:rFonts w:ascii="Arial" w:hAnsi="Arial"/>
                <w:sz w:val="15"/>
              </w:rPr>
              <w:t xml:space="preserve">Top-3 with Boston Scientific and Karl Storz [e]</w:t>
            </w:r>
          </w:p>
        </w:tc>
        <w:tc>
          <w:tcPr>
            <w:tcW w:type="dxa" w:w="2904"/>
          </w:tcPr>
          <w:p>
            <w:pPr>
              <w:pStyle w:val="Compact"/>
              <w:spacing w:after="0" w:before="0" w:line="240" w:lineRule="auto"/>
              <w:jc w:val="left"/>
            </w:pPr>
            <w:r>
              <w:rPr>
                <w:rFonts w:ascii="Arial" w:hAnsi="Arial"/>
                <w:sz w:val="15"/>
              </w:rPr>
              <w:t xml:space="preserve">Aizu-made ureteroscopes are under the Jun-2025 FDA import alert</w:t>
            </w:r>
          </w:p>
        </w:tc>
      </w:tr>
      <w:tr>
        <w:trPr>
          <w:cantSplit/>
        </w:trPr>
        <w:tc>
          <w:tcPr>
            <w:tcW w:type="dxa" w:w="1764"/>
            <w:shd w:val="clear" w:color="auto" w:fill="F1F2F5"/>
          </w:tcPr>
          <w:p>
            <w:pPr>
              <w:pStyle w:val="Compact"/>
              <w:spacing w:after="0" w:before="0" w:line="240" w:lineRule="auto"/>
              <w:jc w:val="left"/>
            </w:pPr>
            <w:r>
              <w:rPr>
                <w:rFonts w:ascii="Arial" w:hAnsi="Arial"/>
                <w:sz w:val="15"/>
              </w:rPr>
              <w:t xml:space="preserve">Surgical endoscopy and energy (SIS)</w:t>
            </w:r>
          </w:p>
        </w:tc>
        <w:tc>
          <w:tcPr>
            <w:tcW w:type="dxa" w:w="3392"/>
            <w:shd w:val="clear" w:color="auto" w:fill="F1F2F5"/>
          </w:tcPr>
          <w:p>
            <w:pPr>
              <w:pStyle w:val="Compact"/>
              <w:spacing w:after="0" w:before="0" w:line="240" w:lineRule="auto"/>
              <w:jc w:val="left"/>
            </w:pPr>
            <w:r>
              <w:rPr>
                <w:rFonts w:ascii="Arial" w:hAnsi="Arial"/>
                <w:sz w:val="15"/>
              </w:rPr>
              <w:t xml:space="preserve">VISERA ELITE III (4K/3D/IR; with Sony’s SOMED JV), THUNDERBEAT II, POWERSEAL</w:t>
            </w:r>
          </w:p>
        </w:tc>
        <w:tc>
          <w:tcPr>
            <w:tcW w:type="dxa" w:w="1919"/>
            <w:shd w:val="clear" w:color="auto" w:fill="F1F2F5"/>
          </w:tcPr>
          <w:p>
            <w:pPr>
              <w:pStyle w:val="Compact"/>
              <w:spacing w:after="0" w:before="0" w:line="240" w:lineRule="auto"/>
              <w:jc w:val="left"/>
            </w:pPr>
            <w:r>
              <w:rPr>
                <w:rFonts w:ascii="Arial" w:hAnsi="Arial"/>
                <w:sz w:val="15"/>
              </w:rPr>
              <w:t xml:space="preserve">Challenger to Stryker 1788 and Karl Storz</w:t>
            </w:r>
          </w:p>
        </w:tc>
        <w:tc>
          <w:tcPr>
            <w:tcW w:type="dxa" w:w="2904"/>
            <w:shd w:val="clear" w:color="auto" w:fill="F1F2F5"/>
          </w:tcPr>
          <w:p>
            <w:pPr>
              <w:pStyle w:val="Compact"/>
              <w:spacing w:after="0" w:before="0" w:line="240" w:lineRule="auto"/>
              <w:jc w:val="left"/>
            </w:pPr>
            <w:r>
              <w:rPr>
                <w:rFonts w:ascii="Arial" w:hAnsi="Arial"/>
                <w:sz w:val="15"/>
              </w:rPr>
              <w:t xml:space="preserve">Inside the scope of the strategic review</w:t>
            </w:r>
          </w:p>
        </w:tc>
      </w:tr>
      <w:tr>
        <w:trPr>
          <w:cantSplit/>
        </w:trPr>
        <w:tc>
          <w:tcPr>
            <w:tcW w:type="dxa" w:w="1764"/>
          </w:tcPr>
          <w:p>
            <w:pPr>
              <w:pStyle w:val="Compact"/>
              <w:spacing w:after="0" w:before="0" w:line="240" w:lineRule="auto"/>
              <w:jc w:val="left"/>
            </w:pPr>
            <w:r>
              <w:rPr>
                <w:rFonts w:ascii="Arial" w:hAnsi="Arial"/>
                <w:sz w:val="15"/>
              </w:rPr>
              <w:t xml:space="preserve">ENT and gynaecology (SIS)</w:t>
            </w:r>
          </w:p>
        </w:tc>
        <w:tc>
          <w:tcPr>
            <w:tcW w:type="dxa" w:w="3392"/>
          </w:tcPr>
          <w:p>
            <w:pPr>
              <w:pStyle w:val="Compact"/>
              <w:spacing w:after="0" w:before="0" w:line="240" w:lineRule="auto"/>
              <w:jc w:val="left"/>
            </w:pPr>
            <w:r>
              <w:rPr>
                <w:rFonts w:ascii="Arial" w:hAnsi="Arial"/>
                <w:sz w:val="15"/>
              </w:rPr>
              <w:t xml:space="preserve">Sinuscopes, Diego Elite shavers, hysteroscopes</w:t>
            </w:r>
          </w:p>
        </w:tc>
        <w:tc>
          <w:tcPr>
            <w:tcW w:type="dxa" w:w="1919"/>
          </w:tcPr>
          <w:p>
            <w:pPr>
              <w:pStyle w:val="Compact"/>
              <w:spacing w:after="0" w:before="0" w:line="240" w:lineRule="auto"/>
              <w:jc w:val="left"/>
            </w:pPr>
            <w:r>
              <w:rPr>
                <w:rFonts w:ascii="Arial" w:hAnsi="Arial"/>
                <w:sz w:val="15"/>
              </w:rPr>
              <w:t xml:space="preserve">Niche</w:t>
            </w:r>
          </w:p>
        </w:tc>
        <w:tc>
          <w:tcPr>
            <w:tcW w:type="dxa" w:w="2904"/>
          </w:tcPr>
          <w:p>
            <w:pPr>
              <w:pStyle w:val="Compact"/>
              <w:spacing w:after="0" w:before="0" w:line="240" w:lineRule="auto"/>
              <w:jc w:val="left"/>
            </w:pPr>
            <w:r>
              <w:rPr>
                <w:rFonts w:ascii="Arial" w:hAnsi="Arial"/>
                <w:sz w:val="15"/>
              </w:rPr>
              <w:t xml:space="preserve">Inside the scope of the strategic review</w:t>
            </w:r>
          </w:p>
        </w:tc>
      </w:tr>
      <w:tr>
        <w:trPr>
          <w:cantSplit/>
        </w:trPr>
        <w:tc>
          <w:tcPr>
            <w:tcW w:type="dxa" w:w="1764"/>
            <w:shd w:val="clear" w:color="auto" w:fill="F1F2F5"/>
          </w:tcPr>
          <w:p>
            <w:pPr>
              <w:pStyle w:val="Compact"/>
              <w:spacing w:after="0" w:before="0" w:line="240" w:lineRule="auto"/>
              <w:jc w:val="left"/>
            </w:pPr>
            <w:r>
              <w:rPr>
                <w:rFonts w:ascii="Arial" w:hAnsi="Arial"/>
                <w:sz w:val="15"/>
              </w:rPr>
              <w:t xml:space="preserve">Robotics and AI (options)</w:t>
            </w:r>
          </w:p>
        </w:tc>
        <w:tc>
          <w:tcPr>
            <w:tcW w:type="dxa" w:w="3392"/>
            <w:shd w:val="clear" w:color="auto" w:fill="F1F2F5"/>
          </w:tcPr>
          <w:p>
            <w:pPr>
              <w:pStyle w:val="Compact"/>
              <w:spacing w:after="0" w:before="0" w:line="240" w:lineRule="auto"/>
              <w:jc w:val="left"/>
            </w:pPr>
            <w:r>
              <w:rPr>
                <w:rFonts w:ascii="Arial" w:hAnsi="Arial"/>
                <w:sz w:val="15"/>
              </w:rPr>
              <w:t xml:space="preserve">Swan EndoSurgical JV (endoluminal robotics; call option to buy), OLYSENSE / CADDIE (Odin Vision)</w:t>
            </w:r>
          </w:p>
        </w:tc>
        <w:tc>
          <w:tcPr>
            <w:tcW w:type="dxa" w:w="1919"/>
            <w:shd w:val="clear" w:color="auto" w:fill="F1F2F5"/>
          </w:tcPr>
          <w:p>
            <w:pPr>
              <w:pStyle w:val="Compact"/>
              <w:spacing w:after="0" w:before="0" w:line="240" w:lineRule="auto"/>
              <w:jc w:val="left"/>
            </w:pPr>
            <w:r>
              <w:rPr>
                <w:rFonts w:ascii="Arial" w:hAnsi="Arial"/>
                <w:sz w:val="15"/>
              </w:rPr>
              <w:t xml:space="preserve">Early stage</w:t>
            </w:r>
          </w:p>
        </w:tc>
        <w:tc>
          <w:tcPr>
            <w:tcW w:type="dxa" w:w="2904"/>
            <w:shd w:val="clear" w:color="auto" w:fill="F1F2F5"/>
          </w:tcPr>
          <w:p>
            <w:pPr>
              <w:pStyle w:val="Compact"/>
              <w:spacing w:after="0" w:before="0" w:line="240" w:lineRule="auto"/>
              <w:jc w:val="left"/>
            </w:pPr>
            <w:r>
              <w:rPr>
                <w:rFonts w:ascii="Arial" w:hAnsi="Arial"/>
                <w:sz w:val="15"/>
              </w:rPr>
              <w:t xml:space="preserve">Swan cost ~JPY4.4bn of equity-method losses in FY3/26</w:t>
            </w:r>
          </w:p>
        </w:tc>
      </w:tr>
    </w:tbl>
    <w:bookmarkEnd w:id="25"/>
    <w:bookmarkStart w:id="26" w:name="customers-contracts-and-payment-terms"/>
    <w:p>
      <w:pPr>
        <w:pStyle w:val="Heading2"/>
      </w:pPr>
      <w:r>
        <w:t xml:space="preserve">Customers, contracts and payment terms</w:t>
      </w:r>
    </w:p>
    <w:p>
      <w:pPr>
        <w:numPr>
          <w:ilvl w:val="0"/>
          <w:numId w:val="1008"/>
        </w:numPr>
        <w:pStyle w:val="Compact"/>
      </w:pPr>
      <w:r>
        <w:rPr>
          <w:bCs/>
          <w:b/>
        </w:rPr>
        <w:t xml:space="preserve">Customers.</w:t>
      </w:r>
    </w:p>
    <w:p>
      <w:pPr>
        <w:numPr>
          <w:ilvl w:val="1"/>
          <w:numId w:val="1009"/>
        </w:numPr>
        <w:pStyle w:val="Compact"/>
      </w:pPr>
      <w:r>
        <w:t xml:space="preserve">Hospitals (university, regional and community; A-grade tertiary hospitals in China), ambulatory surgery and endoscopy centres, and GI, pulmonology and urology physician groups.</w:t>
      </w:r>
    </w:p>
    <w:p>
      <w:pPr>
        <w:numPr>
          <w:ilvl w:val="1"/>
          <w:numId w:val="1009"/>
        </w:numPr>
        <w:pStyle w:val="Compact"/>
      </w:pPr>
      <w:r>
        <w:rPr>
          <w:bCs/>
          <w:b/>
        </w:rPr>
        <w:t xml:space="preserve">No single customer exceeds 10% of sales</w:t>
      </w:r>
      <w:r>
        <w:t xml:space="preserve"> </w:t>
      </w:r>
      <w:r>
        <w:t xml:space="preserve">(none disclosed).</w:t>
      </w:r>
    </w:p>
    <w:p>
      <w:pPr>
        <w:numPr>
          <w:ilvl w:val="1"/>
          <w:numId w:val="1009"/>
        </w:numPr>
        <w:pStyle w:val="Compact"/>
      </w:pPr>
      <w:r>
        <w:t xml:space="preserve">In the US, purchasing runs through group purchasing organisations and integrated delivery networks (Vizient, Premier, HealthTrust) [e: industry structure; Olympus contract terms n/d].</w:t>
      </w:r>
    </w:p>
    <w:p>
      <w:pPr>
        <w:numPr>
          <w:ilvl w:val="0"/>
          <w:numId w:val="1008"/>
        </w:numPr>
        <w:pStyle w:val="Compact"/>
      </w:pPr>
      <w:r>
        <w:rPr>
          <w:bCs/>
          <w:b/>
        </w:rPr>
        <w:t xml:space="preserve">Contract types.</w:t>
      </w:r>
    </w:p>
    <w:p>
      <w:pPr>
        <w:numPr>
          <w:ilvl w:val="1"/>
          <w:numId w:val="1010"/>
        </w:numPr>
        <w:pStyle w:val="Compact"/>
      </w:pPr>
      <w:r>
        <w:t xml:space="preserve">Outright capital sales.</w:t>
      </w:r>
    </w:p>
    <w:p>
      <w:pPr>
        <w:numPr>
          <w:ilvl w:val="1"/>
          <w:numId w:val="1010"/>
        </w:numPr>
        <w:pStyle w:val="Compact"/>
      </w:pPr>
      <w:r>
        <w:t xml:space="preserve">Sales-type leases (lease receivables of JPY137bn at Mar-26, plus JPY84bn of non-current trade receivables).</w:t>
      </w:r>
    </w:p>
    <w:p>
      <w:pPr>
        <w:numPr>
          <w:ilvl w:val="1"/>
          <w:numId w:val="1010"/>
        </w:numPr>
        <w:pStyle w:val="Compact"/>
      </w:pPr>
      <w:r>
        <w:t xml:space="preserve">Multi-year service and maintenance contracts.</w:t>
      </w:r>
    </w:p>
    <w:p>
      <w:pPr>
        <w:numPr>
          <w:ilvl w:val="1"/>
          <w:numId w:val="1010"/>
        </w:numPr>
        <w:pStyle w:val="Compact"/>
      </w:pPr>
      <w:r>
        <w:t xml:space="preserve">Consumables under GPO, tender or VBP pricing.</w:t>
      </w:r>
    </w:p>
    <w:p>
      <w:pPr>
        <w:numPr>
          <w:ilvl w:val="0"/>
          <w:numId w:val="1000"/>
        </w:numPr>
        <w:pStyle w:val="Compact"/>
      </w:pPr>
      <w:r>
        <w:t xml:space="preserve">Tender cycles dominate in Europe (NHS and public hospitals) and China (provincial tenders and VBP).</w:t>
      </w:r>
    </w:p>
    <w:p>
      <w:pPr>
        <w:numPr>
          <w:ilvl w:val="0"/>
          <w:numId w:val="1008"/>
        </w:numPr>
        <w:pStyle w:val="Compact"/>
      </w:pPr>
      <w:r>
        <w:rPr>
          <w:bCs/>
          <w:b/>
        </w:rPr>
        <w:t xml:space="preserve">Payment terms.</w:t>
      </w:r>
      <w:r>
        <w:t xml:space="preserve"> </w:t>
      </w:r>
      <w:r>
        <w:t xml:space="preserve">These are n/d. Trade receivable days were 86 in FY3/26 (75 in FY3/25). Including lease and non-current receivables, effective credit is far longer [e]. Japanese and Chinese public hospitals typically pay in 90–180 days [u].</w:t>
      </w:r>
    </w:p>
    <w:p>
      <w:pPr>
        <w:numPr>
          <w:ilvl w:val="0"/>
          <w:numId w:val="1008"/>
        </w:numPr>
        <w:pStyle w:val="Compact"/>
      </w:pPr>
      <w:r>
        <w:rPr>
          <w:bCs/>
          <w:b/>
        </w:rPr>
        <w:t xml:space="preserve">Revenue recognition.</w:t>
      </w:r>
      <w:r>
        <w:t xml:space="preserve"> </w:t>
      </w:r>
      <w:r>
        <w:t xml:space="preserve">Capital is recognised on delivery or installation. Service contracts are recognised over time. Leases are recognised at commencement (sales-type) with interest income thereafter [e: IFRS 15/16 standard treatment].</w:t>
      </w:r>
    </w:p>
    <w:bookmarkEnd w:id="26"/>
    <w:bookmarkStart w:id="27" w:name="suppliers-and-competitors"/>
    <w:p>
      <w:pPr>
        <w:pStyle w:val="Heading2"/>
      </w:pPr>
      <w:r>
        <w:t xml:space="preserve">Suppliers and competitors</w:t>
      </w:r>
    </w:p>
    <w:p>
      <w:pPr>
        <w:pStyle w:val="FirstParagraph"/>
      </w:pPr>
      <w:r>
        <w:rPr>
          <w:bCs/>
          <w:b/>
        </w:rPr>
        <w:t xml:space="preserve">Suppliers and partners (named in filings or CIQ business relationships).</w:t>
      </w:r>
    </w:p>
    <w:p>
      <w:pPr>
        <w:numPr>
          <w:ilvl w:val="0"/>
          <w:numId w:val="1011"/>
        </w:numPr>
        <w:pStyle w:val="Compact"/>
      </w:pPr>
      <w:r>
        <w:rPr>
          <w:bCs/>
          <w:b/>
        </w:rPr>
        <w:t xml:space="preserve">Imaging:</w:t>
      </w:r>
      <w:r>
        <w:t xml:space="preserve"> </w:t>
      </w:r>
      <w:r>
        <w:t xml:space="preserve">Sony, through Sony Olympus Medical Solutions (SOMED; ~51% Sony / ~49% Olympus [u]), for 4K/3D surgical imaging; the alliance was widened to GI and respiratory platforms in Dec-2023. Canon supplies EUS ultrasound (Aplio i800, US launch May-2026). The endoscope CMOS sensor supplier is n/d.</w:t>
      </w:r>
    </w:p>
    <w:p>
      <w:pPr>
        <w:numPr>
          <w:ilvl w:val="0"/>
          <w:numId w:val="1011"/>
        </w:numPr>
        <w:pStyle w:val="Compact"/>
      </w:pPr>
      <w:r>
        <w:rPr>
          <w:bCs/>
          <w:b/>
        </w:rPr>
        <w:t xml:space="preserve">Optics and electronics:</w:t>
      </w:r>
      <w:r>
        <w:t xml:space="preserve"> </w:t>
      </w:r>
      <w:r>
        <w:t xml:space="preserve">Ohara (optical glass, previous) [u]; Paltek (current) and Macnica (previous), Japanese semiconductor distributors; STMicroelectronics (previous) [u].</w:t>
      </w:r>
    </w:p>
    <w:p>
      <w:pPr>
        <w:numPr>
          <w:ilvl w:val="0"/>
          <w:numId w:val="1011"/>
        </w:numPr>
        <w:pStyle w:val="Compact"/>
      </w:pPr>
      <w:r>
        <w:rPr>
          <w:bCs/>
          <w:b/>
        </w:rPr>
        <w:t xml:space="preserve">In-licensed devices:</w:t>
      </w:r>
      <w:r>
        <w:t xml:space="preserve"> </w:t>
      </w:r>
      <w:r>
        <w:t xml:space="preserve">W. L. Gore (VIABIL stent), EndoRobotics (Korea), Endocision (cryocatheter), FluoGuide.</w:t>
      </w:r>
    </w:p>
    <w:p>
      <w:pPr>
        <w:numPr>
          <w:ilvl w:val="0"/>
          <w:numId w:val="1011"/>
        </w:numPr>
        <w:pStyle w:val="Compact"/>
      </w:pPr>
      <w:r>
        <w:rPr>
          <w:bCs/>
          <w:b/>
        </w:rPr>
        <w:t xml:space="preserve">Logistics:</w:t>
      </w:r>
      <w:r>
        <w:t xml:space="preserve"> </w:t>
      </w:r>
      <w:r>
        <w:t xml:space="preserve">AutoStore (warehouse automation). Contract manufacturers are n/d.</w:t>
      </w:r>
    </w:p>
    <w:p>
      <w:pPr>
        <w:numPr>
          <w:ilvl w:val="0"/>
          <w:numId w:val="1011"/>
        </w:numPr>
        <w:pStyle w:val="Compact"/>
      </w:pPr>
      <w:r>
        <w:rPr>
          <w:bCs/>
          <w:b/>
        </w:rPr>
        <w:t xml:space="preserve">Risk:</w:t>
      </w:r>
      <w:r>
        <w:t xml:space="preserve"> </w:t>
      </w:r>
      <w:r>
        <w:t xml:space="preserve">the FY3/26 risk factors flag single- and sole-source dependencies.</w:t>
      </w:r>
    </w:p>
    <w:p>
      <w:pPr>
        <w:pStyle w:val="FirstParagraph"/>
      </w:pPr>
      <w:r>
        <w:rPr>
          <w:bCs/>
          <w:b/>
        </w:rPr>
        <w:t xml:space="preserve">Competitors.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054"/>
        <w:gridCol w:w="3367"/>
        <w:gridCol w:w="4556"/>
      </w:tblGrid>
      <w:tr>
        <w:trPr>
          <w:tblHeader w:val="true"/>
          <w:tblHeader w:val="true"/>
          <w:cantSplit/>
        </w:trPr>
        <w:tc>
          <w:tcPr>
            <w:tcW w:type="dxa" w:w="2054"/>
            <w:shd w:val="clear" w:color="auto" w:fill="13213F"/>
          </w:tcPr>
          <w:p>
            <w:pPr>
              <w:pStyle w:val="Compact"/>
              <w:spacing w:after="0" w:before="0" w:line="240" w:lineRule="auto"/>
              <w:jc w:val="left"/>
            </w:pPr>
            <w:r>
              <w:rPr>
                <w:rFonts w:ascii="Arial" w:hAnsi="Arial"/>
                <w:b/>
                <w:color w:val="FFFFFF"/>
                <w:sz w:val="15"/>
              </w:rPr>
              <w:t xml:space="preserve">Competitor</w:t>
            </w:r>
          </w:p>
        </w:tc>
        <w:tc>
          <w:tcPr>
            <w:tcW w:type="dxa" w:w="3367"/>
            <w:shd w:val="clear" w:color="auto" w:fill="13213F"/>
          </w:tcPr>
          <w:p>
            <w:pPr>
              <w:pStyle w:val="Compact"/>
              <w:spacing w:after="0" w:before="0" w:line="240" w:lineRule="auto"/>
              <w:jc w:val="left"/>
            </w:pPr>
            <w:r>
              <w:rPr>
                <w:rFonts w:ascii="Arial" w:hAnsi="Arial"/>
                <w:b/>
                <w:color w:val="FFFFFF"/>
                <w:sz w:val="15"/>
              </w:rPr>
              <w:t xml:space="preserve">Listed?</w:t>
            </w:r>
          </w:p>
        </w:tc>
        <w:tc>
          <w:tcPr>
            <w:tcW w:type="dxa" w:w="4557"/>
            <w:shd w:val="clear" w:color="auto" w:fill="13213F"/>
          </w:tcPr>
          <w:p>
            <w:pPr>
              <w:pStyle w:val="Compact"/>
              <w:spacing w:after="0" w:before="0" w:line="240" w:lineRule="auto"/>
              <w:jc w:val="left"/>
            </w:pPr>
            <w:r>
              <w:rPr>
                <w:rFonts w:ascii="Arial" w:hAnsi="Arial"/>
                <w:b/>
                <w:color w:val="FFFFFF"/>
                <w:sz w:val="15"/>
              </w:rPr>
              <w:t xml:space="preserve">Overlap with Olympus</w:t>
            </w:r>
          </w:p>
        </w:tc>
      </w:tr>
      <w:tr>
        <w:trPr>
          <w:cantSplit/>
        </w:trPr>
        <w:tc>
          <w:tcPr>
            <w:tcW w:type="dxa" w:w="2054"/>
          </w:tcPr>
          <w:p>
            <w:pPr>
              <w:pStyle w:val="Compact"/>
              <w:spacing w:after="0" w:before="0" w:line="240" w:lineRule="auto"/>
              <w:jc w:val="left"/>
            </w:pPr>
            <w:r>
              <w:rPr>
                <w:rFonts w:ascii="Arial" w:hAnsi="Arial"/>
                <w:sz w:val="15"/>
              </w:rPr>
              <w:t xml:space="preserve">FUJIFILM (endoscopy division)</w:t>
            </w:r>
          </w:p>
        </w:tc>
        <w:tc>
          <w:tcPr>
            <w:tcW w:type="dxa" w:w="3367"/>
          </w:tcPr>
          <w:p>
            <w:pPr>
              <w:pStyle w:val="Compact"/>
              <w:spacing w:after="0" w:before="0" w:line="240" w:lineRule="auto"/>
              <w:jc w:val="left"/>
            </w:pPr>
            <w:r>
              <w:rPr>
                <w:rFonts w:ascii="Arial" w:hAnsi="Arial"/>
                <w:sz w:val="15"/>
              </w:rPr>
              <w:t xml:space="preserve">Listed (4901 JP), division</w:t>
            </w:r>
          </w:p>
        </w:tc>
        <w:tc>
          <w:tcPr>
            <w:tcW w:type="dxa" w:w="4557"/>
          </w:tcPr>
          <w:p>
            <w:pPr>
              <w:pStyle w:val="Compact"/>
              <w:spacing w:after="0" w:before="0" w:line="240" w:lineRule="auto"/>
              <w:jc w:val="left"/>
            </w:pPr>
            <w:r>
              <w:rPr>
                <w:rFonts w:ascii="Arial" w:hAnsi="Arial"/>
                <w:sz w:val="15"/>
              </w:rPr>
              <w:t xml:space="preserve">#2 in flexible GI endoscopy; strong in Japan and China</w:t>
            </w:r>
          </w:p>
        </w:tc>
      </w:tr>
      <w:tr>
        <w:trPr>
          <w:cantSplit/>
        </w:trPr>
        <w:tc>
          <w:tcPr>
            <w:tcW w:type="dxa" w:w="2054"/>
            <w:shd w:val="clear" w:color="auto" w:fill="F1F2F5"/>
          </w:tcPr>
          <w:p>
            <w:pPr>
              <w:pStyle w:val="Compact"/>
              <w:spacing w:after="0" w:before="0" w:line="240" w:lineRule="auto"/>
              <w:jc w:val="left"/>
            </w:pPr>
            <w:r>
              <w:rPr>
                <w:rFonts w:ascii="Arial" w:hAnsi="Arial"/>
                <w:sz w:val="15"/>
              </w:rPr>
              <w:t xml:space="preserve">PENTAX Medical (Hoya)</w:t>
            </w:r>
          </w:p>
        </w:tc>
        <w:tc>
          <w:tcPr>
            <w:tcW w:type="dxa" w:w="3367"/>
            <w:shd w:val="clear" w:color="auto" w:fill="F1F2F5"/>
          </w:tcPr>
          <w:p>
            <w:pPr>
              <w:pStyle w:val="Compact"/>
              <w:spacing w:after="0" w:before="0" w:line="240" w:lineRule="auto"/>
              <w:jc w:val="left"/>
            </w:pPr>
            <w:r>
              <w:rPr>
                <w:rFonts w:ascii="Arial" w:hAnsi="Arial"/>
                <w:sz w:val="15"/>
              </w:rPr>
              <w:t xml:space="preserve">Listed (7741 JP), division;</w:t>
            </w:r>
            <w:r>
              <w:rPr>
                <w:rFonts w:ascii="Arial" w:hAnsi="Arial"/>
                <w:sz w:val="15"/>
              </w:rPr>
              <w:t xml:space="preserve"> </w:t>
            </w:r>
            <w:r>
              <w:rPr>
                <w:bCs/>
                <w:rFonts w:ascii="Arial" w:hAnsi="Arial"/>
                <w:b/>
                <w:sz w:val="15"/>
              </w:rPr>
              <w:t xml:space="preserve">under strategic review including sale since 31-Jul-2026</w:t>
            </w:r>
          </w:p>
        </w:tc>
        <w:tc>
          <w:tcPr>
            <w:tcW w:type="dxa" w:w="4557"/>
            <w:shd w:val="clear" w:color="auto" w:fill="F1F2F5"/>
          </w:tcPr>
          <w:p>
            <w:pPr>
              <w:pStyle w:val="Compact"/>
              <w:spacing w:after="0" w:before="0" w:line="240" w:lineRule="auto"/>
              <w:jc w:val="left"/>
            </w:pPr>
            <w:r>
              <w:rPr>
                <w:rFonts w:ascii="Arial" w:hAnsi="Arial"/>
                <w:sz w:val="15"/>
              </w:rPr>
              <w:t xml:space="preserve">#3 in GI endoscopy</w:t>
            </w:r>
          </w:p>
        </w:tc>
      </w:tr>
      <w:tr>
        <w:trPr>
          <w:cantSplit/>
        </w:trPr>
        <w:tc>
          <w:tcPr>
            <w:tcW w:type="dxa" w:w="2054"/>
          </w:tcPr>
          <w:p>
            <w:pPr>
              <w:pStyle w:val="Compact"/>
              <w:spacing w:after="0" w:before="0" w:line="240" w:lineRule="auto"/>
              <w:jc w:val="left"/>
            </w:pPr>
            <w:r>
              <w:rPr>
                <w:rFonts w:ascii="Arial" w:hAnsi="Arial"/>
                <w:sz w:val="15"/>
              </w:rPr>
              <w:t xml:space="preserve">Karl Storz</w:t>
            </w:r>
          </w:p>
        </w:tc>
        <w:tc>
          <w:tcPr>
            <w:tcW w:type="dxa" w:w="3367"/>
          </w:tcPr>
          <w:p>
            <w:pPr>
              <w:pStyle w:val="Compact"/>
              <w:spacing w:after="0" w:before="0" w:line="240" w:lineRule="auto"/>
              <w:jc w:val="left"/>
            </w:pPr>
            <w:r>
              <w:rPr>
                <w:rFonts w:ascii="Arial" w:hAnsi="Arial"/>
                <w:sz w:val="15"/>
              </w:rPr>
              <w:t xml:space="preserve">Private (family-owned)</w:t>
            </w:r>
          </w:p>
        </w:tc>
        <w:tc>
          <w:tcPr>
            <w:tcW w:type="dxa" w:w="4557"/>
          </w:tcPr>
          <w:p>
            <w:pPr>
              <w:pStyle w:val="Compact"/>
              <w:spacing w:after="0" w:before="0" w:line="240" w:lineRule="auto"/>
              <w:jc w:val="left"/>
            </w:pPr>
            <w:r>
              <w:rPr>
                <w:rFonts w:ascii="Arial" w:hAnsi="Arial"/>
                <w:sz w:val="15"/>
              </w:rPr>
              <w:t xml:space="preserve">#1–2 in rigid endoscopy, laparoscopy towers and urology; main surgical rival</w:t>
            </w:r>
          </w:p>
        </w:tc>
      </w:tr>
      <w:tr>
        <w:trPr>
          <w:cantSplit/>
        </w:trPr>
        <w:tc>
          <w:tcPr>
            <w:tcW w:type="dxa" w:w="2054"/>
            <w:shd w:val="clear" w:color="auto" w:fill="F1F2F5"/>
          </w:tcPr>
          <w:p>
            <w:pPr>
              <w:pStyle w:val="Compact"/>
              <w:spacing w:after="0" w:before="0" w:line="240" w:lineRule="auto"/>
              <w:jc w:val="left"/>
            </w:pPr>
            <w:r>
              <w:rPr>
                <w:rFonts w:ascii="Arial" w:hAnsi="Arial"/>
                <w:sz w:val="15"/>
              </w:rPr>
              <w:t xml:space="preserve">Richard Wolf, Erbe</w:t>
            </w:r>
          </w:p>
        </w:tc>
        <w:tc>
          <w:tcPr>
            <w:tcW w:type="dxa" w:w="3367"/>
            <w:shd w:val="clear" w:color="auto" w:fill="F1F2F5"/>
          </w:tcPr>
          <w:p>
            <w:pPr>
              <w:pStyle w:val="Compact"/>
              <w:spacing w:after="0" w:before="0" w:line="240" w:lineRule="auto"/>
              <w:jc w:val="left"/>
            </w:pPr>
            <w:r>
              <w:rPr>
                <w:rFonts w:ascii="Arial" w:hAnsi="Arial"/>
                <w:sz w:val="15"/>
              </w:rPr>
              <w:t xml:space="preserve">Private</w:t>
            </w:r>
          </w:p>
        </w:tc>
        <w:tc>
          <w:tcPr>
            <w:tcW w:type="dxa" w:w="4557"/>
            <w:shd w:val="clear" w:color="auto" w:fill="F1F2F5"/>
          </w:tcPr>
          <w:p>
            <w:pPr>
              <w:pStyle w:val="Compact"/>
              <w:spacing w:after="0" w:before="0" w:line="240" w:lineRule="auto"/>
              <w:jc w:val="left"/>
            </w:pPr>
            <w:r>
              <w:rPr>
                <w:rFonts w:ascii="Arial" w:hAnsi="Arial"/>
                <w:sz w:val="15"/>
              </w:rPr>
              <w:t xml:space="preserve">Rigid endoscopy and urology; electrosurgery and ESD knives</w:t>
            </w:r>
          </w:p>
        </w:tc>
      </w:tr>
      <w:tr>
        <w:trPr>
          <w:cantSplit/>
        </w:trPr>
        <w:tc>
          <w:tcPr>
            <w:tcW w:type="dxa" w:w="2054"/>
          </w:tcPr>
          <w:p>
            <w:pPr>
              <w:pStyle w:val="Compact"/>
              <w:spacing w:after="0" w:before="0" w:line="240" w:lineRule="auto"/>
              <w:jc w:val="left"/>
            </w:pPr>
            <w:r>
              <w:rPr>
                <w:rFonts w:ascii="Arial" w:hAnsi="Arial"/>
                <w:sz w:val="15"/>
              </w:rPr>
              <w:t xml:space="preserve">Boston Scientific</w:t>
            </w:r>
          </w:p>
        </w:tc>
        <w:tc>
          <w:tcPr>
            <w:tcW w:type="dxa" w:w="3367"/>
          </w:tcPr>
          <w:p>
            <w:pPr>
              <w:pStyle w:val="Compact"/>
              <w:spacing w:after="0" w:before="0" w:line="240" w:lineRule="auto"/>
              <w:jc w:val="left"/>
            </w:pPr>
            <w:r>
              <w:rPr>
                <w:rFonts w:ascii="Arial" w:hAnsi="Arial"/>
                <w:sz w:val="15"/>
              </w:rPr>
              <w:t xml:space="preserve">Listed (BSX)</w:t>
            </w:r>
          </w:p>
        </w:tc>
        <w:tc>
          <w:tcPr>
            <w:tcW w:type="dxa" w:w="4557"/>
          </w:tcPr>
          <w:p>
            <w:pPr>
              <w:pStyle w:val="Compact"/>
              <w:spacing w:after="0" w:before="0" w:line="240" w:lineRule="auto"/>
              <w:jc w:val="left"/>
            </w:pPr>
            <w:r>
              <w:rPr>
                <w:rFonts w:ascii="Arial" w:hAnsi="Arial"/>
                <w:sz w:val="15"/>
              </w:rPr>
              <w:t xml:space="preserve">#1 in GI endotherapy; EXALT single-use duodenoscope; urology</w:t>
            </w:r>
          </w:p>
        </w:tc>
      </w:tr>
      <w:tr>
        <w:trPr>
          <w:cantSplit/>
        </w:trPr>
        <w:tc>
          <w:tcPr>
            <w:tcW w:type="dxa" w:w="2054"/>
            <w:shd w:val="clear" w:color="auto" w:fill="F1F2F5"/>
          </w:tcPr>
          <w:p>
            <w:pPr>
              <w:pStyle w:val="Compact"/>
              <w:spacing w:after="0" w:before="0" w:line="240" w:lineRule="auto"/>
              <w:jc w:val="left"/>
            </w:pPr>
            <w:r>
              <w:rPr>
                <w:rFonts w:ascii="Arial" w:hAnsi="Arial"/>
                <w:sz w:val="15"/>
              </w:rPr>
              <w:t xml:space="preserve">Cook Medical</w:t>
            </w:r>
          </w:p>
        </w:tc>
        <w:tc>
          <w:tcPr>
            <w:tcW w:type="dxa" w:w="3367"/>
            <w:shd w:val="clear" w:color="auto" w:fill="F1F2F5"/>
          </w:tcPr>
          <w:p>
            <w:pPr>
              <w:pStyle w:val="Compact"/>
              <w:spacing w:after="0" w:before="0" w:line="240" w:lineRule="auto"/>
              <w:jc w:val="left"/>
            </w:pPr>
            <w:r>
              <w:rPr>
                <w:rFonts w:ascii="Arial" w:hAnsi="Arial"/>
                <w:sz w:val="15"/>
              </w:rPr>
              <w:t xml:space="preserve">Private (Cook Group)</w:t>
            </w:r>
          </w:p>
        </w:tc>
        <w:tc>
          <w:tcPr>
            <w:tcW w:type="dxa" w:w="4557"/>
            <w:shd w:val="clear" w:color="auto" w:fill="F1F2F5"/>
          </w:tcPr>
          <w:p>
            <w:pPr>
              <w:pStyle w:val="Compact"/>
              <w:spacing w:after="0" w:before="0" w:line="240" w:lineRule="auto"/>
              <w:jc w:val="left"/>
            </w:pPr>
            <w:r>
              <w:rPr>
                <w:rFonts w:ascii="Arial" w:hAnsi="Arial"/>
                <w:sz w:val="15"/>
              </w:rPr>
              <w:t xml:space="preserve">GI endotherapy and urology devices</w:t>
            </w:r>
          </w:p>
        </w:tc>
      </w:tr>
      <w:tr>
        <w:trPr>
          <w:cantSplit/>
        </w:trPr>
        <w:tc>
          <w:tcPr>
            <w:tcW w:type="dxa" w:w="2054"/>
          </w:tcPr>
          <w:p>
            <w:pPr>
              <w:pStyle w:val="Compact"/>
              <w:spacing w:after="0" w:before="0" w:line="240" w:lineRule="auto"/>
              <w:jc w:val="left"/>
            </w:pPr>
            <w:r>
              <w:rPr>
                <w:rFonts w:ascii="Arial" w:hAnsi="Arial"/>
                <w:sz w:val="15"/>
              </w:rPr>
              <w:t xml:space="preserve">Stryker</w:t>
            </w:r>
          </w:p>
        </w:tc>
        <w:tc>
          <w:tcPr>
            <w:tcW w:type="dxa" w:w="3367"/>
          </w:tcPr>
          <w:p>
            <w:pPr>
              <w:pStyle w:val="Compact"/>
              <w:spacing w:after="0" w:before="0" w:line="240" w:lineRule="auto"/>
              <w:jc w:val="left"/>
            </w:pPr>
            <w:r>
              <w:rPr>
                <w:rFonts w:ascii="Arial" w:hAnsi="Arial"/>
                <w:sz w:val="15"/>
              </w:rPr>
              <w:t xml:space="preserve">Listed (SYK)</w:t>
            </w:r>
          </w:p>
        </w:tc>
        <w:tc>
          <w:tcPr>
            <w:tcW w:type="dxa" w:w="4557"/>
          </w:tcPr>
          <w:p>
            <w:pPr>
              <w:pStyle w:val="Compact"/>
              <w:spacing w:after="0" w:before="0" w:line="240" w:lineRule="auto"/>
              <w:jc w:val="left"/>
            </w:pPr>
            <w:r>
              <w:rPr>
                <w:rFonts w:ascii="Arial" w:hAnsi="Arial"/>
                <w:sz w:val="15"/>
              </w:rPr>
              <w:t xml:space="preserve">Surgical visualisation (1788 platform)</w:t>
            </w:r>
          </w:p>
        </w:tc>
      </w:tr>
      <w:tr>
        <w:trPr>
          <w:cantSplit/>
        </w:trPr>
        <w:tc>
          <w:tcPr>
            <w:tcW w:type="dxa" w:w="2054"/>
            <w:shd w:val="clear" w:color="auto" w:fill="F1F2F5"/>
          </w:tcPr>
          <w:p>
            <w:pPr>
              <w:pStyle w:val="Compact"/>
              <w:spacing w:after="0" w:before="0" w:line="240" w:lineRule="auto"/>
              <w:jc w:val="left"/>
            </w:pPr>
            <w:r>
              <w:rPr>
                <w:rFonts w:ascii="Arial" w:hAnsi="Arial"/>
                <w:sz w:val="15"/>
              </w:rPr>
              <w:t xml:space="preserve">J&amp;J MedTech (Ethicon), Medtronic</w:t>
            </w:r>
          </w:p>
        </w:tc>
        <w:tc>
          <w:tcPr>
            <w:tcW w:type="dxa" w:w="3367"/>
            <w:shd w:val="clear" w:color="auto" w:fill="F1F2F5"/>
          </w:tcPr>
          <w:p>
            <w:pPr>
              <w:pStyle w:val="Compact"/>
              <w:spacing w:after="0" w:before="0" w:line="240" w:lineRule="auto"/>
              <w:jc w:val="left"/>
            </w:pPr>
            <w:r>
              <w:rPr>
                <w:rFonts w:ascii="Arial" w:hAnsi="Arial"/>
                <w:sz w:val="15"/>
              </w:rPr>
              <w:t xml:space="preserve">Listed</w:t>
            </w:r>
          </w:p>
        </w:tc>
        <w:tc>
          <w:tcPr>
            <w:tcW w:type="dxa" w:w="4557"/>
            <w:shd w:val="clear" w:color="auto" w:fill="F1F2F5"/>
          </w:tcPr>
          <w:p>
            <w:pPr>
              <w:pStyle w:val="Compact"/>
              <w:spacing w:after="0" w:before="0" w:line="240" w:lineRule="auto"/>
              <w:jc w:val="left"/>
            </w:pPr>
            <w:r>
              <w:rPr>
                <w:rFonts w:ascii="Arial" w:hAnsi="Arial"/>
                <w:sz w:val="15"/>
              </w:rPr>
              <w:t xml:space="preserve">Energy, staplers, laparoscopy; Medtronic GI (PillCam, GI Genius AI)</w:t>
            </w:r>
          </w:p>
        </w:tc>
      </w:tr>
      <w:tr>
        <w:trPr>
          <w:cantSplit/>
        </w:trPr>
        <w:tc>
          <w:tcPr>
            <w:tcW w:type="dxa" w:w="2054"/>
          </w:tcPr>
          <w:p>
            <w:pPr>
              <w:pStyle w:val="Compact"/>
              <w:spacing w:after="0" w:before="0" w:line="240" w:lineRule="auto"/>
              <w:jc w:val="left"/>
            </w:pPr>
            <w:r>
              <w:rPr>
                <w:rFonts w:ascii="Arial" w:hAnsi="Arial"/>
                <w:sz w:val="15"/>
              </w:rPr>
              <w:t xml:space="preserve">Ambu</w:t>
            </w:r>
          </w:p>
        </w:tc>
        <w:tc>
          <w:tcPr>
            <w:tcW w:type="dxa" w:w="3367"/>
          </w:tcPr>
          <w:p>
            <w:pPr>
              <w:pStyle w:val="Compact"/>
              <w:spacing w:after="0" w:before="0" w:line="240" w:lineRule="auto"/>
              <w:jc w:val="left"/>
            </w:pPr>
            <w:r>
              <w:rPr>
                <w:rFonts w:ascii="Arial" w:hAnsi="Arial"/>
                <w:sz w:val="15"/>
              </w:rPr>
              <w:t xml:space="preserve">Listed (AMBU B DC)</w:t>
            </w:r>
          </w:p>
        </w:tc>
        <w:tc>
          <w:tcPr>
            <w:tcW w:type="dxa" w:w="4557"/>
          </w:tcPr>
          <w:p>
            <w:pPr>
              <w:pStyle w:val="Compact"/>
              <w:spacing w:after="0" w:before="0" w:line="240" w:lineRule="auto"/>
              <w:jc w:val="left"/>
            </w:pPr>
            <w:r>
              <w:rPr>
                <w:rFonts w:ascii="Arial" w:hAnsi="Arial"/>
                <w:sz w:val="15"/>
              </w:rPr>
              <w:t xml:space="preserve">Single-use bronchoscopes, urology and GI scopes</w:t>
            </w:r>
          </w:p>
        </w:tc>
      </w:tr>
      <w:tr>
        <w:trPr>
          <w:cantSplit/>
        </w:trPr>
        <w:tc>
          <w:tcPr>
            <w:tcW w:type="dxa" w:w="2054"/>
            <w:shd w:val="clear" w:color="auto" w:fill="F1F2F5"/>
          </w:tcPr>
          <w:p>
            <w:pPr>
              <w:pStyle w:val="Compact"/>
              <w:spacing w:after="0" w:before="0" w:line="240" w:lineRule="auto"/>
              <w:jc w:val="left"/>
            </w:pPr>
            <w:r>
              <w:rPr>
                <w:rFonts w:ascii="Arial" w:hAnsi="Arial"/>
                <w:sz w:val="15"/>
              </w:rPr>
              <w:t xml:space="preserve">SonoScape, Aohua, Micro-Tech</w:t>
            </w:r>
          </w:p>
        </w:tc>
        <w:tc>
          <w:tcPr>
            <w:tcW w:type="dxa" w:w="3367"/>
            <w:shd w:val="clear" w:color="auto" w:fill="F1F2F5"/>
          </w:tcPr>
          <w:p>
            <w:pPr>
              <w:pStyle w:val="Compact"/>
              <w:spacing w:after="0" w:before="0" w:line="240" w:lineRule="auto"/>
              <w:jc w:val="left"/>
            </w:pPr>
            <w:r>
              <w:rPr>
                <w:rFonts w:ascii="Arial" w:hAnsi="Arial"/>
                <w:sz w:val="15"/>
              </w:rPr>
              <w:t xml:space="preserve">Listed (China)</w:t>
            </w:r>
          </w:p>
        </w:tc>
        <w:tc>
          <w:tcPr>
            <w:tcW w:type="dxa" w:w="4557"/>
            <w:shd w:val="clear" w:color="auto" w:fill="F1F2F5"/>
          </w:tcPr>
          <w:p>
            <w:pPr>
              <w:pStyle w:val="Compact"/>
              <w:spacing w:after="0" w:before="0" w:line="240" w:lineRule="auto"/>
              <w:jc w:val="left"/>
            </w:pPr>
            <w:r>
              <w:rPr>
                <w:rFonts w:ascii="Arial" w:hAnsi="Arial"/>
                <w:sz w:val="15"/>
              </w:rPr>
              <w:t xml:space="preserve">Domestic-substitution challengers in scopes and endotherapy</w:t>
            </w:r>
          </w:p>
        </w:tc>
      </w:tr>
    </w:tbl>
    <w:bookmarkEnd w:id="27"/>
    <w:bookmarkStart w:id="31" w:name="key-markets-and-geographies"/>
    <w:p>
      <w:pPr>
        <w:pStyle w:val="Heading2"/>
      </w:pPr>
      <w:r>
        <w:t xml:space="preserve">Key markets and geographies</w:t>
      </w:r>
    </w:p>
    <w:p>
      <w:pPr>
        <w:pStyle w:val="FirstParagraph"/>
      </w:pPr>
      <w:r>
        <w:t xml:space="preserve">FY3/26 revenue by customer location: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813"/>
        <w:gridCol w:w="2620"/>
        <w:gridCol w:w="1242"/>
        <w:gridCol w:w="3301"/>
      </w:tblGrid>
      <w:tr>
        <w:trPr>
          <w:tblHeader w:val="true"/>
          <w:tblHeader w:val="true"/>
          <w:cantSplit/>
        </w:trPr>
        <w:tc>
          <w:tcPr>
            <w:tcW w:type="dxa" w:w="2814"/>
            <w:shd w:val="clear" w:color="auto" w:fill="13213F"/>
          </w:tcPr>
          <w:p>
            <w:pPr>
              <w:pStyle w:val="Compact"/>
              <w:spacing w:after="0" w:before="0" w:line="240" w:lineRule="auto"/>
              <w:jc w:val="left"/>
            </w:pPr>
            <w:r>
              <w:rPr>
                <w:rFonts w:ascii="Arial" w:hAnsi="Arial"/>
                <w:b/>
                <w:color w:val="FFFFFF"/>
                <w:sz w:val="15"/>
              </w:rPr>
              <w:t xml:space="preserve">Region</w:t>
            </w:r>
          </w:p>
        </w:tc>
        <w:tc>
          <w:tcPr>
            <w:tcW w:type="dxa" w:w="2621"/>
            <w:shd w:val="clear" w:color="auto" w:fill="13213F"/>
          </w:tcPr>
          <w:p>
            <w:pPr>
              <w:pStyle w:val="Compact"/>
              <w:spacing w:after="0" w:before="0" w:line="240" w:lineRule="auto"/>
              <w:jc w:val="right"/>
            </w:pPr>
            <w:r>
              <w:rPr>
                <w:rFonts w:ascii="Arial" w:hAnsi="Arial"/>
                <w:b/>
                <w:color w:val="FFFFFF"/>
                <w:sz w:val="15"/>
              </w:rPr>
              <w:t xml:space="preserve">Revenue</w:t>
            </w:r>
          </w:p>
        </w:tc>
        <w:tc>
          <w:tcPr>
            <w:tcW w:type="dxa" w:w="1242"/>
            <w:shd w:val="clear" w:color="auto" w:fill="13213F"/>
          </w:tcPr>
          <w:p>
            <w:pPr>
              <w:pStyle w:val="Compact"/>
              <w:spacing w:after="0" w:before="0" w:line="240" w:lineRule="auto"/>
              <w:jc w:val="right"/>
            </w:pPr>
            <w:r>
              <w:rPr>
                <w:rFonts w:ascii="Arial" w:hAnsi="Arial"/>
                <w:b/>
                <w:color w:val="FFFFFF"/>
                <w:sz w:val="15"/>
              </w:rPr>
              <w:t xml:space="preserve">Share</w:t>
            </w:r>
          </w:p>
        </w:tc>
        <w:tc>
          <w:tcPr>
            <w:tcW w:type="dxa" w:w="3301"/>
            <w:shd w:val="clear" w:color="auto" w:fill="13213F"/>
          </w:tcPr>
          <w:p>
            <w:pPr>
              <w:pStyle w:val="Compact"/>
              <w:spacing w:after="0" w:before="0" w:line="240" w:lineRule="auto"/>
              <w:jc w:val="right"/>
            </w:pPr>
            <w:r>
              <w:rPr>
                <w:rFonts w:ascii="Arial" w:hAnsi="Arial"/>
                <w:b/>
                <w:color w:val="FFFFFF"/>
                <w:sz w:val="15"/>
              </w:rPr>
              <w:t xml:space="preserve">Approx. cc growth [e]</w:t>
            </w:r>
          </w:p>
        </w:tc>
      </w:tr>
      <w:tr>
        <w:trPr>
          <w:cantSplit/>
        </w:trPr>
        <w:tc>
          <w:tcPr>
            <w:tcW w:type="dxa" w:w="2814"/>
          </w:tcPr>
          <w:p>
            <w:pPr>
              <w:pStyle w:val="Compact"/>
              <w:spacing w:after="0" w:before="0" w:line="240" w:lineRule="auto"/>
              <w:jc w:val="left"/>
            </w:pPr>
            <w:r>
              <w:rPr>
                <w:rFonts w:ascii="Arial" w:hAnsi="Arial"/>
                <w:sz w:val="15"/>
              </w:rPr>
              <w:t xml:space="preserve">North America</w:t>
            </w:r>
          </w:p>
        </w:tc>
        <w:tc>
          <w:tcPr>
            <w:tcW w:type="dxa" w:w="2621"/>
          </w:tcPr>
          <w:p>
            <w:pPr>
              <w:pStyle w:val="Compact"/>
              <w:spacing w:after="0" w:before="0" w:line="240" w:lineRule="auto"/>
              <w:jc w:val="right"/>
            </w:pPr>
            <w:r>
              <w:rPr>
                <w:rFonts w:ascii="Arial" w:hAnsi="Arial"/>
                <w:sz w:val="15"/>
              </w:rPr>
              <w:t xml:space="preserve">JPY405.5bn</w:t>
            </w:r>
          </w:p>
        </w:tc>
        <w:tc>
          <w:tcPr>
            <w:tcW w:type="dxa" w:w="1242"/>
          </w:tcPr>
          <w:p>
            <w:pPr>
              <w:pStyle w:val="Compact"/>
              <w:spacing w:after="0" w:before="0" w:line="240" w:lineRule="auto"/>
              <w:jc w:val="right"/>
            </w:pPr>
            <w:r>
              <w:rPr>
                <w:rFonts w:ascii="Arial" w:hAnsi="Arial"/>
                <w:sz w:val="15"/>
              </w:rPr>
              <w:t xml:space="preserve">40%</w:t>
            </w:r>
          </w:p>
        </w:tc>
        <w:tc>
          <w:tcPr>
            <w:tcW w:type="dxa" w:w="3301"/>
          </w:tcPr>
          <w:p>
            <w:pPr>
              <w:pStyle w:val="Compact"/>
              <w:spacing w:after="0" w:before="0" w:line="240" w:lineRule="auto"/>
              <w:jc w:val="right"/>
            </w:pPr>
            <w:r>
              <w:rPr>
                <w:rFonts w:ascii="Arial" w:hAnsi="Arial"/>
                <w:sz w:val="15"/>
              </w:rPr>
              <w:t xml:space="preserve">-1% (after +12% in FY3/25)</w:t>
            </w:r>
          </w:p>
        </w:tc>
      </w:tr>
      <w:tr>
        <w:trPr>
          <w:cantSplit/>
        </w:trPr>
        <w:tc>
          <w:tcPr>
            <w:tcW w:type="dxa" w:w="2814"/>
            <w:shd w:val="clear" w:color="auto" w:fill="F1F2F5"/>
          </w:tcPr>
          <w:p>
            <w:pPr>
              <w:pStyle w:val="Compact"/>
              <w:spacing w:after="0" w:before="0" w:line="240" w:lineRule="auto"/>
              <w:jc w:val="left"/>
            </w:pPr>
            <w:r>
              <w:rPr>
                <w:rFonts w:ascii="Arial" w:hAnsi="Arial"/>
                <w:sz w:val="15"/>
              </w:rPr>
              <w:t xml:space="preserve">Europe</w:t>
            </w:r>
          </w:p>
        </w:tc>
        <w:tc>
          <w:tcPr>
            <w:tcW w:type="dxa" w:w="2621"/>
            <w:shd w:val="clear" w:color="auto" w:fill="F1F2F5"/>
          </w:tcPr>
          <w:p>
            <w:pPr>
              <w:pStyle w:val="Compact"/>
              <w:spacing w:after="0" w:before="0" w:line="240" w:lineRule="auto"/>
              <w:jc w:val="right"/>
            </w:pPr>
            <w:r>
              <w:rPr>
                <w:rFonts w:ascii="Arial" w:hAnsi="Arial"/>
                <w:sz w:val="15"/>
              </w:rPr>
              <w:t xml:space="preserve">JPY281.1bn</w:t>
            </w:r>
          </w:p>
        </w:tc>
        <w:tc>
          <w:tcPr>
            <w:tcW w:type="dxa" w:w="1242"/>
            <w:shd w:val="clear" w:color="auto" w:fill="F1F2F5"/>
          </w:tcPr>
          <w:p>
            <w:pPr>
              <w:pStyle w:val="Compact"/>
              <w:spacing w:after="0" w:before="0" w:line="240" w:lineRule="auto"/>
              <w:jc w:val="right"/>
            </w:pPr>
            <w:r>
              <w:rPr>
                <w:rFonts w:ascii="Arial" w:hAnsi="Arial"/>
                <w:sz w:val="15"/>
              </w:rPr>
              <w:t xml:space="preserve">28%</w:t>
            </w:r>
          </w:p>
        </w:tc>
        <w:tc>
          <w:tcPr>
            <w:tcW w:type="dxa" w:w="3301"/>
            <w:shd w:val="clear" w:color="auto" w:fill="F1F2F5"/>
          </w:tcPr>
          <w:p>
            <w:pPr>
              <w:pStyle w:val="Compact"/>
              <w:spacing w:after="0" w:before="0" w:line="240" w:lineRule="auto"/>
              <w:jc w:val="right"/>
            </w:pPr>
            <w:r>
              <w:rPr>
                <w:rFonts w:ascii="Arial" w:hAnsi="Arial"/>
                <w:sz w:val="15"/>
              </w:rPr>
              <w:t xml:space="preserve">+3%</w:t>
            </w:r>
          </w:p>
        </w:tc>
      </w:tr>
      <w:tr>
        <w:trPr>
          <w:cantSplit/>
        </w:trPr>
        <w:tc>
          <w:tcPr>
            <w:tcW w:type="dxa" w:w="2814"/>
          </w:tcPr>
          <w:p>
            <w:pPr>
              <w:pStyle w:val="Compact"/>
              <w:spacing w:after="0" w:before="0" w:line="240" w:lineRule="auto"/>
              <w:jc w:val="left"/>
            </w:pPr>
            <w:r>
              <w:rPr>
                <w:rFonts w:ascii="Arial" w:hAnsi="Arial"/>
                <w:sz w:val="15"/>
              </w:rPr>
              <w:t xml:space="preserve">Japan</w:t>
            </w:r>
          </w:p>
        </w:tc>
        <w:tc>
          <w:tcPr>
            <w:tcW w:type="dxa" w:w="2621"/>
          </w:tcPr>
          <w:p>
            <w:pPr>
              <w:pStyle w:val="Compact"/>
              <w:spacing w:after="0" w:before="0" w:line="240" w:lineRule="auto"/>
              <w:jc w:val="right"/>
            </w:pPr>
            <w:r>
              <w:rPr>
                <w:rFonts w:ascii="Arial" w:hAnsi="Arial"/>
                <w:sz w:val="15"/>
              </w:rPr>
              <w:t xml:space="preserve">JPY103.9bn</w:t>
            </w:r>
          </w:p>
        </w:tc>
        <w:tc>
          <w:tcPr>
            <w:tcW w:type="dxa" w:w="1242"/>
          </w:tcPr>
          <w:p>
            <w:pPr>
              <w:pStyle w:val="Compact"/>
              <w:spacing w:after="0" w:before="0" w:line="240" w:lineRule="auto"/>
              <w:jc w:val="right"/>
            </w:pPr>
            <w:r>
              <w:rPr>
                <w:rFonts w:ascii="Arial" w:hAnsi="Arial"/>
                <w:sz w:val="15"/>
              </w:rPr>
              <w:t xml:space="preserve">10%</w:t>
            </w:r>
          </w:p>
        </w:tc>
        <w:tc>
          <w:tcPr>
            <w:tcW w:type="dxa" w:w="3301"/>
          </w:tcPr>
          <w:p>
            <w:pPr>
              <w:pStyle w:val="Compact"/>
              <w:spacing w:after="0" w:before="0" w:line="240" w:lineRule="auto"/>
              <w:jc w:val="right"/>
            </w:pPr>
            <w:r>
              <w:rPr>
                <w:rFonts w:ascii="Arial" w:hAnsi="Arial"/>
                <w:sz w:val="15"/>
              </w:rPr>
              <w:t xml:space="preserve">-6%</w:t>
            </w:r>
          </w:p>
        </w:tc>
      </w:tr>
      <w:tr>
        <w:trPr>
          <w:cantSplit/>
        </w:trPr>
        <w:tc>
          <w:tcPr>
            <w:tcW w:type="dxa" w:w="2814"/>
            <w:shd w:val="clear" w:color="auto" w:fill="F1F2F5"/>
          </w:tcPr>
          <w:p>
            <w:pPr>
              <w:pStyle w:val="Compact"/>
              <w:spacing w:after="0" w:before="0" w:line="240" w:lineRule="auto"/>
              <w:jc w:val="left"/>
            </w:pPr>
            <w:r>
              <w:rPr>
                <w:rFonts w:ascii="Arial" w:hAnsi="Arial"/>
                <w:sz w:val="15"/>
              </w:rPr>
              <w:t xml:space="preserve">Asia/Oceania</w:t>
            </w:r>
          </w:p>
        </w:tc>
        <w:tc>
          <w:tcPr>
            <w:tcW w:type="dxa" w:w="2621"/>
            <w:shd w:val="clear" w:color="auto" w:fill="F1F2F5"/>
          </w:tcPr>
          <w:p>
            <w:pPr>
              <w:pStyle w:val="Compact"/>
              <w:spacing w:after="0" w:before="0" w:line="240" w:lineRule="auto"/>
              <w:jc w:val="right"/>
            </w:pPr>
            <w:r>
              <w:rPr>
                <w:rFonts w:ascii="Arial" w:hAnsi="Arial"/>
                <w:sz w:val="15"/>
              </w:rPr>
              <w:t xml:space="preserve">JPY102.6bn</w:t>
            </w:r>
          </w:p>
        </w:tc>
        <w:tc>
          <w:tcPr>
            <w:tcW w:type="dxa" w:w="1242"/>
            <w:shd w:val="clear" w:color="auto" w:fill="F1F2F5"/>
          </w:tcPr>
          <w:p>
            <w:pPr>
              <w:pStyle w:val="Compact"/>
              <w:spacing w:after="0" w:before="0" w:line="240" w:lineRule="auto"/>
              <w:jc w:val="right"/>
            </w:pPr>
            <w:r>
              <w:rPr>
                <w:rFonts w:ascii="Arial" w:hAnsi="Arial"/>
                <w:sz w:val="15"/>
              </w:rPr>
              <w:t xml:space="preserve">10%</w:t>
            </w:r>
          </w:p>
        </w:tc>
        <w:tc>
          <w:tcPr>
            <w:tcW w:type="dxa" w:w="3301"/>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814"/>
          </w:tcPr>
          <w:p>
            <w:pPr>
              <w:pStyle w:val="Compact"/>
              <w:spacing w:after="0" w:before="0" w:line="240" w:lineRule="auto"/>
              <w:jc w:val="left"/>
            </w:pPr>
            <w:r>
              <w:rPr>
                <w:rFonts w:ascii="Arial" w:hAnsi="Arial"/>
                <w:sz w:val="15"/>
              </w:rPr>
              <w:t xml:space="preserve">China</w:t>
            </w:r>
          </w:p>
        </w:tc>
        <w:tc>
          <w:tcPr>
            <w:tcW w:type="dxa" w:w="2621"/>
          </w:tcPr>
          <w:p>
            <w:pPr>
              <w:pStyle w:val="Compact"/>
              <w:spacing w:after="0" w:before="0" w:line="240" w:lineRule="auto"/>
              <w:jc w:val="right"/>
            </w:pPr>
            <w:r>
              <w:rPr>
                <w:rFonts w:ascii="Arial" w:hAnsi="Arial"/>
                <w:sz w:val="15"/>
              </w:rPr>
              <w:t xml:space="preserve">JPY82.5bn</w:t>
            </w:r>
          </w:p>
        </w:tc>
        <w:tc>
          <w:tcPr>
            <w:tcW w:type="dxa" w:w="1242"/>
          </w:tcPr>
          <w:p>
            <w:pPr>
              <w:pStyle w:val="Compact"/>
              <w:spacing w:after="0" w:before="0" w:line="240" w:lineRule="auto"/>
              <w:jc w:val="right"/>
            </w:pPr>
            <w:r>
              <w:rPr>
                <w:rFonts w:ascii="Arial" w:hAnsi="Arial"/>
                <w:sz w:val="15"/>
              </w:rPr>
              <w:t xml:space="preserve">8%</w:t>
            </w:r>
          </w:p>
        </w:tc>
        <w:tc>
          <w:tcPr>
            <w:tcW w:type="dxa" w:w="3301"/>
          </w:tcPr>
          <w:p>
            <w:pPr>
              <w:pStyle w:val="Compact"/>
              <w:spacing w:after="0" w:before="0" w:line="240" w:lineRule="auto"/>
              <w:jc w:val="right"/>
            </w:pPr>
            <w:r>
              <w:rPr>
                <w:rFonts w:ascii="Arial" w:hAnsi="Arial"/>
                <w:sz w:val="15"/>
              </w:rPr>
              <w:t xml:space="preserve">-15%</w:t>
            </w:r>
          </w:p>
        </w:tc>
      </w:tr>
      <w:tr>
        <w:trPr>
          <w:cantSplit/>
        </w:trPr>
        <w:tc>
          <w:tcPr>
            <w:tcW w:type="dxa" w:w="2814"/>
            <w:shd w:val="clear" w:color="auto" w:fill="F1F2F5"/>
          </w:tcPr>
          <w:p>
            <w:pPr>
              <w:pStyle w:val="Compact"/>
              <w:spacing w:after="0" w:before="0" w:line="240" w:lineRule="auto"/>
              <w:jc w:val="left"/>
            </w:pPr>
            <w:r>
              <w:rPr>
                <w:rFonts w:ascii="Arial" w:hAnsi="Arial"/>
                <w:sz w:val="15"/>
              </w:rPr>
              <w:t xml:space="preserve">Other</w:t>
            </w:r>
          </w:p>
        </w:tc>
        <w:tc>
          <w:tcPr>
            <w:tcW w:type="dxa" w:w="2621"/>
            <w:shd w:val="clear" w:color="auto" w:fill="F1F2F5"/>
          </w:tcPr>
          <w:p>
            <w:pPr>
              <w:pStyle w:val="Compact"/>
              <w:spacing w:after="0" w:before="0" w:line="240" w:lineRule="auto"/>
              <w:jc w:val="right"/>
            </w:pPr>
            <w:r>
              <w:rPr>
                <w:rFonts w:ascii="Arial" w:hAnsi="Arial"/>
                <w:sz w:val="15"/>
              </w:rPr>
              <w:t xml:space="preserve">JPY35.2bn</w:t>
            </w:r>
          </w:p>
        </w:tc>
        <w:tc>
          <w:tcPr>
            <w:tcW w:type="dxa" w:w="1242"/>
            <w:shd w:val="clear" w:color="auto" w:fill="F1F2F5"/>
          </w:tcPr>
          <w:p>
            <w:pPr>
              <w:pStyle w:val="Compact"/>
              <w:spacing w:after="0" w:before="0" w:line="240" w:lineRule="auto"/>
              <w:jc w:val="right"/>
            </w:pPr>
            <w:r>
              <w:rPr>
                <w:rFonts w:ascii="Arial" w:hAnsi="Arial"/>
                <w:sz w:val="15"/>
              </w:rPr>
              <w:t xml:space="preserve">3%</w:t>
            </w:r>
          </w:p>
        </w:tc>
        <w:tc>
          <w:tcPr>
            <w:tcW w:type="dxa" w:w="3301"/>
            <w:shd w:val="clear" w:color="auto" w:fill="F1F2F5"/>
          </w:tcPr>
          <w:p>
            <w:pPr>
              <w:pStyle w:val="Compact"/>
              <w:spacing w:after="0" w:before="0" w:line="240" w:lineRule="auto"/>
              <w:jc w:val="right"/>
            </w:pPr>
            <w:r>
              <w:rPr>
                <w:rFonts w:ascii="Arial" w:hAnsi="Arial"/>
                <w:sz w:val="15"/>
              </w:rPr>
              <w:t xml:space="preserve">–</w:t>
            </w:r>
          </w:p>
        </w:tc>
      </w:tr>
    </w:tbl>
    <w:p>
      <w:pPr>
        <w:pStyle w:val="BodyText"/>
      </w:pPr>
      <w:r>
        <w:t xml:space="preserve">North America became the growth engine on EVIS X1 (34% of sales in FY3/22, 41% in FY3/25). It stalled in FY3/26 on tariffs, ship-holds and EDOF demo delays, then rebounded strongly in Q4.</w:t>
      </w:r>
    </w:p>
    <w:p>
      <w:pPr>
        <w:pStyle w:val="BodyText"/>
      </w:pPr>
      <w:r>
        <w:t xml:space="preserve">China has collapsed from 14% to 8% of sales, for three reasons:</w:t>
      </w:r>
    </w:p>
    <w:p>
      <w:pPr>
        <w:numPr>
          <w:ilvl w:val="0"/>
          <w:numId w:val="1012"/>
        </w:numPr>
        <w:pStyle w:val="Compact"/>
      </w:pPr>
      <w:r>
        <w:t xml:space="preserve">The healthcare anti-corruption campaign (from July 2023).</w:t>
      </w:r>
    </w:p>
    <w:p>
      <w:pPr>
        <w:numPr>
          <w:ilvl w:val="0"/>
          <w:numId w:val="1012"/>
        </w:numPr>
        <w:pStyle w:val="Compact"/>
      </w:pPr>
      <w:r>
        <w:t xml:space="preserve">VBP on consumables.</w:t>
      </w:r>
    </w:p>
    <w:p>
      <w:pPr>
        <w:numPr>
          <w:ilvl w:val="0"/>
          <w:numId w:val="1012"/>
        </w:numPr>
        <w:pStyle w:val="Compact"/>
      </w:pPr>
      <w:r>
        <w:t xml:space="preserve">“</w:t>
      </w:r>
      <w:r>
        <w:t xml:space="preserve">Buy China</w:t>
      </w:r>
      <w:r>
        <w:t xml:space="preserve">”</w:t>
      </w:r>
      <w:r>
        <w:t xml:space="preserve"> </w:t>
      </w:r>
      <w:r>
        <w:t xml:space="preserve">procurement preferences: domestic-substitution targets reach 95% in county hospitals by 2030 [u], and endoscope tender volumes fell 12–21% in early 2026 [u].</w:t>
      </w:r>
    </w:p>
    <w:p>
      <w:pPr>
        <w:pStyle w:val="FirstParagraph"/>
      </w:pPr>
      <w:r>
        <w:t xml:space="preserve">Japan is in secular decline, constrained by hospital budgets. Europe and Asia/Oceania are steady growers.</w:t>
      </w:r>
    </w:p>
    <w:p>
      <w:pPr>
        <w:pStyle w:val="CaptionedFigure"/>
      </w:pPr>
      <w:r>
        <w:drawing>
          <wp:inline>
            <wp:extent cx="6261100" cy="2326418"/>
            <wp:effectExtent b="0" l="0" r="0" t="0"/>
            <wp:docPr descr="Revenue by region and approximate constant-currency growth" title="" id="29" name="Picture"/>
            <a:graphic>
              <a:graphicData uri="http://schemas.openxmlformats.org/drawingml/2006/picture">
                <pic:pic>
                  <pic:nvPicPr>
                    <pic:cNvPr descr="../charts/regions.png" id="30" name="Picture"/>
                    <pic:cNvPicPr>
                      <a:picLocks noChangeArrowheads="1" noChangeAspect="1"/>
                    </pic:cNvPicPr>
                  </pic:nvPicPr>
                  <pic:blipFill>
                    <a:blip r:embed="rId28"/>
                    <a:stretch>
                      <a:fillRect/>
                    </a:stretch>
                  </pic:blipFill>
                  <pic:spPr bwMode="auto">
                    <a:xfrm>
                      <a:off x="0" y="0"/>
                      <a:ext cx="6261100" cy="2326418"/>
                    </a:xfrm>
                    <a:prstGeom prst="rect">
                      <a:avLst/>
                    </a:prstGeom>
                    <a:noFill/>
                    <a:ln w="9525">
                      <a:noFill/>
                      <a:headEnd/>
                      <a:tailEnd/>
                    </a:ln>
                  </pic:spPr>
                </pic:pic>
              </a:graphicData>
            </a:graphic>
          </wp:inline>
        </w:drawing>
      </w:r>
    </w:p>
    <w:p>
      <w:pPr>
        <w:pStyle w:val="ImageCaption"/>
      </w:pPr>
      <w:r>
        <w:t xml:space="preserve">Revenue by region and approximate constant-currency growth</w:t>
      </w:r>
    </w:p>
    <w:bookmarkEnd w:id="31"/>
    <w:bookmarkStart w:id="32" w:name="key-business-drivers"/>
    <w:p>
      <w:pPr>
        <w:pStyle w:val="Heading2"/>
      </w:pPr>
      <w:r>
        <w:t xml:space="preserve">Key business drivers</w:t>
      </w:r>
    </w:p>
    <w:p>
      <w:pPr>
        <w:numPr>
          <w:ilvl w:val="0"/>
          <w:numId w:val="1013"/>
        </w:numPr>
        <w:pStyle w:val="Compact"/>
      </w:pPr>
      <w:r>
        <w:rPr>
          <w:bCs/>
          <w:b/>
        </w:rPr>
        <w:t xml:space="preserve">Installed-base replacement cycle.</w:t>
      </w:r>
      <w:r>
        <w:t xml:space="preserve"> </w:t>
      </w:r>
      <w:r>
        <w:t xml:space="preserve">EVIS X1 replaces EVIS EXERA III (US) and EVIS LUCERA ELITE (Japan). Procedure growth in colorectal-cancer screening adds volume: the US screening age was lowered to 45 in 2021, and populations are ageing.</w:t>
      </w:r>
    </w:p>
    <w:p>
      <w:pPr>
        <w:numPr>
          <w:ilvl w:val="0"/>
          <w:numId w:val="1013"/>
        </w:numPr>
        <w:pStyle w:val="Compact"/>
      </w:pPr>
      <w:r>
        <w:rPr>
          <w:bCs/>
          <w:b/>
        </w:rPr>
        <w:t xml:space="preserve">Quality and regulatory status (FDA).</w:t>
      </w:r>
      <w:r>
        <w:t xml:space="preserve"> </w:t>
      </w:r>
      <w:r>
        <w:t xml:space="preserve">Since 2022 FDA actions have cost Olympus revenue (the import alert, ~1% of sales; ~JPY18bn of Q4 FY3/26 ship-hold losses), remediation spend (~JPY20–32bn a year under Elevate) and its multiple. Close-out is the single largest value driver.</w:t>
      </w:r>
    </w:p>
    <w:p>
      <w:pPr>
        <w:numPr>
          <w:ilvl w:val="0"/>
          <w:numId w:val="1013"/>
        </w:numPr>
        <w:pStyle w:val="Compact"/>
      </w:pPr>
      <w:r>
        <w:rPr>
          <w:bCs/>
          <w:b/>
        </w:rPr>
        <w:t xml:space="preserve">US tariffs and FX.</w:t>
      </w:r>
      <w:r>
        <w:t xml:space="preserve"> </w:t>
      </w:r>
      <w:r>
        <w:t xml:space="preserve">A 15% tariff on Japanese-made goods cost ~JPY25bn of profit in FY3/26. A JPY1 move against the US$ changes revenue by ~JPY2.9bn and OP by ~JPY0.5bn; against the euro, JPY1.7bn and JPY0.5bn [u]. ~90% of sales are overseas while much of the cost base is in yen, so a weak yen is a tailwind.</w:t>
      </w:r>
    </w:p>
    <w:p>
      <w:pPr>
        <w:numPr>
          <w:ilvl w:val="0"/>
          <w:numId w:val="1013"/>
        </w:numPr>
        <w:pStyle w:val="Compact"/>
      </w:pPr>
      <w:r>
        <w:rPr>
          <w:bCs/>
          <w:b/>
        </w:rPr>
        <w:t xml:space="preserve">China policy:</w:t>
      </w:r>
      <w:r>
        <w:t xml:space="preserve"> </w:t>
      </w:r>
      <w:r>
        <w:t xml:space="preserve">VBP, anti-corruption enforcement, localisation, and the speed of NMPA registration.</w:t>
      </w:r>
    </w:p>
    <w:p>
      <w:pPr>
        <w:numPr>
          <w:ilvl w:val="0"/>
          <w:numId w:val="1013"/>
        </w:numPr>
        <w:pStyle w:val="Compact"/>
      </w:pPr>
      <w:r>
        <w:rPr>
          <w:bCs/>
          <w:b/>
        </w:rPr>
        <w:t xml:space="preserve">Cost programme.</w:t>
      </w:r>
      <w:r>
        <w:t xml:space="preserve"> </w:t>
      </w:r>
      <w:r>
        <w:t xml:space="preserve">About 2,000 roles cut (1,687 by Apr-2026) for ~JPY24bn of run-rate savings. Restructuring charges were JPY26.9bn in FY3/26. The rule is that SG&amp;A growth must not exceed revenue growth.</w:t>
      </w:r>
    </w:p>
    <w:p>
      <w:pPr>
        <w:numPr>
          <w:ilvl w:val="0"/>
          <w:numId w:val="1013"/>
        </w:numPr>
        <w:pStyle w:val="Compact"/>
      </w:pPr>
      <w:r>
        <w:rPr>
          <w:bCs/>
          <w:b/>
        </w:rPr>
        <w:t xml:space="preserve">Portfolio.</w:t>
      </w:r>
      <w:r>
        <w:t xml:space="preserve"> </w:t>
      </w:r>
      <w:r>
        <w:t xml:space="preserve">The outcome of the Surgical review. Tuck-in M&amp;A to lift the weighted-average market growth rate (BioProtect). The Swan robotics option.</w:t>
      </w:r>
    </w:p>
    <w:bookmarkEnd w:id="32"/>
    <w:bookmarkEnd w:id="33"/>
    <w:bookmarkStart w:id="37" w:name="supply-chain-map"/>
    <w:p>
      <w:pPr>
        <w:pStyle w:val="Heading1"/>
      </w:pPr>
      <w:r>
        <w:t xml:space="preserve">Supply chain map</w:t>
      </w:r>
    </w:p>
    <w:p>
      <w:pPr>
        <w:pStyle w:val="CaptionedFigure"/>
      </w:pPr>
      <w:r>
        <w:drawing>
          <wp:inline>
            <wp:extent cx="6261100" cy="3898913"/>
            <wp:effectExtent b="0" l="0" r="0" t="0"/>
            <wp:docPr descr="Olympus supply chain: suppliers, manufacturing, channels and customers" title="" id="35" name="Picture"/>
            <a:graphic>
              <a:graphicData uri="http://schemas.openxmlformats.org/drawingml/2006/picture">
                <pic:pic>
                  <pic:nvPicPr>
                    <pic:cNvPr descr="../charts/supply_chain.png" id="36" name="Picture"/>
                    <pic:cNvPicPr>
                      <a:picLocks noChangeArrowheads="1" noChangeAspect="1"/>
                    </pic:cNvPicPr>
                  </pic:nvPicPr>
                  <pic:blipFill>
                    <a:blip r:embed="rId34"/>
                    <a:stretch>
                      <a:fillRect/>
                    </a:stretch>
                  </pic:blipFill>
                  <pic:spPr bwMode="auto">
                    <a:xfrm>
                      <a:off x="0" y="0"/>
                      <a:ext cx="6261100" cy="3898913"/>
                    </a:xfrm>
                    <a:prstGeom prst="rect">
                      <a:avLst/>
                    </a:prstGeom>
                    <a:noFill/>
                    <a:ln w="9525">
                      <a:noFill/>
                      <a:headEnd/>
                      <a:tailEnd/>
                    </a:ln>
                  </pic:spPr>
                </pic:pic>
              </a:graphicData>
            </a:graphic>
          </wp:inline>
        </w:drawing>
      </w:r>
    </w:p>
    <w:p>
      <w:pPr>
        <w:pStyle w:val="ImageCaption"/>
      </w:pPr>
      <w:r>
        <w:t xml:space="preserve">Olympus supply chain: suppliers, manufacturing, channels and customers</w:t>
      </w:r>
    </w:p>
    <w:p>
      <w:pPr>
        <w:pStyle w:val="BodyText"/>
      </w:pPr>
      <w:r>
        <w:rPr>
          <w:bCs/>
          <w:b/>
        </w:rPr>
        <w:t xml:space="preserve">Reading the map.</w:t>
      </w:r>
    </w:p>
    <w:p>
      <w:pPr>
        <w:numPr>
          <w:ilvl w:val="0"/>
          <w:numId w:val="1014"/>
        </w:numPr>
        <w:pStyle w:val="Compact"/>
      </w:pPr>
      <w:r>
        <w:rPr>
          <w:bCs/>
          <w:b/>
        </w:rPr>
        <w:t xml:space="preserve">Manufacturing concentration is the critical link.</w:t>
      </w:r>
      <w:r>
        <w:t xml:space="preserve"> </w:t>
      </w:r>
      <w:r>
        <w:t xml:space="preserve">Flexible scopes are made almost entirely in Japan: Aizu, Hachioji, Hinode, Aomori and Shirakawa. Surgical and urology products come from Hamburg (Olympus Winter &amp; Ibe) and Gyrus ACMI in the US.</w:t>
      </w:r>
      <w:r>
        <w:t xml:space="preserve"> </w:t>
      </w:r>
      <w:r>
        <w:rPr>
          <w:bCs/>
          <w:b/>
        </w:rPr>
        <w:t xml:space="preserve">Five of the six sites named in the Oct-2026 Warning Letter are in this chain, as is the Aizu plant under the 2025 import alert.</w:t>
      </w:r>
    </w:p>
    <w:p>
      <w:pPr>
        <w:numPr>
          <w:ilvl w:val="0"/>
          <w:numId w:val="1014"/>
        </w:numPr>
        <w:pStyle w:val="Compact"/>
      </w:pPr>
      <w:r>
        <w:rPr>
          <w:bCs/>
          <w:b/>
        </w:rPr>
        <w:t xml:space="preserve">Imaging technology depends partly on Sony</w:t>
      </w:r>
      <w:r>
        <w:t xml:space="preserve"> </w:t>
      </w:r>
      <w:r>
        <w:t xml:space="preserve">through the SOMED joint venture. That is a strategic dependency and a possible change-of-control issue for any acquirer [u].</w:t>
      </w:r>
    </w:p>
    <w:p>
      <w:pPr>
        <w:numPr>
          <w:ilvl w:val="0"/>
          <w:numId w:val="1014"/>
        </w:numPr>
        <w:pStyle w:val="Compact"/>
      </w:pPr>
      <w:r>
        <w:rPr>
          <w:bCs/>
          <w:b/>
        </w:rPr>
        <w:t xml:space="preserve">Distribution is mostly direct.</w:t>
      </w:r>
      <w:r>
        <w:t xml:space="preserve"> </w:t>
      </w:r>
      <w:r>
        <w:t xml:space="preserve">Wholly owned sales subsidiaries in each region carry the service network, which is a barrier to entry. Distributors are used only in</w:t>
      </w:r>
      <w:r>
        <w:t xml:space="preserve"> </w:t>
      </w:r>
      <w:r>
        <w:t xml:space="preserve">“</w:t>
      </w:r>
      <w:r>
        <w:t xml:space="preserve">Other</w:t>
      </w:r>
      <w:r>
        <w:t xml:space="preserve">”</w:t>
      </w:r>
      <w:r>
        <w:t xml:space="preserve"> </w:t>
      </w:r>
      <w:r>
        <w:t xml:space="preserve">regions (~3.5% of sales).</w:t>
      </w:r>
    </w:p>
    <w:p>
      <w:pPr>
        <w:numPr>
          <w:ilvl w:val="0"/>
          <w:numId w:val="1014"/>
        </w:numPr>
        <w:pStyle w:val="Compact"/>
      </w:pPr>
      <w:r>
        <w:rPr>
          <w:bCs/>
          <w:b/>
        </w:rPr>
        <w:t xml:space="preserve">Customers are institutional payers</w:t>
      </w:r>
      <w:r>
        <w:t xml:space="preserve"> </w:t>
      </w:r>
      <w:r>
        <w:t xml:space="preserve">whose budgets are set by public reimbursement: CMS in the US, the NHS, Japan’s national fee schedule and China’s NHSA/VBP. Pricing power exists, but within regulated envelopes.</w:t>
      </w:r>
    </w:p>
    <w:bookmarkEnd w:id="37"/>
    <w:bookmarkStart w:id="38" w:name="X8380dafc01e0f9aa568d67b6f125a80e7b51943"/>
    <w:p>
      <w:pPr>
        <w:pStyle w:val="Heading1"/>
      </w:pPr>
      <w:r>
        <w:t xml:space="preserve">Macro and micro factors: tailwinds and headwinds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594"/>
        <w:gridCol w:w="1341"/>
        <w:gridCol w:w="5042"/>
      </w:tblGrid>
      <w:tr>
        <w:trPr>
          <w:tblHeader w:val="true"/>
          <w:tblHeader w:val="true"/>
          <w:cantSplit/>
        </w:trPr>
        <w:tc>
          <w:tcPr>
            <w:tcW w:type="dxa" w:w="3594"/>
            <w:shd w:val="clear" w:color="auto" w:fill="13213F"/>
          </w:tcPr>
          <w:p>
            <w:pPr>
              <w:pStyle w:val="Compact"/>
              <w:spacing w:after="0" w:before="0" w:line="240" w:lineRule="auto"/>
              <w:jc w:val="left"/>
            </w:pPr>
            <w:r>
              <w:rPr>
                <w:rFonts w:ascii="Arial" w:hAnsi="Arial"/>
                <w:b/>
                <w:color w:val="FFFFFF"/>
                <w:sz w:val="15"/>
              </w:rPr>
              <w:t xml:space="preserve">Factor</w:t>
            </w:r>
          </w:p>
        </w:tc>
        <w:tc>
          <w:tcPr>
            <w:tcW w:type="dxa" w:w="1341"/>
            <w:shd w:val="clear" w:color="auto" w:fill="13213F"/>
          </w:tcPr>
          <w:p>
            <w:pPr>
              <w:pStyle w:val="Compact"/>
              <w:spacing w:after="0" w:before="0" w:line="240" w:lineRule="auto"/>
              <w:jc w:val="center"/>
            </w:pPr>
            <w:r>
              <w:rPr>
                <w:rFonts w:ascii="Arial" w:hAnsi="Arial"/>
                <w:b/>
                <w:color w:val="FFFFFF"/>
                <w:sz w:val="15"/>
              </w:rPr>
              <w:t xml:space="preserve">Direction</w:t>
            </w:r>
          </w:p>
        </w:tc>
        <w:tc>
          <w:tcPr>
            <w:tcW w:type="dxa" w:w="5042"/>
            <w:shd w:val="clear" w:color="auto" w:fill="13213F"/>
          </w:tcPr>
          <w:p>
            <w:pPr>
              <w:pStyle w:val="Compact"/>
              <w:spacing w:after="0" w:before="0" w:line="240" w:lineRule="auto"/>
              <w:jc w:val="left"/>
            </w:pPr>
            <w:r>
              <w:rPr>
                <w:rFonts w:ascii="Arial" w:hAnsi="Arial"/>
                <w:b/>
                <w:color w:val="FFFFFF"/>
                <w:sz w:val="15"/>
              </w:rPr>
              <w:t xml:space="preserve">Assessment</w:t>
            </w:r>
          </w:p>
        </w:tc>
      </w:tr>
      <w:tr>
        <w:trPr>
          <w:cantSplit/>
        </w:trPr>
        <w:tc>
          <w:tcPr>
            <w:tcW w:type="dxa" w:w="3594"/>
          </w:tcPr>
          <w:p>
            <w:pPr>
              <w:pStyle w:val="Compact"/>
              <w:spacing w:after="0" w:before="0" w:line="240" w:lineRule="auto"/>
              <w:jc w:val="left"/>
            </w:pPr>
            <w:r>
              <w:rPr>
                <w:rFonts w:ascii="Arial" w:hAnsi="Arial"/>
                <w:sz w:val="15"/>
              </w:rPr>
              <w:t xml:space="preserve">Weak yen (USD/JPY ~156–158; MoF intervened in Jul-2026)</w:t>
            </w:r>
          </w:p>
        </w:tc>
        <w:tc>
          <w:tcPr>
            <w:tcW w:type="dxa" w:w="1341"/>
          </w:tcPr>
          <w:p>
            <w:pPr>
              <w:pStyle w:val="Compact"/>
              <w:spacing w:after="0" w:before="0" w:line="240" w:lineRule="auto"/>
              <w:jc w:val="center"/>
            </w:pPr>
            <w:r>
              <w:rPr>
                <w:rFonts w:ascii="Arial" w:hAnsi="Arial"/>
                <w:sz w:val="15"/>
              </w:rPr>
              <w:t xml:space="preserve">Tailwind</w:t>
            </w:r>
          </w:p>
        </w:tc>
        <w:tc>
          <w:tcPr>
            <w:tcW w:type="dxa" w:w="5042"/>
          </w:tcPr>
          <w:p>
            <w:pPr>
              <w:pStyle w:val="Compact"/>
              <w:spacing w:after="0" w:before="0" w:line="240" w:lineRule="auto"/>
              <w:jc w:val="left"/>
            </w:pPr>
            <w:r>
              <w:rPr>
                <w:rFonts w:ascii="Arial" w:hAnsi="Arial"/>
                <w:sz w:val="15"/>
              </w:rPr>
              <w:t xml:space="preserve">~90% of sales are overseas; guidance assumes JPY155/US$ and JPY181/€. Every JPY1 of yen weakness against the US$ adds ~JPY0.5bn to OP [u]. 1Q FY3/27 revenue was +16% reported against ~+5% cc.</w:t>
            </w:r>
          </w:p>
        </w:tc>
      </w:tr>
      <w:tr>
        <w:trPr>
          <w:cantSplit/>
        </w:trPr>
        <w:tc>
          <w:tcPr>
            <w:tcW w:type="dxa" w:w="3594"/>
            <w:shd w:val="clear" w:color="auto" w:fill="F1F2F5"/>
          </w:tcPr>
          <w:p>
            <w:pPr>
              <w:pStyle w:val="Compact"/>
              <w:spacing w:after="0" w:before="0" w:line="240" w:lineRule="auto"/>
              <w:jc w:val="left"/>
            </w:pPr>
            <w:r>
              <w:rPr>
                <w:rFonts w:ascii="Arial" w:hAnsi="Arial"/>
                <w:sz w:val="15"/>
              </w:rPr>
              <w:t xml:space="preserve">BoJ tightening (policy rate 1.25% after the 18-Sep-2026 hike; next meeting 30-Oct)</w:t>
            </w:r>
          </w:p>
        </w:tc>
        <w:tc>
          <w:tcPr>
            <w:tcW w:type="dxa" w:w="1341"/>
            <w:shd w:val="clear" w:color="auto" w:fill="F1F2F5"/>
          </w:tcPr>
          <w:p>
            <w:pPr>
              <w:pStyle w:val="Compact"/>
              <w:spacing w:after="0" w:before="0" w:line="240" w:lineRule="auto"/>
              <w:jc w:val="center"/>
            </w:pPr>
            <w:r>
              <w:rPr>
                <w:rFonts w:ascii="Arial" w:hAnsi="Arial"/>
                <w:sz w:val="15"/>
              </w:rPr>
              <w:t xml:space="preserve">Mild headwind</w:t>
            </w:r>
          </w:p>
        </w:tc>
        <w:tc>
          <w:tcPr>
            <w:tcW w:type="dxa" w:w="5042"/>
            <w:shd w:val="clear" w:color="auto" w:fill="F1F2F5"/>
          </w:tcPr>
          <w:p>
            <w:pPr>
              <w:pStyle w:val="Compact"/>
              <w:spacing w:after="0" w:before="0" w:line="240" w:lineRule="auto"/>
              <w:jc w:val="left"/>
            </w:pPr>
            <w:r>
              <w:rPr>
                <w:rFonts w:ascii="Arial" w:hAnsi="Arial"/>
                <w:sz w:val="15"/>
              </w:rPr>
              <w:t xml:space="preserve">Higher yen funding costs (new US$500m notes at 5.526% replace 2.143% paper), a stronger-yen risk, and higher LBO debt costs for any bidder.</w:t>
            </w:r>
          </w:p>
        </w:tc>
      </w:tr>
      <w:tr>
        <w:trPr>
          <w:cantSplit/>
        </w:trPr>
        <w:tc>
          <w:tcPr>
            <w:tcW w:type="dxa" w:w="3594"/>
          </w:tcPr>
          <w:p>
            <w:pPr>
              <w:pStyle w:val="Compact"/>
              <w:spacing w:after="0" w:before="0" w:line="240" w:lineRule="auto"/>
              <w:jc w:val="left"/>
            </w:pPr>
            <w:r>
              <w:rPr>
                <w:rFonts w:ascii="Arial" w:hAnsi="Arial"/>
                <w:sz w:val="15"/>
              </w:rPr>
              <w:t xml:space="preserve">US tariffs (15% on Japanese goods; Section 232 medical-device probe opened Sep-2025)</w:t>
            </w:r>
          </w:p>
        </w:tc>
        <w:tc>
          <w:tcPr>
            <w:tcW w:type="dxa" w:w="1341"/>
          </w:tcPr>
          <w:p>
            <w:pPr>
              <w:pStyle w:val="Compact"/>
              <w:spacing w:after="0" w:before="0" w:line="240" w:lineRule="auto"/>
              <w:jc w:val="center"/>
            </w:pPr>
            <w:r>
              <w:rPr>
                <w:rFonts w:ascii="Arial" w:hAnsi="Arial"/>
                <w:sz w:val="15"/>
              </w:rPr>
              <w:t xml:space="preserve">Headwind</w:t>
            </w:r>
          </w:p>
        </w:tc>
        <w:tc>
          <w:tcPr>
            <w:tcW w:type="dxa" w:w="5042"/>
          </w:tcPr>
          <w:p>
            <w:pPr>
              <w:pStyle w:val="Compact"/>
              <w:spacing w:after="0" w:before="0" w:line="240" w:lineRule="auto"/>
              <w:jc w:val="left"/>
            </w:pPr>
            <w:r>
              <w:rPr>
                <w:rFonts w:ascii="Arial" w:hAnsi="Arial"/>
                <w:sz w:val="15"/>
              </w:rPr>
              <w:t xml:space="preserve">~JPY25bn profit hit in FY3/26, assumed to continue in FY3/27. A sector tariff on endoscopes would be negative. A refund after the Supreme Court’s IEEPA ruling would be cash upside only [u].</w:t>
            </w:r>
          </w:p>
        </w:tc>
      </w:tr>
      <w:tr>
        <w:trPr>
          <w:cantSplit/>
        </w:trPr>
        <w:tc>
          <w:tcPr>
            <w:tcW w:type="dxa" w:w="3594"/>
            <w:shd w:val="clear" w:color="auto" w:fill="F1F2F5"/>
          </w:tcPr>
          <w:p>
            <w:pPr>
              <w:pStyle w:val="Compact"/>
              <w:spacing w:after="0" w:before="0" w:line="240" w:lineRule="auto"/>
              <w:jc w:val="left"/>
            </w:pPr>
            <w:r>
              <w:rPr>
                <w:rFonts w:ascii="Arial" w:hAnsi="Arial"/>
                <w:sz w:val="15"/>
              </w:rPr>
              <w:t xml:space="preserve">US FDA enforcement intensity</w:t>
            </w:r>
          </w:p>
        </w:tc>
        <w:tc>
          <w:tcPr>
            <w:tcW w:type="dxa" w:w="1341"/>
            <w:shd w:val="clear" w:color="auto" w:fill="F1F2F5"/>
          </w:tcPr>
          <w:p>
            <w:pPr>
              <w:pStyle w:val="Compact"/>
              <w:spacing w:after="0" w:before="0" w:line="240" w:lineRule="auto"/>
              <w:jc w:val="center"/>
            </w:pPr>
            <w:r>
              <w:rPr>
                <w:rFonts w:ascii="Arial" w:hAnsi="Arial"/>
                <w:sz w:val="15"/>
              </w:rPr>
              <w:t xml:space="preserve">Headwind</w:t>
            </w:r>
          </w:p>
        </w:tc>
        <w:tc>
          <w:tcPr>
            <w:tcW w:type="dxa" w:w="5042"/>
            <w:shd w:val="clear" w:color="auto" w:fill="F1F2F5"/>
          </w:tcPr>
          <w:p>
            <w:pPr>
              <w:pStyle w:val="Compact"/>
              <w:spacing w:after="0" w:before="0" w:line="240" w:lineRule="auto"/>
              <w:jc w:val="left"/>
            </w:pPr>
            <w:r>
              <w:rPr>
                <w:rFonts w:ascii="Arial" w:hAnsi="Arial"/>
                <w:sz w:val="15"/>
              </w:rPr>
              <w:t xml:space="preserve">Three Olympus warning letters in 2022–23, the 2025 import alert and the 2026 letter. The agency’s patience is visibly lower.</w:t>
            </w:r>
          </w:p>
        </w:tc>
      </w:tr>
      <w:tr>
        <w:trPr>
          <w:cantSplit/>
        </w:trPr>
        <w:tc>
          <w:tcPr>
            <w:tcW w:type="dxa" w:w="3594"/>
          </w:tcPr>
          <w:p>
            <w:pPr>
              <w:pStyle w:val="Compact"/>
              <w:spacing w:after="0" w:before="0" w:line="240" w:lineRule="auto"/>
              <w:jc w:val="left"/>
            </w:pPr>
            <w:r>
              <w:rPr>
                <w:rFonts w:ascii="Arial" w:hAnsi="Arial"/>
                <w:sz w:val="15"/>
              </w:rPr>
              <w:t xml:space="preserve">China: VBP, anti-corruption, domestic substitution</w:t>
            </w:r>
          </w:p>
        </w:tc>
        <w:tc>
          <w:tcPr>
            <w:tcW w:type="dxa" w:w="1341"/>
          </w:tcPr>
          <w:p>
            <w:pPr>
              <w:pStyle w:val="Compact"/>
              <w:spacing w:after="0" w:before="0" w:line="240" w:lineRule="auto"/>
              <w:jc w:val="center"/>
            </w:pPr>
            <w:r>
              <w:rPr>
                <w:rFonts w:ascii="Arial" w:hAnsi="Arial"/>
                <w:sz w:val="15"/>
              </w:rPr>
              <w:t xml:space="preserve">Headwind</w:t>
            </w:r>
          </w:p>
        </w:tc>
        <w:tc>
          <w:tcPr>
            <w:tcW w:type="dxa" w:w="5042"/>
          </w:tcPr>
          <w:p>
            <w:pPr>
              <w:pStyle w:val="Compact"/>
              <w:spacing w:after="0" w:before="0" w:line="240" w:lineRule="auto"/>
              <w:jc w:val="left"/>
            </w:pPr>
            <w:r>
              <w:rPr>
                <w:rFonts w:ascii="Arial" w:hAnsi="Arial"/>
                <w:sz w:val="15"/>
              </w:rPr>
              <w:t xml:space="preserve">China revenue fell 34% from FY3/22 to FY3/26; 1Q FY3/27 was -17% cc [u]. Local production of GI scopes has started. The 3-4-5 plan only needs low-to-mid-single-digit growth in China.</w:t>
            </w:r>
          </w:p>
        </w:tc>
      </w:tr>
      <w:tr>
        <w:trPr>
          <w:cantSplit/>
        </w:trPr>
        <w:tc>
          <w:tcPr>
            <w:tcW w:type="dxa" w:w="3594"/>
            <w:shd w:val="clear" w:color="auto" w:fill="F1F2F5"/>
          </w:tcPr>
          <w:p>
            <w:pPr>
              <w:pStyle w:val="Compact"/>
              <w:spacing w:after="0" w:before="0" w:line="240" w:lineRule="auto"/>
              <w:jc w:val="left"/>
            </w:pPr>
            <w:r>
              <w:rPr>
                <w:rFonts w:ascii="Arial" w:hAnsi="Arial"/>
                <w:sz w:val="15"/>
              </w:rPr>
              <w:t xml:space="preserve">Demographics and colorectal-cancer screening</w:t>
            </w:r>
          </w:p>
        </w:tc>
        <w:tc>
          <w:tcPr>
            <w:tcW w:type="dxa" w:w="1341"/>
            <w:shd w:val="clear" w:color="auto" w:fill="F1F2F5"/>
          </w:tcPr>
          <w:p>
            <w:pPr>
              <w:pStyle w:val="Compact"/>
              <w:spacing w:after="0" w:before="0" w:line="240" w:lineRule="auto"/>
              <w:jc w:val="center"/>
            </w:pPr>
            <w:r>
              <w:rPr>
                <w:rFonts w:ascii="Arial" w:hAnsi="Arial"/>
                <w:sz w:val="15"/>
              </w:rPr>
              <w:t xml:space="preserve">Tailwind</w:t>
            </w:r>
          </w:p>
        </w:tc>
        <w:tc>
          <w:tcPr>
            <w:tcW w:type="dxa" w:w="5042"/>
            <w:shd w:val="clear" w:color="auto" w:fill="F1F2F5"/>
          </w:tcPr>
          <w:p>
            <w:pPr>
              <w:pStyle w:val="Compact"/>
              <w:spacing w:after="0" w:before="0" w:line="240" w:lineRule="auto"/>
              <w:jc w:val="left"/>
            </w:pPr>
            <w:r>
              <w:rPr>
                <w:rFonts w:ascii="Arial" w:hAnsi="Arial"/>
                <w:sz w:val="15"/>
              </w:rPr>
              <w:t xml:space="preserve">Ageing populations; US screening from age 45; AI-assisted detection raises adenoma-detection rates and procedure value.</w:t>
            </w:r>
          </w:p>
        </w:tc>
      </w:tr>
      <w:tr>
        <w:trPr>
          <w:cantSplit/>
        </w:trPr>
        <w:tc>
          <w:tcPr>
            <w:tcW w:type="dxa" w:w="3594"/>
          </w:tcPr>
          <w:p>
            <w:pPr>
              <w:pStyle w:val="Compact"/>
              <w:spacing w:after="0" w:before="0" w:line="240" w:lineRule="auto"/>
              <w:jc w:val="left"/>
            </w:pPr>
            <w:r>
              <w:rPr>
                <w:rFonts w:ascii="Arial" w:hAnsi="Arial"/>
                <w:sz w:val="15"/>
              </w:rPr>
              <w:t xml:space="preserve">Hospital capital budgets (US, Europe)</w:t>
            </w:r>
          </w:p>
        </w:tc>
        <w:tc>
          <w:tcPr>
            <w:tcW w:type="dxa" w:w="1341"/>
          </w:tcPr>
          <w:p>
            <w:pPr>
              <w:pStyle w:val="Compact"/>
              <w:spacing w:after="0" w:before="0" w:line="240" w:lineRule="auto"/>
              <w:jc w:val="center"/>
            </w:pPr>
            <w:r>
              <w:rPr>
                <w:rFonts w:ascii="Arial" w:hAnsi="Arial"/>
                <w:sz w:val="15"/>
              </w:rPr>
              <w:t xml:space="preserve">Neutral to positive</w:t>
            </w:r>
          </w:p>
        </w:tc>
        <w:tc>
          <w:tcPr>
            <w:tcW w:type="dxa" w:w="5042"/>
          </w:tcPr>
          <w:p>
            <w:pPr>
              <w:pStyle w:val="Compact"/>
              <w:spacing w:after="0" w:before="0" w:line="240" w:lineRule="auto"/>
              <w:jc w:val="left"/>
            </w:pPr>
            <w:r>
              <w:rPr>
                <w:rFonts w:ascii="Arial" w:hAnsi="Arial"/>
                <w:sz w:val="15"/>
              </w:rPr>
              <w:t xml:space="preserve">US hospital margins have recovered; Europe is steady; Japanese hospitals are budget-constrained.</w:t>
            </w:r>
          </w:p>
        </w:tc>
      </w:tr>
      <w:tr>
        <w:trPr>
          <w:cantSplit/>
        </w:trPr>
        <w:tc>
          <w:tcPr>
            <w:tcW w:type="dxa" w:w="3594"/>
            <w:shd w:val="clear" w:color="auto" w:fill="F1F2F5"/>
          </w:tcPr>
          <w:p>
            <w:pPr>
              <w:pStyle w:val="Compact"/>
              <w:spacing w:after="0" w:before="0" w:line="240" w:lineRule="auto"/>
              <w:jc w:val="left"/>
            </w:pPr>
            <w:r>
              <w:rPr>
                <w:rFonts w:ascii="Arial" w:hAnsi="Arial"/>
                <w:sz w:val="15"/>
              </w:rPr>
              <w:t xml:space="preserve">Single-use endoscopes (Ambu, BSX EXALT)</w:t>
            </w:r>
          </w:p>
        </w:tc>
        <w:tc>
          <w:tcPr>
            <w:tcW w:type="dxa" w:w="1341"/>
            <w:shd w:val="clear" w:color="auto" w:fill="F1F2F5"/>
          </w:tcPr>
          <w:p>
            <w:pPr>
              <w:pStyle w:val="Compact"/>
              <w:spacing w:after="0" w:before="0" w:line="240" w:lineRule="auto"/>
              <w:jc w:val="center"/>
            </w:pPr>
            <w:r>
              <w:rPr>
                <w:rFonts w:ascii="Arial" w:hAnsi="Arial"/>
                <w:sz w:val="15"/>
              </w:rPr>
              <w:t xml:space="preserve">Mixed</w:t>
            </w:r>
          </w:p>
        </w:tc>
        <w:tc>
          <w:tcPr>
            <w:tcW w:type="dxa" w:w="5042"/>
            <w:shd w:val="clear" w:color="auto" w:fill="F1F2F5"/>
          </w:tcPr>
          <w:p>
            <w:pPr>
              <w:pStyle w:val="Compact"/>
              <w:spacing w:after="0" w:before="0" w:line="240" w:lineRule="auto"/>
              <w:jc w:val="left"/>
            </w:pPr>
            <w:r>
              <w:rPr>
                <w:rFonts w:ascii="Arial" w:hAnsi="Arial"/>
                <w:sz w:val="15"/>
              </w:rPr>
              <w:t xml:space="preserve">A cannibalisation risk in bronchoscopy and duodenoscopy. Olympus frames it as market expansion.</w:t>
            </w:r>
          </w:p>
        </w:tc>
      </w:tr>
      <w:tr>
        <w:trPr>
          <w:cantSplit/>
        </w:trPr>
        <w:tc>
          <w:tcPr>
            <w:tcW w:type="dxa" w:w="3594"/>
          </w:tcPr>
          <w:p>
            <w:pPr>
              <w:pStyle w:val="Compact"/>
              <w:spacing w:after="0" w:before="0" w:line="240" w:lineRule="auto"/>
              <w:jc w:val="left"/>
            </w:pPr>
            <w:r>
              <w:rPr>
                <w:rFonts w:ascii="Arial" w:hAnsi="Arial"/>
                <w:sz w:val="15"/>
              </w:rPr>
              <w:t xml:space="preserve">PENTAX strategic review (Hoya, Jul-2026)</w:t>
            </w:r>
          </w:p>
        </w:tc>
        <w:tc>
          <w:tcPr>
            <w:tcW w:type="dxa" w:w="1341"/>
          </w:tcPr>
          <w:p>
            <w:pPr>
              <w:pStyle w:val="Compact"/>
              <w:spacing w:after="0" w:before="0" w:line="240" w:lineRule="auto"/>
              <w:jc w:val="center"/>
            </w:pPr>
            <w:r>
              <w:rPr>
                <w:rFonts w:ascii="Arial" w:hAnsi="Arial"/>
                <w:sz w:val="15"/>
              </w:rPr>
              <w:t xml:space="preserve">Mixed</w:t>
            </w:r>
          </w:p>
        </w:tc>
        <w:tc>
          <w:tcPr>
            <w:tcW w:type="dxa" w:w="5042"/>
          </w:tcPr>
          <w:p>
            <w:pPr>
              <w:pStyle w:val="Compact"/>
              <w:spacing w:after="0" w:before="0" w:line="240" w:lineRule="auto"/>
              <w:jc w:val="left"/>
            </w:pPr>
            <w:r>
              <w:rPr>
                <w:rFonts w:ascii="Arial" w:hAnsi="Arial"/>
                <w:sz w:val="15"/>
              </w:rPr>
              <w:t xml:space="preserve">A new owner (PE, US or Chinese) could compete harder. A sale price would also set a fresh endoscopy multiple.</w:t>
            </w:r>
          </w:p>
        </w:tc>
      </w:tr>
      <w:tr>
        <w:trPr>
          <w:cantSplit/>
        </w:trPr>
        <w:tc>
          <w:tcPr>
            <w:tcW w:type="dxa" w:w="3594"/>
            <w:shd w:val="clear" w:color="auto" w:fill="F1F2F5"/>
          </w:tcPr>
          <w:p>
            <w:pPr>
              <w:pStyle w:val="Compact"/>
              <w:spacing w:after="0" w:before="0" w:line="240" w:lineRule="auto"/>
              <w:jc w:val="left"/>
            </w:pPr>
            <w:r>
              <w:rPr>
                <w:rFonts w:ascii="Arial" w:hAnsi="Arial"/>
                <w:sz w:val="15"/>
              </w:rPr>
              <w:t xml:space="preserve">Japan governance reforms (TSE P/B push, METI 2023 takeover guidelines, FEFTA amendments of Jun-2026)</w:t>
            </w:r>
          </w:p>
        </w:tc>
        <w:tc>
          <w:tcPr>
            <w:tcW w:type="dxa" w:w="1341"/>
            <w:shd w:val="clear" w:color="auto" w:fill="F1F2F5"/>
          </w:tcPr>
          <w:p>
            <w:pPr>
              <w:pStyle w:val="Compact"/>
              <w:spacing w:after="0" w:before="0" w:line="240" w:lineRule="auto"/>
              <w:jc w:val="center"/>
            </w:pPr>
            <w:r>
              <w:rPr>
                <w:rFonts w:ascii="Arial" w:hAnsi="Arial"/>
                <w:sz w:val="15"/>
              </w:rPr>
              <w:t xml:space="preserve">Mixed</w:t>
            </w:r>
          </w:p>
        </w:tc>
        <w:tc>
          <w:tcPr>
            <w:tcW w:type="dxa" w:w="5042"/>
            <w:shd w:val="clear" w:color="auto" w:fill="F1F2F5"/>
          </w:tcPr>
          <w:p>
            <w:pPr>
              <w:pStyle w:val="Compact"/>
              <w:spacing w:after="0" w:before="0" w:line="240" w:lineRule="auto"/>
              <w:jc w:val="left"/>
            </w:pPr>
            <w:r>
              <w:rPr>
                <w:rFonts w:ascii="Arial" w:hAnsi="Arial"/>
                <w:sz w:val="15"/>
              </w:rPr>
              <w:t xml:space="preserve">They raise the odds of buybacks and of serious engagement with bids, but FEFTA tightens screening of foreign acquirers in medical devices.</w:t>
            </w:r>
          </w:p>
        </w:tc>
      </w:tr>
      <w:tr>
        <w:trPr>
          <w:cantSplit/>
        </w:trPr>
        <w:tc>
          <w:tcPr>
            <w:tcW w:type="dxa" w:w="3594"/>
          </w:tcPr>
          <w:p>
            <w:pPr>
              <w:pStyle w:val="Compact"/>
              <w:spacing w:after="0" w:before="0" w:line="240" w:lineRule="auto"/>
              <w:jc w:val="left"/>
            </w:pPr>
            <w:r>
              <w:rPr>
                <w:rFonts w:ascii="Arial" w:hAnsi="Arial"/>
                <w:sz w:val="15"/>
              </w:rPr>
              <w:t xml:space="preserve">Micro: cost programme and SG&amp;A discipline</w:t>
            </w:r>
          </w:p>
        </w:tc>
        <w:tc>
          <w:tcPr>
            <w:tcW w:type="dxa" w:w="1341"/>
          </w:tcPr>
          <w:p>
            <w:pPr>
              <w:pStyle w:val="Compact"/>
              <w:spacing w:after="0" w:before="0" w:line="240" w:lineRule="auto"/>
              <w:jc w:val="center"/>
            </w:pPr>
            <w:r>
              <w:rPr>
                <w:rFonts w:ascii="Arial" w:hAnsi="Arial"/>
                <w:sz w:val="15"/>
              </w:rPr>
              <w:t xml:space="preserve">Tailwind</w:t>
            </w:r>
          </w:p>
        </w:tc>
        <w:tc>
          <w:tcPr>
            <w:tcW w:type="dxa" w:w="5042"/>
          </w:tcPr>
          <w:p>
            <w:pPr>
              <w:pStyle w:val="Compact"/>
              <w:spacing w:after="0" w:before="0" w:line="240" w:lineRule="auto"/>
              <w:jc w:val="left"/>
            </w:pPr>
            <w:r>
              <w:rPr>
                <w:rFonts w:ascii="Arial" w:hAnsi="Arial"/>
                <w:sz w:val="15"/>
              </w:rPr>
              <w:t xml:space="preserve">SG&amp;A fell to 52.0% of sales in 1Q FY3/27 from 59.2%.</w:t>
            </w:r>
          </w:p>
        </w:tc>
      </w:tr>
      <w:tr>
        <w:trPr>
          <w:cantSplit/>
        </w:trPr>
        <w:tc>
          <w:tcPr>
            <w:tcW w:type="dxa" w:w="3594"/>
            <w:shd w:val="clear" w:color="auto" w:fill="F1F2F5"/>
          </w:tcPr>
          <w:p>
            <w:pPr>
              <w:pStyle w:val="Compact"/>
              <w:spacing w:after="0" w:before="0" w:line="240" w:lineRule="auto"/>
              <w:jc w:val="left"/>
            </w:pPr>
            <w:r>
              <w:rPr>
                <w:rFonts w:ascii="Arial" w:hAnsi="Arial"/>
                <w:sz w:val="15"/>
              </w:rPr>
              <w:t xml:space="preserve">Micro: management bandwidth (11 executive officers, 8 joined since 2023)</w:t>
            </w:r>
          </w:p>
        </w:tc>
        <w:tc>
          <w:tcPr>
            <w:tcW w:type="dxa" w:w="1341"/>
            <w:shd w:val="clear" w:color="auto" w:fill="F1F2F5"/>
          </w:tcPr>
          <w:p>
            <w:pPr>
              <w:pStyle w:val="Compact"/>
              <w:spacing w:after="0" w:before="0" w:line="240" w:lineRule="auto"/>
              <w:jc w:val="center"/>
            </w:pPr>
            <w:r>
              <w:rPr>
                <w:rFonts w:ascii="Arial" w:hAnsi="Arial"/>
                <w:sz w:val="15"/>
              </w:rPr>
              <w:t xml:space="preserve">Risk</w:t>
            </w:r>
          </w:p>
        </w:tc>
        <w:tc>
          <w:tcPr>
            <w:tcW w:type="dxa" w:w="5042"/>
            <w:shd w:val="clear" w:color="auto" w:fill="F1F2F5"/>
          </w:tcPr>
          <w:p>
            <w:pPr>
              <w:pStyle w:val="Compact"/>
              <w:spacing w:after="0" w:before="0" w:line="240" w:lineRule="auto"/>
              <w:jc w:val="left"/>
            </w:pPr>
            <w:r>
              <w:rPr>
                <w:rFonts w:ascii="Arial" w:hAnsi="Arial"/>
                <w:sz w:val="15"/>
              </w:rPr>
              <w:t xml:space="preserve">A largely new US/EU-hired team is running a Japanese manufacturing base under FDA scrutiny.</w:t>
            </w:r>
          </w:p>
        </w:tc>
      </w:tr>
    </w:tbl>
    <w:bookmarkEnd w:id="38"/>
    <w:bookmarkStart w:id="41" w:name="X0061508f73e7b46e82850434df1b53fc61aaa67"/>
    <w:p>
      <w:pPr>
        <w:pStyle w:val="Heading1"/>
      </w:pPr>
      <w:r>
        <w:t xml:space="preserve">Strength of products and services, and economic moats</w:t>
      </w:r>
    </w:p>
    <w:bookmarkStart w:id="39" w:name="product-strength-vs-competitors"/>
    <w:p>
      <w:pPr>
        <w:pStyle w:val="Heading2"/>
      </w:pPr>
      <w:r>
        <w:t xml:space="preserve">Product strength vs competitors</w:t>
      </w:r>
    </w:p>
    <w:p>
      <w:pPr>
        <w:numPr>
          <w:ilvl w:val="0"/>
          <w:numId w:val="1015"/>
        </w:numPr>
        <w:pStyle w:val="Compact"/>
      </w:pPr>
      <w:r>
        <w:rPr>
          <w:bCs/>
          <w:b/>
        </w:rPr>
        <w:t xml:space="preserve">GI endoscopy is the strongest franchise in the portfolio.</w:t>
      </w:r>
      <w:r>
        <w:t xml:space="preserve"> </w:t>
      </w:r>
      <w:r>
        <w:t xml:space="preserve">EVIS X1 gives Olympus the broadest imaging toolkit in the market: NBI, TXI, RDI, EDOF, dual-focus and CADDIE AI. Fujifilm (ELUXEO) competes on laser/LED imaging and price. PENTAX is a distant #3 and is itself under strategic review. A share of ~70% globally [u] and ~45% recurring revenue within GIS [e] make this a franchise peers cannot replicate quickly.</w:t>
      </w:r>
    </w:p>
    <w:p>
      <w:pPr>
        <w:numPr>
          <w:ilvl w:val="0"/>
          <w:numId w:val="1015"/>
        </w:numPr>
        <w:pStyle w:val="Compact"/>
      </w:pPr>
      <w:r>
        <w:rPr>
          <w:bCs/>
          <w:b/>
        </w:rPr>
        <w:t xml:space="preserve">Medical Service is a hidden moat.</w:t>
      </w:r>
      <w:r>
        <w:t xml:space="preserve"> </w:t>
      </w:r>
      <w:r>
        <w:t xml:space="preserve">Olympus repairs and maintains the world’s largest fleet of flexible scopes, and repairs are frequent: scopes are reprocessed after every use. Service contracts tie hospitals in, and third-party repairers capture only part of the market [e].</w:t>
      </w:r>
    </w:p>
    <w:p>
      <w:pPr>
        <w:numPr>
          <w:ilvl w:val="0"/>
          <w:numId w:val="1015"/>
        </w:numPr>
        <w:pStyle w:val="Compact"/>
      </w:pPr>
      <w:r>
        <w:rPr>
          <w:bCs/>
          <w:b/>
        </w:rPr>
        <w:t xml:space="preserve">Endotherapy is competitive but sticky.</w:t>
      </w:r>
      <w:r>
        <w:t xml:space="preserve"> </w:t>
      </w:r>
      <w:r>
        <w:t xml:space="preserve">Boston Scientific and Cook are strong in ERCP and stents. Chinese challengers (Micro-Tech) win on price under VBP. Olympus’s advantage is bundling consumables with scopes in the same suite.</w:t>
      </w:r>
    </w:p>
    <w:p>
      <w:pPr>
        <w:numPr>
          <w:ilvl w:val="0"/>
          <w:numId w:val="1015"/>
        </w:numPr>
        <w:pStyle w:val="Compact"/>
      </w:pPr>
      <w:r>
        <w:rPr>
          <w:bCs/>
          <w:b/>
        </w:rPr>
        <w:t xml:space="preserve">SIS is a collection of sub-scale niches.</w:t>
      </w:r>
      <w:r>
        <w:t xml:space="preserve"> </w:t>
      </w:r>
      <w:r>
        <w:t xml:space="preserve">Olympus is a respected #2–3 in ureteroscopes, EBUS and energy (THUNDERBEAT). In laparoscopic visualisation (VISERA ELITE III against Stryker 1788 and Karl Storz) and ENT it lacks scale. SIS margins (4.7% in FY3/25; -4.8% in FY3/26) are far below those of focused peers such as Teleflex, CONMED and Karl Storz [e].</w:t>
      </w:r>
    </w:p>
    <w:p>
      <w:pPr>
        <w:numPr>
          <w:ilvl w:val="0"/>
          <w:numId w:val="1015"/>
        </w:numPr>
        <w:pStyle w:val="Compact"/>
      </w:pPr>
      <w:r>
        <w:rPr>
          <w:bCs/>
          <w:b/>
        </w:rPr>
        <w:t xml:space="preserve">Quality is the weak point.</w:t>
      </w:r>
      <w:r>
        <w:t xml:space="preserve"> </w:t>
      </w:r>
      <w:r>
        <w:t xml:space="preserve">In late 2025 about 20 products were placed on ship-hold after eight FDA inspections. Recalls followed (ViziShot 2 FLEX with one reported death, PolyLoop, BiCOAG). Olympus’s product reputation with physicians is intact, but its reputation with regulators is not.</w:t>
      </w:r>
    </w:p>
    <w:bookmarkEnd w:id="39"/>
    <w:bookmarkStart w:id="40" w:name="moat-assessment"/>
    <w:p>
      <w:pPr>
        <w:pStyle w:val="Heading2"/>
      </w:pPr>
      <w:r>
        <w:t xml:space="preserve">Moat assessment</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612"/>
        <w:gridCol w:w="2252"/>
        <w:gridCol w:w="5113"/>
      </w:tblGrid>
      <w:tr>
        <w:trPr>
          <w:tblHeader w:val="true"/>
          <w:tblHeader w:val="true"/>
          <w:cantSplit/>
        </w:trPr>
        <w:tc>
          <w:tcPr>
            <w:tcW w:type="dxa" w:w="2612"/>
            <w:shd w:val="clear" w:color="auto" w:fill="13213F"/>
          </w:tcPr>
          <w:p>
            <w:pPr>
              <w:pStyle w:val="Compact"/>
              <w:spacing w:after="0" w:before="0" w:line="240" w:lineRule="auto"/>
              <w:jc w:val="left"/>
            </w:pPr>
            <w:r>
              <w:rPr>
                <w:rFonts w:ascii="Arial" w:hAnsi="Arial"/>
                <w:b/>
                <w:color w:val="FFFFFF"/>
                <w:sz w:val="15"/>
              </w:rPr>
              <w:t xml:space="preserve">Moat source</w:t>
            </w:r>
          </w:p>
        </w:tc>
        <w:tc>
          <w:tcPr>
            <w:tcW w:type="dxa" w:w="2253"/>
            <w:shd w:val="clear" w:color="auto" w:fill="13213F"/>
          </w:tcPr>
          <w:p>
            <w:pPr>
              <w:pStyle w:val="Compact"/>
              <w:spacing w:after="0" w:before="0" w:line="240" w:lineRule="auto"/>
              <w:jc w:val="center"/>
            </w:pPr>
            <w:r>
              <w:rPr>
                <w:rFonts w:ascii="Arial" w:hAnsi="Arial"/>
                <w:b/>
                <w:color w:val="FFFFFF"/>
                <w:sz w:val="15"/>
              </w:rPr>
              <w:t xml:space="preserve">Rating</w:t>
            </w:r>
          </w:p>
        </w:tc>
        <w:tc>
          <w:tcPr>
            <w:tcW w:type="dxa" w:w="5113"/>
            <w:shd w:val="clear" w:color="auto" w:fill="13213F"/>
          </w:tcPr>
          <w:p>
            <w:pPr>
              <w:pStyle w:val="Compact"/>
              <w:spacing w:after="0" w:before="0" w:line="240" w:lineRule="auto"/>
              <w:jc w:val="left"/>
            </w:pPr>
            <w:r>
              <w:rPr>
                <w:rFonts w:ascii="Arial" w:hAnsi="Arial"/>
                <w:b/>
                <w:color w:val="FFFFFF"/>
                <w:sz w:val="15"/>
              </w:rPr>
              <w:t xml:space="preserve">Evidence</w:t>
            </w:r>
          </w:p>
        </w:tc>
      </w:tr>
      <w:tr>
        <w:trPr>
          <w:cantSplit/>
        </w:trPr>
        <w:tc>
          <w:tcPr>
            <w:tcW w:type="dxa" w:w="2612"/>
          </w:tcPr>
          <w:p>
            <w:pPr>
              <w:pStyle w:val="Compact"/>
              <w:spacing w:after="0" w:before="0" w:line="240" w:lineRule="auto"/>
              <w:jc w:val="left"/>
            </w:pPr>
            <w:r>
              <w:rPr>
                <w:rFonts w:ascii="Arial" w:hAnsi="Arial"/>
                <w:sz w:val="15"/>
              </w:rPr>
              <w:t xml:space="preserve">Brand</w:t>
            </w:r>
          </w:p>
        </w:tc>
        <w:tc>
          <w:tcPr>
            <w:tcW w:type="dxa" w:w="2253"/>
          </w:tcPr>
          <w:p>
            <w:pPr>
              <w:pStyle w:val="Compact"/>
              <w:spacing w:after="0" w:before="0" w:line="240" w:lineRule="auto"/>
              <w:jc w:val="center"/>
            </w:pPr>
            <w:r>
              <w:rPr>
                <w:bCs/>
                <w:rFonts w:ascii="Arial" w:hAnsi="Arial"/>
                <w:b/>
                <w:sz w:val="15"/>
              </w:rPr>
              <w:t xml:space="preserve">Strong</w:t>
            </w:r>
          </w:p>
        </w:tc>
        <w:tc>
          <w:tcPr>
            <w:tcW w:type="dxa" w:w="5113"/>
          </w:tcPr>
          <w:p>
            <w:pPr>
              <w:pStyle w:val="Compact"/>
              <w:spacing w:after="0" w:before="0" w:line="240" w:lineRule="auto"/>
              <w:jc w:val="left"/>
            </w:pPr>
            <w:r>
              <w:rPr>
                <w:rFonts w:ascii="Arial" w:hAnsi="Arial"/>
                <w:sz w:val="15"/>
              </w:rPr>
              <w:t xml:space="preserve">Olympus is the default name in GI endoscopy. Physicians train on it, and medical societies and key opinion leaders use its imaging modes (NBI) in guidelines and the literature.</w:t>
            </w:r>
          </w:p>
        </w:tc>
      </w:tr>
      <w:tr>
        <w:trPr>
          <w:cantSplit/>
        </w:trPr>
        <w:tc>
          <w:tcPr>
            <w:tcW w:type="dxa" w:w="2612"/>
            <w:shd w:val="clear" w:color="auto" w:fill="F1F2F5"/>
          </w:tcPr>
          <w:p>
            <w:pPr>
              <w:pStyle w:val="Compact"/>
              <w:spacing w:after="0" w:before="0" w:line="240" w:lineRule="auto"/>
              <w:jc w:val="left"/>
            </w:pPr>
            <w:r>
              <w:rPr>
                <w:rFonts w:ascii="Arial" w:hAnsi="Arial"/>
                <w:sz w:val="15"/>
              </w:rPr>
              <w:t xml:space="preserve">Hard assets</w:t>
            </w:r>
          </w:p>
        </w:tc>
        <w:tc>
          <w:tcPr>
            <w:tcW w:type="dxa" w:w="2253"/>
            <w:shd w:val="clear" w:color="auto" w:fill="F1F2F5"/>
          </w:tcPr>
          <w:p>
            <w:pPr>
              <w:pStyle w:val="Compact"/>
              <w:spacing w:after="0" w:before="0" w:line="240" w:lineRule="auto"/>
              <w:jc w:val="center"/>
            </w:pPr>
            <w:r>
              <w:rPr>
                <w:bCs/>
                <w:rFonts w:ascii="Arial" w:hAnsi="Arial"/>
                <w:b/>
                <w:sz w:val="15"/>
              </w:rPr>
              <w:t xml:space="preserve">Moderate–strong</w:t>
            </w:r>
          </w:p>
        </w:tc>
        <w:tc>
          <w:tcPr>
            <w:tcW w:type="dxa" w:w="5113"/>
            <w:shd w:val="clear" w:color="auto" w:fill="F1F2F5"/>
          </w:tcPr>
          <w:p>
            <w:pPr>
              <w:pStyle w:val="Compact"/>
              <w:spacing w:after="0" w:before="0" w:line="240" w:lineRule="auto"/>
              <w:jc w:val="left"/>
            </w:pPr>
            <w:r>
              <w:rPr>
                <w:rFonts w:ascii="Arial" w:hAnsi="Arial"/>
                <w:sz w:val="15"/>
              </w:rPr>
              <w:t xml:space="preserve">A Japanese precision-optics manufacturing base (Aizu, Hachioji, Hinode, Aomori, Shirakawa), a global repair network, and an installed base worth multiples of annual capital sales [e]. These assets are also the source of the FDA problem.</w:t>
            </w:r>
          </w:p>
        </w:tc>
      </w:tr>
      <w:tr>
        <w:trPr>
          <w:cantSplit/>
        </w:trPr>
        <w:tc>
          <w:tcPr>
            <w:tcW w:type="dxa" w:w="2612"/>
          </w:tcPr>
          <w:p>
            <w:pPr>
              <w:pStyle w:val="Compact"/>
              <w:spacing w:after="0" w:before="0" w:line="240" w:lineRule="auto"/>
              <w:jc w:val="left"/>
            </w:pPr>
            <w:r>
              <w:rPr>
                <w:rFonts w:ascii="Arial" w:hAnsi="Arial"/>
                <w:sz w:val="15"/>
              </w:rPr>
              <w:t xml:space="preserve">Long-term contracts</w:t>
            </w:r>
          </w:p>
        </w:tc>
        <w:tc>
          <w:tcPr>
            <w:tcW w:type="dxa" w:w="2253"/>
          </w:tcPr>
          <w:p>
            <w:pPr>
              <w:pStyle w:val="Compact"/>
              <w:spacing w:after="0" w:before="0" w:line="240" w:lineRule="auto"/>
              <w:jc w:val="center"/>
            </w:pPr>
            <w:r>
              <w:rPr>
                <w:bCs/>
                <w:rFonts w:ascii="Arial" w:hAnsi="Arial"/>
                <w:b/>
                <w:sz w:val="15"/>
              </w:rPr>
              <w:t xml:space="preserve">Moderate</w:t>
            </w:r>
          </w:p>
        </w:tc>
        <w:tc>
          <w:tcPr>
            <w:tcW w:type="dxa" w:w="5113"/>
          </w:tcPr>
          <w:p>
            <w:pPr>
              <w:pStyle w:val="Compact"/>
              <w:spacing w:after="0" w:before="0" w:line="240" w:lineRule="auto"/>
              <w:jc w:val="left"/>
            </w:pPr>
            <w:r>
              <w:rPr>
                <w:rFonts w:ascii="Arial" w:hAnsi="Arial"/>
                <w:sz w:val="15"/>
              </w:rPr>
              <w:t xml:space="preserve">Multi-year service contracts, leases (JPY137bn of receivables) and GPO agreements. Capital sales are lumpy and tender-driven.</w:t>
            </w:r>
          </w:p>
        </w:tc>
      </w:tr>
      <w:tr>
        <w:trPr>
          <w:cantSplit/>
        </w:trPr>
        <w:tc>
          <w:tcPr>
            <w:tcW w:type="dxa" w:w="2612"/>
            <w:shd w:val="clear" w:color="auto" w:fill="F1F2F5"/>
          </w:tcPr>
          <w:p>
            <w:pPr>
              <w:pStyle w:val="Compact"/>
              <w:spacing w:after="0" w:before="0" w:line="240" w:lineRule="auto"/>
              <w:jc w:val="left"/>
            </w:pPr>
            <w:r>
              <w:rPr>
                <w:rFonts w:ascii="Arial" w:hAnsi="Arial"/>
                <w:sz w:val="15"/>
              </w:rPr>
              <w:t xml:space="preserve">Network effect</w:t>
            </w:r>
          </w:p>
        </w:tc>
        <w:tc>
          <w:tcPr>
            <w:tcW w:type="dxa" w:w="2253"/>
            <w:shd w:val="clear" w:color="auto" w:fill="F1F2F5"/>
          </w:tcPr>
          <w:p>
            <w:pPr>
              <w:pStyle w:val="Compact"/>
              <w:spacing w:after="0" w:before="0" w:line="240" w:lineRule="auto"/>
              <w:jc w:val="center"/>
            </w:pPr>
            <w:r>
              <w:rPr>
                <w:bCs/>
                <w:rFonts w:ascii="Arial" w:hAnsi="Arial"/>
                <w:b/>
                <w:sz w:val="15"/>
              </w:rPr>
              <w:t xml:space="preserve">Weak–moderate</w:t>
            </w:r>
          </w:p>
        </w:tc>
        <w:tc>
          <w:tcPr>
            <w:tcW w:type="dxa" w:w="5113"/>
            <w:shd w:val="clear" w:color="auto" w:fill="F1F2F5"/>
          </w:tcPr>
          <w:p>
            <w:pPr>
              <w:pStyle w:val="Compact"/>
              <w:spacing w:after="0" w:before="0" w:line="240" w:lineRule="auto"/>
              <w:jc w:val="left"/>
            </w:pPr>
            <w:r>
              <w:rPr>
                <w:rFonts w:ascii="Arial" w:hAnsi="Arial"/>
                <w:sz w:val="15"/>
              </w:rPr>
              <w:t xml:space="preserve">No classic network effect. There is a training ecosystem effect: fellows learn on Olympus, and AI models (CADDIE) improve with more image data.</w:t>
            </w:r>
          </w:p>
        </w:tc>
      </w:tr>
      <w:tr>
        <w:trPr>
          <w:cantSplit/>
        </w:trPr>
        <w:tc>
          <w:tcPr>
            <w:tcW w:type="dxa" w:w="2612"/>
          </w:tcPr>
          <w:p>
            <w:pPr>
              <w:pStyle w:val="Compact"/>
              <w:spacing w:after="0" w:before="0" w:line="240" w:lineRule="auto"/>
              <w:jc w:val="left"/>
            </w:pPr>
            <w:r>
              <w:rPr>
                <w:rFonts w:ascii="Arial" w:hAnsi="Arial"/>
                <w:sz w:val="15"/>
              </w:rPr>
              <w:t xml:space="preserve">Regulatory and switching costs</w:t>
            </w:r>
          </w:p>
        </w:tc>
        <w:tc>
          <w:tcPr>
            <w:tcW w:type="dxa" w:w="2253"/>
          </w:tcPr>
          <w:p>
            <w:pPr>
              <w:pStyle w:val="Compact"/>
              <w:spacing w:after="0" w:before="0" w:line="240" w:lineRule="auto"/>
              <w:jc w:val="center"/>
            </w:pPr>
            <w:r>
              <w:rPr>
                <w:bCs/>
                <w:rFonts w:ascii="Arial" w:hAnsi="Arial"/>
                <w:b/>
                <w:sz w:val="15"/>
              </w:rPr>
              <w:t xml:space="preserve">Strong</w:t>
            </w:r>
          </w:p>
        </w:tc>
        <w:tc>
          <w:tcPr>
            <w:tcW w:type="dxa" w:w="5113"/>
          </w:tcPr>
          <w:p>
            <w:pPr>
              <w:pStyle w:val="Compact"/>
              <w:spacing w:after="0" w:before="0" w:line="240" w:lineRule="auto"/>
              <w:jc w:val="left"/>
            </w:pPr>
            <w:r>
              <w:rPr>
                <w:rFonts w:ascii="Arial" w:hAnsi="Arial"/>
                <w:sz w:val="15"/>
              </w:rPr>
              <w:t xml:space="preserve">Switching vendors means retraining staff, re-validating reprocessing, buying new processors and changing service contracts. 510(k)/PMDA/NMPA clearances are a barrier to newcomers. But regulation cuts both ways: FDA actions are Olympus’s biggest risk.</w:t>
            </w:r>
          </w:p>
        </w:tc>
      </w:tr>
      <w:tr>
        <w:trPr>
          <w:cantSplit/>
        </w:trPr>
        <w:tc>
          <w:tcPr>
            <w:tcW w:type="dxa" w:w="2612"/>
            <w:shd w:val="clear" w:color="auto" w:fill="F1F2F5"/>
          </w:tcPr>
          <w:p>
            <w:pPr>
              <w:pStyle w:val="Compact"/>
              <w:spacing w:after="0" w:before="0" w:line="240" w:lineRule="auto"/>
              <w:jc w:val="left"/>
            </w:pPr>
            <w:r>
              <w:rPr>
                <w:rFonts w:ascii="Arial" w:hAnsi="Arial"/>
                <w:sz w:val="15"/>
              </w:rPr>
              <w:t xml:space="preserve">Oligopoly</w:t>
            </w:r>
          </w:p>
        </w:tc>
        <w:tc>
          <w:tcPr>
            <w:tcW w:type="dxa" w:w="2253"/>
            <w:shd w:val="clear" w:color="auto" w:fill="F1F2F5"/>
          </w:tcPr>
          <w:p>
            <w:pPr>
              <w:pStyle w:val="Compact"/>
              <w:spacing w:after="0" w:before="0" w:line="240" w:lineRule="auto"/>
              <w:jc w:val="center"/>
            </w:pPr>
            <w:r>
              <w:rPr>
                <w:bCs/>
                <w:rFonts w:ascii="Arial" w:hAnsi="Arial"/>
                <w:b/>
                <w:sz w:val="15"/>
              </w:rPr>
              <w:t xml:space="preserve">Strong (GI) / Weak (SIS)</w:t>
            </w:r>
          </w:p>
        </w:tc>
        <w:tc>
          <w:tcPr>
            <w:tcW w:type="dxa" w:w="5113"/>
            <w:shd w:val="clear" w:color="auto" w:fill="F1F2F5"/>
          </w:tcPr>
          <w:p>
            <w:pPr>
              <w:pStyle w:val="Compact"/>
              <w:spacing w:after="0" w:before="0" w:line="240" w:lineRule="auto"/>
              <w:jc w:val="left"/>
            </w:pPr>
            <w:r>
              <w:rPr>
                <w:rFonts w:ascii="Arial" w:hAnsi="Arial"/>
                <w:sz w:val="15"/>
              </w:rPr>
              <w:t xml:space="preserve">In flexible GI endoscopy, the top three (Olympus, Fujifilm, PENTAX) hold ~95% outside China [u]. Surgical is fragmented, with Karl Storz, Stryker, Medtronic, J&amp;J, BSX and others.</w:t>
            </w:r>
          </w:p>
        </w:tc>
      </w:tr>
      <w:tr>
        <w:trPr>
          <w:cantSplit/>
        </w:trPr>
        <w:tc>
          <w:tcPr>
            <w:tcW w:type="dxa" w:w="2612"/>
          </w:tcPr>
          <w:p>
            <w:pPr>
              <w:pStyle w:val="Compact"/>
              <w:spacing w:after="0" w:before="0" w:line="240" w:lineRule="auto"/>
              <w:jc w:val="left"/>
            </w:pPr>
            <w:r>
              <w:rPr>
                <w:rFonts w:ascii="Arial" w:hAnsi="Arial"/>
                <w:sz w:val="15"/>
              </w:rPr>
              <w:t xml:space="preserve">Cash-flow predictability</w:t>
            </w:r>
          </w:p>
        </w:tc>
        <w:tc>
          <w:tcPr>
            <w:tcW w:type="dxa" w:w="2253"/>
          </w:tcPr>
          <w:p>
            <w:pPr>
              <w:pStyle w:val="Compact"/>
              <w:spacing w:after="0" w:before="0" w:line="240" w:lineRule="auto"/>
              <w:jc w:val="center"/>
            </w:pPr>
            <w:r>
              <w:rPr>
                <w:bCs/>
                <w:rFonts w:ascii="Arial" w:hAnsi="Arial"/>
                <w:b/>
                <w:sz w:val="15"/>
              </w:rPr>
              <w:t xml:space="preserve">Moderate</w:t>
            </w:r>
          </w:p>
        </w:tc>
        <w:tc>
          <w:tcPr>
            <w:tcW w:type="dxa" w:w="5113"/>
          </w:tcPr>
          <w:p>
            <w:pPr>
              <w:pStyle w:val="Compact"/>
              <w:spacing w:after="0" w:before="0" w:line="240" w:lineRule="auto"/>
              <w:jc w:val="left"/>
            </w:pPr>
            <w:r>
              <w:rPr>
                <w:rFonts w:ascii="Arial" w:hAnsi="Arial"/>
                <w:sz w:val="15"/>
              </w:rPr>
              <w:t xml:space="preserve">Service and consumables (~40% of the group [e]) are predictable. Capital, tariffs, FDA actions and China make profits volatile: OP guidance was cut in each of FY3/24, FY3/25 and FY3/26.</w:t>
            </w:r>
          </w:p>
        </w:tc>
      </w:tr>
      <w:tr>
        <w:trPr>
          <w:cantSplit/>
        </w:trPr>
        <w:tc>
          <w:tcPr>
            <w:tcW w:type="dxa" w:w="2612"/>
            <w:shd w:val="clear" w:color="auto" w:fill="F1F2F5"/>
          </w:tcPr>
          <w:p>
            <w:pPr>
              <w:pStyle w:val="Compact"/>
              <w:spacing w:after="0" w:before="0" w:line="240" w:lineRule="auto"/>
              <w:jc w:val="left"/>
            </w:pPr>
            <w:r>
              <w:rPr>
                <w:rFonts w:ascii="Arial" w:hAnsi="Arial"/>
                <w:sz w:val="15"/>
              </w:rPr>
              <w:t xml:space="preserve">Scalability</w:t>
            </w:r>
          </w:p>
        </w:tc>
        <w:tc>
          <w:tcPr>
            <w:tcW w:type="dxa" w:w="2253"/>
            <w:shd w:val="clear" w:color="auto" w:fill="F1F2F5"/>
          </w:tcPr>
          <w:p>
            <w:pPr>
              <w:pStyle w:val="Compact"/>
              <w:spacing w:after="0" w:before="0" w:line="240" w:lineRule="auto"/>
              <w:jc w:val="center"/>
            </w:pPr>
            <w:r>
              <w:rPr>
                <w:bCs/>
                <w:rFonts w:ascii="Arial" w:hAnsi="Arial"/>
                <w:b/>
                <w:sz w:val="15"/>
              </w:rPr>
              <w:t xml:space="preserve">Moderate</w:t>
            </w:r>
          </w:p>
        </w:tc>
        <w:tc>
          <w:tcPr>
            <w:tcW w:type="dxa" w:w="5113"/>
            <w:shd w:val="clear" w:color="auto" w:fill="F1F2F5"/>
          </w:tcPr>
          <w:p>
            <w:pPr>
              <w:pStyle w:val="Compact"/>
              <w:spacing w:after="0" w:before="0" w:line="240" w:lineRule="auto"/>
              <w:jc w:val="left"/>
            </w:pPr>
            <w:r>
              <w:rPr>
                <w:rFonts w:ascii="Arial" w:hAnsi="Arial"/>
                <w:sz w:val="15"/>
              </w:rPr>
              <w:t xml:space="preserve">High gross margin (~65%) gives operating leverage: 1Q FY3/27 SG&amp;A fell to 52% of sales. But quality and regulatory overhead scales with sites and products.</w:t>
            </w:r>
          </w:p>
        </w:tc>
      </w:tr>
      <w:tr>
        <w:trPr>
          <w:cantSplit/>
        </w:trPr>
        <w:tc>
          <w:tcPr>
            <w:tcW w:type="dxa" w:w="2612"/>
          </w:tcPr>
          <w:p>
            <w:pPr>
              <w:pStyle w:val="Compact"/>
              <w:spacing w:after="0" w:before="0" w:line="240" w:lineRule="auto"/>
              <w:jc w:val="left"/>
            </w:pPr>
            <w:r>
              <w:rPr>
                <w:rFonts w:ascii="Arial" w:hAnsi="Arial"/>
                <w:sz w:val="15"/>
              </w:rPr>
              <w:t xml:space="preserve">Government-interference risk</w:t>
            </w:r>
          </w:p>
        </w:tc>
        <w:tc>
          <w:tcPr>
            <w:tcW w:type="dxa" w:w="2253"/>
          </w:tcPr>
          <w:p>
            <w:pPr>
              <w:pStyle w:val="Compact"/>
              <w:spacing w:after="0" w:before="0" w:line="240" w:lineRule="auto"/>
              <w:jc w:val="center"/>
            </w:pPr>
            <w:r>
              <w:rPr>
                <w:bCs/>
                <w:rFonts w:ascii="Arial" w:hAnsi="Arial"/>
                <w:b/>
                <w:sz w:val="15"/>
              </w:rPr>
              <w:t xml:space="preserve">Moderate–high</w:t>
            </w:r>
          </w:p>
        </w:tc>
        <w:tc>
          <w:tcPr>
            <w:tcW w:type="dxa" w:w="5113"/>
          </w:tcPr>
          <w:p>
            <w:pPr>
              <w:pStyle w:val="Compact"/>
              <w:spacing w:after="0" w:before="0" w:line="240" w:lineRule="auto"/>
              <w:jc w:val="left"/>
            </w:pPr>
            <w:r>
              <w:rPr>
                <w:rFonts w:ascii="Arial" w:hAnsi="Arial"/>
                <w:sz w:val="15"/>
              </w:rPr>
              <w:t xml:space="preserve">Risks come from US FDA enforcement and tariffs (Section 232), China VBP and Buy-China procurement, Japan reimbursement, and FEFTA screening of foreign owners.</w:t>
            </w:r>
          </w:p>
        </w:tc>
      </w:tr>
      <w:tr>
        <w:trPr>
          <w:cantSplit/>
        </w:trPr>
        <w:tc>
          <w:tcPr>
            <w:tcW w:type="dxa" w:w="2612"/>
            <w:shd w:val="clear" w:color="auto" w:fill="F1F2F5"/>
          </w:tcPr>
          <w:p>
            <w:pPr>
              <w:pStyle w:val="Compact"/>
              <w:spacing w:after="0" w:before="0" w:line="240" w:lineRule="auto"/>
              <w:jc w:val="left"/>
            </w:pPr>
            <w:r>
              <w:rPr>
                <w:rFonts w:ascii="Arial" w:hAnsi="Arial"/>
                <w:sz w:val="15"/>
              </w:rPr>
              <w:t xml:space="preserve">Bargaining power</w:t>
            </w:r>
          </w:p>
        </w:tc>
        <w:tc>
          <w:tcPr>
            <w:tcW w:type="dxa" w:w="2253"/>
            <w:shd w:val="clear" w:color="auto" w:fill="F1F2F5"/>
          </w:tcPr>
          <w:p>
            <w:pPr>
              <w:pStyle w:val="Compact"/>
              <w:spacing w:after="0" w:before="0" w:line="240" w:lineRule="auto"/>
              <w:jc w:val="center"/>
            </w:pPr>
            <w:r>
              <w:rPr>
                <w:bCs/>
                <w:rFonts w:ascii="Arial" w:hAnsi="Arial"/>
                <w:b/>
                <w:sz w:val="15"/>
              </w:rPr>
              <w:t xml:space="preserve">Strong vs customers in GI; weak in China and SIS</w:t>
            </w:r>
          </w:p>
        </w:tc>
        <w:tc>
          <w:tcPr>
            <w:tcW w:type="dxa" w:w="5113"/>
            <w:shd w:val="clear" w:color="auto" w:fill="F1F2F5"/>
          </w:tcPr>
          <w:p>
            <w:pPr>
              <w:pStyle w:val="Compact"/>
              <w:spacing w:after="0" w:before="0" w:line="240" w:lineRule="auto"/>
              <w:jc w:val="left"/>
            </w:pPr>
            <w:r>
              <w:rPr>
                <w:rFonts w:ascii="Arial" w:hAnsi="Arial"/>
                <w:sz w:val="15"/>
              </w:rPr>
              <w:t xml:space="preserve">GI pricing is sustained by differentiation (EDOF, AI). Chinese tenders and VBP compress prices. Supplier power is moderate: Sony imaging and sole-source components.</w:t>
            </w:r>
          </w:p>
        </w:tc>
      </w:tr>
    </w:tbl>
    <w:p>
      <w:pPr>
        <w:pStyle w:val="BodyText"/>
      </w:pPr>
      <w:r>
        <w:rPr>
          <w:bCs/>
          <w:b/>
        </w:rPr>
        <w:t xml:space="preserve">Overall:</w:t>
      </w:r>
      <w:r>
        <w:t xml:space="preserve"> </w:t>
      </w:r>
      <w:r>
        <w:t xml:space="preserve">a wide moat in GI (brand, switching costs, oligopoly, service network) and a narrow-to-no moat in most of SIS. The quality system is the moat’s weakest wall. The FDA cannot take away share directly, but it can stop products shipping.</w:t>
      </w:r>
    </w:p>
    <w:bookmarkEnd w:id="40"/>
    <w:bookmarkEnd w:id="41"/>
    <w:bookmarkStart w:id="57" w:name="X5c2400d6e8f64d6d1b2901327b64318ee9455ae"/>
    <w:p>
      <w:pPr>
        <w:pStyle w:val="Heading1"/>
      </w:pPr>
      <w:r>
        <w:t xml:space="preserve">Historical financial performance (FY3/22–FY3/26, 1Q FY3/27)</w:t>
      </w:r>
    </w:p>
    <w:bookmarkStart w:id="45" w:name="consolidated-income-statement-summary"/>
    <w:p>
      <w:pPr>
        <w:pStyle w:val="Heading2"/>
      </w:pPr>
      <w:r>
        <w:t xml:space="preserve">Consolidated income statement summary</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640"/>
        <w:gridCol w:w="1255"/>
        <w:gridCol w:w="1259"/>
        <w:gridCol w:w="1197"/>
        <w:gridCol w:w="1203"/>
        <w:gridCol w:w="1193"/>
        <w:gridCol w:w="1227"/>
      </w:tblGrid>
      <w:tr>
        <w:trPr>
          <w:tblHeader w:val="true"/>
          <w:tblHeader w:val="true"/>
          <w:cantSplit/>
        </w:trPr>
        <w:tc>
          <w:tcPr>
            <w:tcW w:type="dxa" w:w="2640"/>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255"/>
            <w:shd w:val="clear" w:color="auto" w:fill="13213F"/>
          </w:tcPr>
          <w:p>
            <w:pPr>
              <w:pStyle w:val="Compact"/>
              <w:spacing w:after="0" w:before="0" w:line="240" w:lineRule="auto"/>
              <w:jc w:val="right"/>
            </w:pPr>
            <w:r>
              <w:rPr>
                <w:rFonts w:ascii="Arial" w:hAnsi="Arial"/>
                <w:b/>
                <w:color w:val="FFFFFF"/>
                <w:sz w:val="15"/>
              </w:rPr>
              <w:t xml:space="preserve">FY3/22*</w:t>
            </w:r>
          </w:p>
        </w:tc>
        <w:tc>
          <w:tcPr>
            <w:tcW w:type="dxa" w:w="1259"/>
            <w:shd w:val="clear" w:color="auto" w:fill="13213F"/>
          </w:tcPr>
          <w:p>
            <w:pPr>
              <w:pStyle w:val="Compact"/>
              <w:spacing w:after="0" w:before="0" w:line="240" w:lineRule="auto"/>
              <w:jc w:val="right"/>
            </w:pPr>
            <w:r>
              <w:rPr>
                <w:rFonts w:ascii="Arial" w:hAnsi="Arial"/>
                <w:b/>
                <w:color w:val="FFFFFF"/>
                <w:sz w:val="15"/>
              </w:rPr>
              <w:t xml:space="preserve">FY3/23</w:t>
            </w:r>
          </w:p>
        </w:tc>
        <w:tc>
          <w:tcPr>
            <w:tcW w:type="dxa" w:w="1198"/>
            <w:shd w:val="clear" w:color="auto" w:fill="13213F"/>
          </w:tcPr>
          <w:p>
            <w:pPr>
              <w:pStyle w:val="Compact"/>
              <w:spacing w:after="0" w:before="0" w:line="240" w:lineRule="auto"/>
              <w:jc w:val="right"/>
            </w:pPr>
            <w:r>
              <w:rPr>
                <w:rFonts w:ascii="Arial" w:hAnsi="Arial"/>
                <w:b/>
                <w:color w:val="FFFFFF"/>
                <w:sz w:val="15"/>
              </w:rPr>
              <w:t xml:space="preserve">FY3/24*</w:t>
            </w:r>
          </w:p>
        </w:tc>
        <w:tc>
          <w:tcPr>
            <w:tcW w:type="dxa" w:w="1204"/>
            <w:shd w:val="clear" w:color="auto" w:fill="13213F"/>
          </w:tcPr>
          <w:p>
            <w:pPr>
              <w:pStyle w:val="Compact"/>
              <w:spacing w:after="0" w:before="0" w:line="240" w:lineRule="auto"/>
              <w:jc w:val="right"/>
            </w:pPr>
            <w:r>
              <w:rPr>
                <w:rFonts w:ascii="Arial" w:hAnsi="Arial"/>
                <w:b/>
                <w:color w:val="FFFFFF"/>
                <w:sz w:val="15"/>
              </w:rPr>
              <w:t xml:space="preserve">FY3/25</w:t>
            </w:r>
          </w:p>
        </w:tc>
        <w:tc>
          <w:tcPr>
            <w:tcW w:type="dxa" w:w="1194"/>
            <w:shd w:val="clear" w:color="auto" w:fill="13213F"/>
          </w:tcPr>
          <w:p>
            <w:pPr>
              <w:pStyle w:val="Compact"/>
              <w:spacing w:after="0" w:before="0" w:line="240" w:lineRule="auto"/>
              <w:jc w:val="right"/>
            </w:pPr>
            <w:r>
              <w:rPr>
                <w:rFonts w:ascii="Arial" w:hAnsi="Arial"/>
                <w:b/>
                <w:color w:val="FFFFFF"/>
                <w:sz w:val="15"/>
              </w:rPr>
              <w:t xml:space="preserve">FY3/26</w:t>
            </w:r>
          </w:p>
        </w:tc>
        <w:tc>
          <w:tcPr>
            <w:tcW w:type="dxa" w:w="1228"/>
            <w:shd w:val="clear" w:color="auto" w:fill="13213F"/>
          </w:tcPr>
          <w:p>
            <w:pPr>
              <w:pStyle w:val="Compact"/>
              <w:spacing w:after="0" w:before="0" w:line="240" w:lineRule="auto"/>
              <w:jc w:val="right"/>
            </w:pPr>
            <w:r>
              <w:rPr>
                <w:rFonts w:ascii="Arial" w:hAnsi="Arial"/>
                <w:b/>
                <w:color w:val="FFFFFF"/>
                <w:sz w:val="15"/>
              </w:rPr>
              <w:t xml:space="preserve">LTM Jun-26</w:t>
            </w:r>
          </w:p>
        </w:tc>
      </w:tr>
      <w:tr>
        <w:trPr>
          <w:cantSplit/>
        </w:trPr>
        <w:tc>
          <w:tcPr>
            <w:tcW w:type="dxa" w:w="2640"/>
          </w:tcPr>
          <w:p>
            <w:pPr>
              <w:pStyle w:val="Compact"/>
              <w:spacing w:after="0" w:before="0" w:line="240" w:lineRule="auto"/>
              <w:jc w:val="left"/>
            </w:pPr>
            <w:r>
              <w:rPr>
                <w:rFonts w:ascii="Arial" w:hAnsi="Arial"/>
                <w:sz w:val="15"/>
              </w:rPr>
              <w:t xml:space="preserve">Revenue</w:t>
            </w:r>
          </w:p>
        </w:tc>
        <w:tc>
          <w:tcPr>
            <w:tcW w:type="dxa" w:w="1255"/>
          </w:tcPr>
          <w:p>
            <w:pPr>
              <w:pStyle w:val="Compact"/>
              <w:spacing w:after="0" w:before="0" w:line="240" w:lineRule="auto"/>
              <w:jc w:val="right"/>
            </w:pPr>
            <w:r>
              <w:rPr>
                <w:rFonts w:ascii="Arial" w:hAnsi="Arial"/>
                <w:sz w:val="15"/>
              </w:rPr>
              <w:t xml:space="preserve">750.1</w:t>
            </w:r>
          </w:p>
        </w:tc>
        <w:tc>
          <w:tcPr>
            <w:tcW w:type="dxa" w:w="1259"/>
          </w:tcPr>
          <w:p>
            <w:pPr>
              <w:pStyle w:val="Compact"/>
              <w:spacing w:after="0" w:before="0" w:line="240" w:lineRule="auto"/>
              <w:jc w:val="right"/>
            </w:pPr>
            <w:r>
              <w:rPr>
                <w:rFonts w:ascii="Arial" w:hAnsi="Arial"/>
                <w:sz w:val="15"/>
              </w:rPr>
              <w:t xml:space="preserve">881.9</w:t>
            </w:r>
          </w:p>
        </w:tc>
        <w:tc>
          <w:tcPr>
            <w:tcW w:type="dxa" w:w="1198"/>
          </w:tcPr>
          <w:p>
            <w:pPr>
              <w:pStyle w:val="Compact"/>
              <w:spacing w:after="0" w:before="0" w:line="240" w:lineRule="auto"/>
              <w:jc w:val="right"/>
            </w:pPr>
            <w:r>
              <w:rPr>
                <w:rFonts w:ascii="Arial" w:hAnsi="Arial"/>
                <w:sz w:val="15"/>
              </w:rPr>
              <w:t xml:space="preserve">925.8</w:t>
            </w:r>
          </w:p>
        </w:tc>
        <w:tc>
          <w:tcPr>
            <w:tcW w:type="dxa" w:w="1204"/>
          </w:tcPr>
          <w:p>
            <w:pPr>
              <w:pStyle w:val="Compact"/>
              <w:spacing w:after="0" w:before="0" w:line="240" w:lineRule="auto"/>
              <w:jc w:val="right"/>
            </w:pPr>
            <w:r>
              <w:rPr>
                <w:rFonts w:ascii="Arial" w:hAnsi="Arial"/>
                <w:sz w:val="15"/>
              </w:rPr>
              <w:t xml:space="preserve">997.3</w:t>
            </w:r>
          </w:p>
        </w:tc>
        <w:tc>
          <w:tcPr>
            <w:tcW w:type="dxa" w:w="1194"/>
          </w:tcPr>
          <w:p>
            <w:pPr>
              <w:pStyle w:val="Compact"/>
              <w:spacing w:after="0" w:before="0" w:line="240" w:lineRule="auto"/>
              <w:jc w:val="right"/>
            </w:pPr>
            <w:r>
              <w:rPr>
                <w:rFonts w:ascii="Arial" w:hAnsi="Arial"/>
                <w:sz w:val="15"/>
              </w:rPr>
              <w:t xml:space="preserve">1,010.7</w:t>
            </w:r>
          </w:p>
        </w:tc>
        <w:tc>
          <w:tcPr>
            <w:tcW w:type="dxa" w:w="1228"/>
          </w:tcPr>
          <w:p>
            <w:pPr>
              <w:pStyle w:val="Compact"/>
              <w:spacing w:after="0" w:before="0" w:line="240" w:lineRule="auto"/>
              <w:jc w:val="right"/>
            </w:pPr>
            <w:r>
              <w:rPr>
                <w:rFonts w:ascii="Arial" w:hAnsi="Arial"/>
                <w:sz w:val="15"/>
              </w:rPr>
              <w:t xml:space="preserve">1,044.6</w:t>
            </w:r>
          </w:p>
        </w:tc>
      </w:tr>
      <w:tr>
        <w:trPr>
          <w:cantSplit/>
        </w:trPr>
        <w:tc>
          <w:tcPr>
            <w:tcW w:type="dxa" w:w="2640"/>
            <w:shd w:val="clear" w:color="auto" w:fill="F1F2F5"/>
          </w:tcPr>
          <w:p>
            <w:pPr>
              <w:pStyle w:val="Compact"/>
              <w:spacing w:after="0" w:before="0" w:line="240" w:lineRule="auto"/>
              <w:jc w:val="left"/>
            </w:pPr>
            <w:r>
              <w:rPr>
                <w:rFonts w:ascii="Arial" w:hAnsi="Arial"/>
                <w:sz w:val="15"/>
              </w:rPr>
              <w:t xml:space="preserve">Growth, constant currency</w:t>
            </w:r>
          </w:p>
        </w:tc>
        <w:tc>
          <w:tcPr>
            <w:tcW w:type="dxa" w:w="1255"/>
            <w:shd w:val="clear" w:color="auto" w:fill="F1F2F5"/>
          </w:tcPr>
          <w:p>
            <w:pPr>
              <w:pStyle w:val="Compact"/>
              <w:spacing w:after="0" w:before="0" w:line="240" w:lineRule="auto"/>
              <w:jc w:val="right"/>
            </w:pPr>
            <w:r>
              <w:rPr>
                <w:rFonts w:ascii="Arial" w:hAnsi="Arial"/>
                <w:sz w:val="15"/>
              </w:rPr>
              <w:t xml:space="preserve">n/d</w:t>
            </w:r>
          </w:p>
        </w:tc>
        <w:tc>
          <w:tcPr>
            <w:tcW w:type="dxa" w:w="1259"/>
            <w:shd w:val="clear" w:color="auto" w:fill="F1F2F5"/>
          </w:tcPr>
          <w:p>
            <w:pPr>
              <w:pStyle w:val="Compact"/>
              <w:spacing w:after="0" w:before="0" w:line="240" w:lineRule="auto"/>
              <w:jc w:val="right"/>
            </w:pPr>
            <w:r>
              <w:rPr>
                <w:rFonts w:ascii="Arial" w:hAnsi="Arial"/>
                <w:sz w:val="15"/>
              </w:rPr>
              <w:t xml:space="preserve">+4.5%</w:t>
            </w:r>
          </w:p>
        </w:tc>
        <w:tc>
          <w:tcPr>
            <w:tcW w:type="dxa" w:w="1198"/>
            <w:shd w:val="clear" w:color="auto" w:fill="F1F2F5"/>
          </w:tcPr>
          <w:p>
            <w:pPr>
              <w:pStyle w:val="Compact"/>
              <w:spacing w:after="0" w:before="0" w:line="240" w:lineRule="auto"/>
              <w:jc w:val="right"/>
            </w:pPr>
            <w:r>
              <w:rPr>
                <w:rFonts w:ascii="Arial" w:hAnsi="Arial"/>
                <w:sz w:val="15"/>
              </w:rPr>
              <w:t xml:space="preserve">+0.3%</w:t>
            </w:r>
          </w:p>
        </w:tc>
        <w:tc>
          <w:tcPr>
            <w:tcW w:type="dxa" w:w="1204"/>
            <w:shd w:val="clear" w:color="auto" w:fill="F1F2F5"/>
          </w:tcPr>
          <w:p>
            <w:pPr>
              <w:pStyle w:val="Compact"/>
              <w:spacing w:after="0" w:before="0" w:line="240" w:lineRule="auto"/>
              <w:jc w:val="right"/>
            </w:pPr>
            <w:r>
              <w:rPr>
                <w:rFonts w:ascii="Arial" w:hAnsi="Arial"/>
                <w:sz w:val="15"/>
              </w:rPr>
              <w:t xml:space="preserve">+3.4%</w:t>
            </w:r>
          </w:p>
        </w:tc>
        <w:tc>
          <w:tcPr>
            <w:tcW w:type="dxa" w:w="1194"/>
            <w:shd w:val="clear" w:color="auto" w:fill="F1F2F5"/>
          </w:tcPr>
          <w:p>
            <w:pPr>
              <w:pStyle w:val="Compact"/>
              <w:spacing w:after="0" w:before="0" w:line="240" w:lineRule="auto"/>
              <w:jc w:val="right"/>
            </w:pPr>
            <w:r>
              <w:rPr>
                <w:rFonts w:ascii="Arial" w:hAnsi="Arial"/>
                <w:sz w:val="15"/>
              </w:rPr>
              <w:t xml:space="preserve">~0%</w:t>
            </w:r>
          </w:p>
        </w:tc>
        <w:tc>
          <w:tcPr>
            <w:tcW w:type="dxa" w:w="1228"/>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640"/>
          </w:tcPr>
          <w:p>
            <w:pPr>
              <w:pStyle w:val="Compact"/>
              <w:spacing w:after="0" w:before="0" w:line="240" w:lineRule="auto"/>
              <w:jc w:val="left"/>
            </w:pPr>
            <w:r>
              <w:rPr>
                <w:rFonts w:ascii="Arial" w:hAnsi="Arial"/>
                <w:sz w:val="15"/>
              </w:rPr>
              <w:t xml:space="preserve">Gross profit</w:t>
            </w:r>
          </w:p>
        </w:tc>
        <w:tc>
          <w:tcPr>
            <w:tcW w:type="dxa" w:w="1255"/>
          </w:tcPr>
          <w:p>
            <w:pPr>
              <w:pStyle w:val="Compact"/>
              <w:spacing w:after="0" w:before="0" w:line="240" w:lineRule="auto"/>
              <w:jc w:val="right"/>
            </w:pPr>
            <w:r>
              <w:rPr>
                <w:rFonts w:ascii="Arial" w:hAnsi="Arial"/>
                <w:sz w:val="15"/>
              </w:rPr>
              <w:t xml:space="preserve">506.7</w:t>
            </w:r>
          </w:p>
        </w:tc>
        <w:tc>
          <w:tcPr>
            <w:tcW w:type="dxa" w:w="1259"/>
          </w:tcPr>
          <w:p>
            <w:pPr>
              <w:pStyle w:val="Compact"/>
              <w:spacing w:after="0" w:before="0" w:line="240" w:lineRule="auto"/>
              <w:jc w:val="right"/>
            </w:pPr>
            <w:r>
              <w:rPr>
                <w:rFonts w:ascii="Arial" w:hAnsi="Arial"/>
                <w:sz w:val="15"/>
              </w:rPr>
              <w:t xml:space="preserve">596.8</w:t>
            </w:r>
          </w:p>
        </w:tc>
        <w:tc>
          <w:tcPr>
            <w:tcW w:type="dxa" w:w="1198"/>
          </w:tcPr>
          <w:p>
            <w:pPr>
              <w:pStyle w:val="Compact"/>
              <w:spacing w:after="0" w:before="0" w:line="240" w:lineRule="auto"/>
              <w:jc w:val="right"/>
            </w:pPr>
            <w:r>
              <w:rPr>
                <w:rFonts w:ascii="Arial" w:hAnsi="Arial"/>
                <w:sz w:val="15"/>
              </w:rPr>
              <w:t xml:space="preserve">618.4</w:t>
            </w:r>
          </w:p>
        </w:tc>
        <w:tc>
          <w:tcPr>
            <w:tcW w:type="dxa" w:w="1204"/>
          </w:tcPr>
          <w:p>
            <w:pPr>
              <w:pStyle w:val="Compact"/>
              <w:spacing w:after="0" w:before="0" w:line="240" w:lineRule="auto"/>
              <w:jc w:val="right"/>
            </w:pPr>
            <w:r>
              <w:rPr>
                <w:rFonts w:ascii="Arial" w:hAnsi="Arial"/>
                <w:sz w:val="15"/>
              </w:rPr>
              <w:t xml:space="preserve">683.7</w:t>
            </w:r>
          </w:p>
        </w:tc>
        <w:tc>
          <w:tcPr>
            <w:tcW w:type="dxa" w:w="1194"/>
          </w:tcPr>
          <w:p>
            <w:pPr>
              <w:pStyle w:val="Compact"/>
              <w:spacing w:after="0" w:before="0" w:line="240" w:lineRule="auto"/>
              <w:jc w:val="right"/>
            </w:pPr>
            <w:r>
              <w:rPr>
                <w:rFonts w:ascii="Arial" w:hAnsi="Arial"/>
                <w:sz w:val="15"/>
              </w:rPr>
              <w:t xml:space="preserve">654.1</w:t>
            </w:r>
          </w:p>
        </w:tc>
        <w:tc>
          <w:tcPr>
            <w:tcW w:type="dxa" w:w="1228"/>
          </w:tcPr>
          <w:p>
            <w:pPr>
              <w:pStyle w:val="Compact"/>
              <w:spacing w:after="0" w:before="0" w:line="240" w:lineRule="auto"/>
              <w:jc w:val="right"/>
            </w:pPr>
            <w:r>
              <w:rPr>
                <w:rFonts w:ascii="Arial" w:hAnsi="Arial"/>
                <w:sz w:val="15"/>
              </w:rPr>
              <w:t xml:space="preserve">–</w:t>
            </w:r>
          </w:p>
        </w:tc>
      </w:tr>
      <w:tr>
        <w:trPr>
          <w:cantSplit/>
        </w:trPr>
        <w:tc>
          <w:tcPr>
            <w:tcW w:type="dxa" w:w="2640"/>
            <w:shd w:val="clear" w:color="auto" w:fill="F1F2F5"/>
          </w:tcPr>
          <w:p>
            <w:pPr>
              <w:pStyle w:val="Compact"/>
              <w:spacing w:after="0" w:before="0" w:line="240" w:lineRule="auto"/>
              <w:jc w:val="left"/>
            </w:pPr>
            <w:r>
              <w:rPr>
                <w:rFonts w:ascii="Arial" w:hAnsi="Arial"/>
                <w:sz w:val="15"/>
              </w:rPr>
              <w:t xml:space="preserve">Gross margin</w:t>
            </w:r>
          </w:p>
        </w:tc>
        <w:tc>
          <w:tcPr>
            <w:tcW w:type="dxa" w:w="1255"/>
            <w:shd w:val="clear" w:color="auto" w:fill="F1F2F5"/>
          </w:tcPr>
          <w:p>
            <w:pPr>
              <w:pStyle w:val="Compact"/>
              <w:spacing w:after="0" w:before="0" w:line="240" w:lineRule="auto"/>
              <w:jc w:val="right"/>
            </w:pPr>
            <w:r>
              <w:rPr>
                <w:rFonts w:ascii="Arial" w:hAnsi="Arial"/>
                <w:sz w:val="15"/>
              </w:rPr>
              <w:t xml:space="preserve">67.5%</w:t>
            </w:r>
          </w:p>
        </w:tc>
        <w:tc>
          <w:tcPr>
            <w:tcW w:type="dxa" w:w="1259"/>
            <w:shd w:val="clear" w:color="auto" w:fill="F1F2F5"/>
          </w:tcPr>
          <w:p>
            <w:pPr>
              <w:pStyle w:val="Compact"/>
              <w:spacing w:after="0" w:before="0" w:line="240" w:lineRule="auto"/>
              <w:jc w:val="right"/>
            </w:pPr>
            <w:r>
              <w:rPr>
                <w:rFonts w:ascii="Arial" w:hAnsi="Arial"/>
                <w:sz w:val="15"/>
              </w:rPr>
              <w:t xml:space="preserve">67.7%</w:t>
            </w:r>
          </w:p>
        </w:tc>
        <w:tc>
          <w:tcPr>
            <w:tcW w:type="dxa" w:w="1198"/>
            <w:shd w:val="clear" w:color="auto" w:fill="F1F2F5"/>
          </w:tcPr>
          <w:p>
            <w:pPr>
              <w:pStyle w:val="Compact"/>
              <w:spacing w:after="0" w:before="0" w:line="240" w:lineRule="auto"/>
              <w:jc w:val="right"/>
            </w:pPr>
            <w:r>
              <w:rPr>
                <w:rFonts w:ascii="Arial" w:hAnsi="Arial"/>
                <w:sz w:val="15"/>
              </w:rPr>
              <w:t xml:space="preserve">66.8%</w:t>
            </w:r>
          </w:p>
        </w:tc>
        <w:tc>
          <w:tcPr>
            <w:tcW w:type="dxa" w:w="1204"/>
            <w:shd w:val="clear" w:color="auto" w:fill="F1F2F5"/>
          </w:tcPr>
          <w:p>
            <w:pPr>
              <w:pStyle w:val="Compact"/>
              <w:spacing w:after="0" w:before="0" w:line="240" w:lineRule="auto"/>
              <w:jc w:val="right"/>
            </w:pPr>
            <w:r>
              <w:rPr>
                <w:rFonts w:ascii="Arial" w:hAnsi="Arial"/>
                <w:sz w:val="15"/>
              </w:rPr>
              <w:t xml:space="preserve">68.6%</w:t>
            </w:r>
          </w:p>
        </w:tc>
        <w:tc>
          <w:tcPr>
            <w:tcW w:type="dxa" w:w="1194"/>
            <w:shd w:val="clear" w:color="auto" w:fill="F1F2F5"/>
          </w:tcPr>
          <w:p>
            <w:pPr>
              <w:pStyle w:val="Compact"/>
              <w:spacing w:after="0" w:before="0" w:line="240" w:lineRule="auto"/>
              <w:jc w:val="right"/>
            </w:pPr>
            <w:r>
              <w:rPr>
                <w:rFonts w:ascii="Arial" w:hAnsi="Arial"/>
                <w:sz w:val="15"/>
              </w:rPr>
              <w:t xml:space="preserve">64.7%</w:t>
            </w:r>
          </w:p>
        </w:tc>
        <w:tc>
          <w:tcPr>
            <w:tcW w:type="dxa" w:w="1228"/>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640"/>
          </w:tcPr>
          <w:p>
            <w:pPr>
              <w:pStyle w:val="Compact"/>
              <w:spacing w:after="0" w:before="0" w:line="240" w:lineRule="auto"/>
              <w:jc w:val="left"/>
            </w:pPr>
            <w:r>
              <w:rPr>
                <w:rFonts w:ascii="Arial" w:hAnsi="Arial"/>
                <w:sz w:val="15"/>
              </w:rPr>
              <w:t xml:space="preserve">SG&amp;A incl. R&amp;D</w:t>
            </w:r>
          </w:p>
        </w:tc>
        <w:tc>
          <w:tcPr>
            <w:tcW w:type="dxa" w:w="1255"/>
          </w:tcPr>
          <w:p>
            <w:pPr>
              <w:pStyle w:val="Compact"/>
              <w:spacing w:after="0" w:before="0" w:line="240" w:lineRule="auto"/>
              <w:jc w:val="right"/>
            </w:pPr>
            <w:r>
              <w:rPr>
                <w:rFonts w:ascii="Arial" w:hAnsi="Arial"/>
                <w:sz w:val="15"/>
              </w:rPr>
              <w:t xml:space="preserve">357.5</w:t>
            </w:r>
          </w:p>
        </w:tc>
        <w:tc>
          <w:tcPr>
            <w:tcW w:type="dxa" w:w="1259"/>
          </w:tcPr>
          <w:p>
            <w:pPr>
              <w:pStyle w:val="Compact"/>
              <w:spacing w:after="0" w:before="0" w:line="240" w:lineRule="auto"/>
              <w:jc w:val="right"/>
            </w:pPr>
            <w:r>
              <w:rPr>
                <w:rFonts w:ascii="Arial" w:hAnsi="Arial"/>
                <w:sz w:val="15"/>
              </w:rPr>
              <w:t xml:space="preserve">420.5</w:t>
            </w:r>
          </w:p>
        </w:tc>
        <w:tc>
          <w:tcPr>
            <w:tcW w:type="dxa" w:w="1198"/>
          </w:tcPr>
          <w:p>
            <w:pPr>
              <w:pStyle w:val="Compact"/>
              <w:spacing w:after="0" w:before="0" w:line="240" w:lineRule="auto"/>
              <w:jc w:val="right"/>
            </w:pPr>
            <w:r>
              <w:rPr>
                <w:rFonts w:ascii="Arial" w:hAnsi="Arial"/>
                <w:sz w:val="15"/>
              </w:rPr>
              <w:t xml:space="preserve">466.8</w:t>
            </w:r>
          </w:p>
        </w:tc>
        <w:tc>
          <w:tcPr>
            <w:tcW w:type="dxa" w:w="1204"/>
          </w:tcPr>
          <w:p>
            <w:pPr>
              <w:pStyle w:val="Compact"/>
              <w:spacing w:after="0" w:before="0" w:line="240" w:lineRule="auto"/>
              <w:jc w:val="right"/>
            </w:pPr>
            <w:r>
              <w:rPr>
                <w:rFonts w:ascii="Arial" w:hAnsi="Arial"/>
                <w:sz w:val="15"/>
              </w:rPr>
              <w:t xml:space="preserve">495.7</w:t>
            </w:r>
          </w:p>
        </w:tc>
        <w:tc>
          <w:tcPr>
            <w:tcW w:type="dxa" w:w="1194"/>
          </w:tcPr>
          <w:p>
            <w:pPr>
              <w:pStyle w:val="Compact"/>
              <w:spacing w:after="0" w:before="0" w:line="240" w:lineRule="auto"/>
              <w:jc w:val="right"/>
            </w:pPr>
            <w:r>
              <w:rPr>
                <w:rFonts w:ascii="Arial" w:hAnsi="Arial"/>
                <w:sz w:val="15"/>
              </w:rPr>
              <w:t xml:space="preserve">507.1</w:t>
            </w:r>
          </w:p>
        </w:tc>
        <w:tc>
          <w:tcPr>
            <w:tcW w:type="dxa" w:w="1228"/>
          </w:tcPr>
          <w:p>
            <w:pPr>
              <w:pStyle w:val="Compact"/>
              <w:spacing w:after="0" w:before="0" w:line="240" w:lineRule="auto"/>
              <w:jc w:val="right"/>
            </w:pPr>
            <w:r>
              <w:rPr>
                <w:rFonts w:ascii="Arial" w:hAnsi="Arial"/>
                <w:sz w:val="15"/>
              </w:rPr>
              <w:t xml:space="preserve">–</w:t>
            </w:r>
          </w:p>
        </w:tc>
      </w:tr>
      <w:tr>
        <w:trPr>
          <w:cantSplit/>
        </w:trPr>
        <w:tc>
          <w:tcPr>
            <w:tcW w:type="dxa" w:w="2640"/>
            <w:shd w:val="clear" w:color="auto" w:fill="F1F2F5"/>
          </w:tcPr>
          <w:p>
            <w:pPr>
              <w:pStyle w:val="Compact"/>
              <w:spacing w:after="0" w:before="0" w:line="240" w:lineRule="auto"/>
              <w:jc w:val="left"/>
            </w:pPr>
            <w:r>
              <w:rPr>
                <w:rFonts w:ascii="Arial" w:hAnsi="Arial"/>
                <w:sz w:val="15"/>
              </w:rPr>
              <w:t xml:space="preserve">of which R&amp;D</w:t>
            </w:r>
          </w:p>
        </w:tc>
        <w:tc>
          <w:tcPr>
            <w:tcW w:type="dxa" w:w="1255"/>
            <w:shd w:val="clear" w:color="auto" w:fill="F1F2F5"/>
          </w:tcPr>
          <w:p>
            <w:pPr>
              <w:pStyle w:val="Compact"/>
              <w:spacing w:after="0" w:before="0" w:line="240" w:lineRule="auto"/>
              <w:jc w:val="right"/>
            </w:pPr>
            <w:r>
              <w:rPr>
                <w:rFonts w:ascii="Arial" w:hAnsi="Arial"/>
                <w:sz w:val="15"/>
              </w:rPr>
              <w:t xml:space="preserve">n/d</w:t>
            </w:r>
          </w:p>
        </w:tc>
        <w:tc>
          <w:tcPr>
            <w:tcW w:type="dxa" w:w="1259"/>
            <w:shd w:val="clear" w:color="auto" w:fill="F1F2F5"/>
          </w:tcPr>
          <w:p>
            <w:pPr>
              <w:pStyle w:val="Compact"/>
              <w:spacing w:after="0" w:before="0" w:line="240" w:lineRule="auto"/>
              <w:jc w:val="right"/>
            </w:pPr>
            <w:r>
              <w:rPr>
                <w:rFonts w:ascii="Arial" w:hAnsi="Arial"/>
                <w:sz w:val="15"/>
              </w:rPr>
              <w:t xml:space="preserve">76.9</w:t>
            </w:r>
          </w:p>
        </w:tc>
        <w:tc>
          <w:tcPr>
            <w:tcW w:type="dxa" w:w="1198"/>
            <w:shd w:val="clear" w:color="auto" w:fill="F1F2F5"/>
          </w:tcPr>
          <w:p>
            <w:pPr>
              <w:pStyle w:val="Compact"/>
              <w:spacing w:after="0" w:before="0" w:line="240" w:lineRule="auto"/>
              <w:jc w:val="right"/>
            </w:pPr>
            <w:r>
              <w:rPr>
                <w:rFonts w:ascii="Arial" w:hAnsi="Arial"/>
                <w:sz w:val="15"/>
              </w:rPr>
              <w:t xml:space="preserve">86.4</w:t>
            </w:r>
          </w:p>
        </w:tc>
        <w:tc>
          <w:tcPr>
            <w:tcW w:type="dxa" w:w="1204"/>
            <w:shd w:val="clear" w:color="auto" w:fill="F1F2F5"/>
          </w:tcPr>
          <w:p>
            <w:pPr>
              <w:pStyle w:val="Compact"/>
              <w:spacing w:after="0" w:before="0" w:line="240" w:lineRule="auto"/>
              <w:jc w:val="right"/>
            </w:pPr>
            <w:r>
              <w:rPr>
                <w:rFonts w:ascii="Arial" w:hAnsi="Arial"/>
                <w:sz w:val="15"/>
              </w:rPr>
              <w:t xml:space="preserve">103.9</w:t>
            </w:r>
          </w:p>
        </w:tc>
        <w:tc>
          <w:tcPr>
            <w:tcW w:type="dxa" w:w="1194"/>
            <w:shd w:val="clear" w:color="auto" w:fill="F1F2F5"/>
          </w:tcPr>
          <w:p>
            <w:pPr>
              <w:pStyle w:val="Compact"/>
              <w:spacing w:after="0" w:before="0" w:line="240" w:lineRule="auto"/>
              <w:jc w:val="right"/>
            </w:pPr>
            <w:r>
              <w:rPr>
                <w:rFonts w:ascii="Arial" w:hAnsi="Arial"/>
                <w:sz w:val="15"/>
              </w:rPr>
              <w:t xml:space="preserve">109.9</w:t>
            </w:r>
          </w:p>
        </w:tc>
        <w:tc>
          <w:tcPr>
            <w:tcW w:type="dxa" w:w="1228"/>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640"/>
          </w:tcPr>
          <w:p>
            <w:pPr>
              <w:pStyle w:val="Compact"/>
              <w:spacing w:after="0" w:before="0" w:line="240" w:lineRule="auto"/>
              <w:jc w:val="left"/>
            </w:pPr>
            <w:r>
              <w:rPr>
                <w:bCs/>
                <w:rFonts w:ascii="Arial" w:hAnsi="Arial"/>
                <w:b/>
                <w:sz w:val="15"/>
              </w:rPr>
              <w:t xml:space="preserve">Adjusted OP</w:t>
            </w:r>
            <w:r>
              <w:rPr>
                <w:rFonts w:ascii="Arial" w:hAnsi="Arial"/>
                <w:sz w:val="15"/>
              </w:rPr>
              <w:t xml:space="preserve"> </w:t>
            </w:r>
            <w:r>
              <w:rPr>
                <w:rFonts w:ascii="Arial" w:hAnsi="Arial"/>
                <w:sz w:val="15"/>
              </w:rPr>
              <w:t xml:space="preserve">(before other inc/exp)</w:t>
            </w:r>
          </w:p>
        </w:tc>
        <w:tc>
          <w:tcPr>
            <w:tcW w:type="dxa" w:w="1255"/>
          </w:tcPr>
          <w:p>
            <w:pPr>
              <w:pStyle w:val="Compact"/>
              <w:spacing w:after="0" w:before="0" w:line="240" w:lineRule="auto"/>
              <w:jc w:val="right"/>
            </w:pPr>
            <w:r>
              <w:rPr>
                <w:rFonts w:ascii="Arial" w:hAnsi="Arial"/>
                <w:sz w:val="15"/>
              </w:rPr>
              <w:t xml:space="preserve">150.7 [e]</w:t>
            </w:r>
          </w:p>
        </w:tc>
        <w:tc>
          <w:tcPr>
            <w:tcW w:type="dxa" w:w="1259"/>
          </w:tcPr>
          <w:p>
            <w:pPr>
              <w:pStyle w:val="Compact"/>
              <w:spacing w:after="0" w:before="0" w:line="240" w:lineRule="auto"/>
              <w:jc w:val="right"/>
            </w:pPr>
            <w:r>
              <w:rPr>
                <w:rFonts w:ascii="Arial" w:hAnsi="Arial"/>
                <w:sz w:val="15"/>
              </w:rPr>
              <w:t xml:space="preserve">176.8 [e]</w:t>
            </w:r>
          </w:p>
        </w:tc>
        <w:tc>
          <w:tcPr>
            <w:tcW w:type="dxa" w:w="1198"/>
          </w:tcPr>
          <w:p>
            <w:pPr>
              <w:pStyle w:val="Compact"/>
              <w:spacing w:after="0" w:before="0" w:line="240" w:lineRule="auto"/>
              <w:jc w:val="right"/>
            </w:pPr>
            <w:r>
              <w:rPr>
                <w:rFonts w:ascii="Arial" w:hAnsi="Arial"/>
                <w:sz w:val="15"/>
              </w:rPr>
              <w:t xml:space="preserve">151.3</w:t>
            </w:r>
          </w:p>
        </w:tc>
        <w:tc>
          <w:tcPr>
            <w:tcW w:type="dxa" w:w="1204"/>
          </w:tcPr>
          <w:p>
            <w:pPr>
              <w:pStyle w:val="Compact"/>
              <w:spacing w:after="0" w:before="0" w:line="240" w:lineRule="auto"/>
              <w:jc w:val="right"/>
            </w:pPr>
            <w:r>
              <w:rPr>
                <w:rFonts w:ascii="Arial" w:hAnsi="Arial"/>
                <w:sz w:val="15"/>
              </w:rPr>
              <w:t xml:space="preserve">188.5</w:t>
            </w:r>
          </w:p>
        </w:tc>
        <w:tc>
          <w:tcPr>
            <w:tcW w:type="dxa" w:w="1194"/>
          </w:tcPr>
          <w:p>
            <w:pPr>
              <w:pStyle w:val="Compact"/>
              <w:spacing w:after="0" w:before="0" w:line="240" w:lineRule="auto"/>
              <w:jc w:val="right"/>
            </w:pPr>
            <w:r>
              <w:rPr>
                <w:rFonts w:ascii="Arial" w:hAnsi="Arial"/>
                <w:sz w:val="15"/>
              </w:rPr>
              <w:t xml:space="preserve">143.3</w:t>
            </w:r>
          </w:p>
        </w:tc>
        <w:tc>
          <w:tcPr>
            <w:tcW w:type="dxa" w:w="1228"/>
          </w:tcPr>
          <w:p>
            <w:pPr>
              <w:pStyle w:val="Compact"/>
              <w:spacing w:after="0" w:before="0" w:line="240" w:lineRule="auto"/>
              <w:jc w:val="right"/>
            </w:pPr>
            <w:r>
              <w:rPr>
                <w:rFonts w:ascii="Arial" w:hAnsi="Arial"/>
                <w:sz w:val="15"/>
              </w:rPr>
              <w:t xml:space="preserve">160.8 [e]</w:t>
            </w:r>
          </w:p>
        </w:tc>
      </w:tr>
      <w:tr>
        <w:trPr>
          <w:cantSplit/>
        </w:trPr>
        <w:tc>
          <w:tcPr>
            <w:tcW w:type="dxa" w:w="2640"/>
            <w:shd w:val="clear" w:color="auto" w:fill="F1F2F5"/>
          </w:tcPr>
          <w:p>
            <w:pPr>
              <w:pStyle w:val="Compact"/>
              <w:spacing w:after="0" w:before="0" w:line="240" w:lineRule="auto"/>
              <w:jc w:val="left"/>
            </w:pPr>
            <w:r>
              <w:rPr>
                <w:rFonts w:ascii="Arial" w:hAnsi="Arial"/>
                <w:sz w:val="15"/>
              </w:rPr>
              <w:t xml:space="preserve">Adjusted OP margin</w:t>
            </w:r>
          </w:p>
        </w:tc>
        <w:tc>
          <w:tcPr>
            <w:tcW w:type="dxa" w:w="1255"/>
            <w:shd w:val="clear" w:color="auto" w:fill="F1F2F5"/>
          </w:tcPr>
          <w:p>
            <w:pPr>
              <w:pStyle w:val="Compact"/>
              <w:spacing w:after="0" w:before="0" w:line="240" w:lineRule="auto"/>
              <w:jc w:val="right"/>
            </w:pPr>
            <w:r>
              <w:rPr>
                <w:rFonts w:ascii="Arial" w:hAnsi="Arial"/>
                <w:sz w:val="15"/>
              </w:rPr>
              <w:t xml:space="preserve">20.1%</w:t>
            </w:r>
          </w:p>
        </w:tc>
        <w:tc>
          <w:tcPr>
            <w:tcW w:type="dxa" w:w="1259"/>
            <w:shd w:val="clear" w:color="auto" w:fill="F1F2F5"/>
          </w:tcPr>
          <w:p>
            <w:pPr>
              <w:pStyle w:val="Compact"/>
              <w:spacing w:after="0" w:before="0" w:line="240" w:lineRule="auto"/>
              <w:jc w:val="right"/>
            </w:pPr>
            <w:r>
              <w:rPr>
                <w:rFonts w:ascii="Arial" w:hAnsi="Arial"/>
                <w:sz w:val="15"/>
              </w:rPr>
              <w:t xml:space="preserve">20.0%</w:t>
            </w:r>
          </w:p>
        </w:tc>
        <w:tc>
          <w:tcPr>
            <w:tcW w:type="dxa" w:w="1198"/>
            <w:shd w:val="clear" w:color="auto" w:fill="F1F2F5"/>
          </w:tcPr>
          <w:p>
            <w:pPr>
              <w:pStyle w:val="Compact"/>
              <w:spacing w:after="0" w:before="0" w:line="240" w:lineRule="auto"/>
              <w:jc w:val="right"/>
            </w:pPr>
            <w:r>
              <w:rPr>
                <w:rFonts w:ascii="Arial" w:hAnsi="Arial"/>
                <w:sz w:val="15"/>
              </w:rPr>
              <w:t xml:space="preserve">16.3%</w:t>
            </w:r>
          </w:p>
        </w:tc>
        <w:tc>
          <w:tcPr>
            <w:tcW w:type="dxa" w:w="1204"/>
            <w:shd w:val="clear" w:color="auto" w:fill="F1F2F5"/>
          </w:tcPr>
          <w:p>
            <w:pPr>
              <w:pStyle w:val="Compact"/>
              <w:spacing w:after="0" w:before="0" w:line="240" w:lineRule="auto"/>
              <w:jc w:val="right"/>
            </w:pPr>
            <w:r>
              <w:rPr>
                <w:rFonts w:ascii="Arial" w:hAnsi="Arial"/>
                <w:sz w:val="15"/>
              </w:rPr>
              <w:t xml:space="preserve">18.9%</w:t>
            </w:r>
          </w:p>
        </w:tc>
        <w:tc>
          <w:tcPr>
            <w:tcW w:type="dxa" w:w="1194"/>
            <w:shd w:val="clear" w:color="auto" w:fill="F1F2F5"/>
          </w:tcPr>
          <w:p>
            <w:pPr>
              <w:pStyle w:val="Compact"/>
              <w:spacing w:after="0" w:before="0" w:line="240" w:lineRule="auto"/>
              <w:jc w:val="right"/>
            </w:pPr>
            <w:r>
              <w:rPr>
                <w:rFonts w:ascii="Arial" w:hAnsi="Arial"/>
                <w:sz w:val="15"/>
              </w:rPr>
              <w:t xml:space="preserve">14.2%</w:t>
            </w:r>
          </w:p>
        </w:tc>
        <w:tc>
          <w:tcPr>
            <w:tcW w:type="dxa" w:w="1228"/>
            <w:shd w:val="clear" w:color="auto" w:fill="F1F2F5"/>
          </w:tcPr>
          <w:p>
            <w:pPr>
              <w:pStyle w:val="Compact"/>
              <w:spacing w:after="0" w:before="0" w:line="240" w:lineRule="auto"/>
              <w:jc w:val="right"/>
            </w:pPr>
            <w:r>
              <w:rPr>
                <w:rFonts w:ascii="Arial" w:hAnsi="Arial"/>
                <w:sz w:val="15"/>
              </w:rPr>
              <w:t xml:space="preserve">15.4%</w:t>
            </w:r>
          </w:p>
        </w:tc>
      </w:tr>
      <w:tr>
        <w:trPr>
          <w:cantSplit/>
        </w:trPr>
        <w:tc>
          <w:tcPr>
            <w:tcW w:type="dxa" w:w="2640"/>
          </w:tcPr>
          <w:p>
            <w:pPr>
              <w:pStyle w:val="Compact"/>
              <w:spacing w:after="0" w:before="0" w:line="240" w:lineRule="auto"/>
              <w:jc w:val="left"/>
            </w:pPr>
            <w:r>
              <w:rPr>
                <w:rFonts w:ascii="Arial" w:hAnsi="Arial"/>
                <w:sz w:val="15"/>
              </w:rPr>
              <w:t xml:space="preserve">Net other income / (expense)</w:t>
            </w:r>
          </w:p>
        </w:tc>
        <w:tc>
          <w:tcPr>
            <w:tcW w:type="dxa" w:w="1255"/>
          </w:tcPr>
          <w:p>
            <w:pPr>
              <w:pStyle w:val="Compact"/>
              <w:spacing w:after="0" w:before="0" w:line="240" w:lineRule="auto"/>
              <w:jc w:val="right"/>
            </w:pPr>
            <w:r>
              <w:rPr>
                <w:rFonts w:ascii="Arial" w:hAnsi="Arial"/>
                <w:sz w:val="15"/>
              </w:rPr>
              <w:t xml:space="preserve">(4.5)</w:t>
            </w:r>
          </w:p>
        </w:tc>
        <w:tc>
          <w:tcPr>
            <w:tcW w:type="dxa" w:w="1259"/>
          </w:tcPr>
          <w:p>
            <w:pPr>
              <w:pStyle w:val="Compact"/>
              <w:spacing w:after="0" w:before="0" w:line="240" w:lineRule="auto"/>
              <w:jc w:val="right"/>
            </w:pPr>
            <w:r>
              <w:rPr>
                <w:rFonts w:ascii="Arial" w:hAnsi="Arial"/>
                <w:sz w:val="15"/>
              </w:rPr>
              <w:t xml:space="preserve">+9.8</w:t>
            </w:r>
          </w:p>
        </w:tc>
        <w:tc>
          <w:tcPr>
            <w:tcW w:type="dxa" w:w="1198"/>
          </w:tcPr>
          <w:p>
            <w:pPr>
              <w:pStyle w:val="Compact"/>
              <w:spacing w:after="0" w:before="0" w:line="240" w:lineRule="auto"/>
              <w:jc w:val="right"/>
            </w:pPr>
            <w:r>
              <w:rPr>
                <w:rFonts w:ascii="Arial" w:hAnsi="Arial"/>
                <w:sz w:val="15"/>
              </w:rPr>
              <w:t xml:space="preserve">(99.9)</w:t>
            </w:r>
          </w:p>
        </w:tc>
        <w:tc>
          <w:tcPr>
            <w:tcW w:type="dxa" w:w="1204"/>
          </w:tcPr>
          <w:p>
            <w:pPr>
              <w:pStyle w:val="Compact"/>
              <w:spacing w:after="0" w:before="0" w:line="240" w:lineRule="auto"/>
              <w:jc w:val="right"/>
            </w:pPr>
            <w:r>
              <w:rPr>
                <w:rFonts w:ascii="Arial" w:hAnsi="Arial"/>
                <w:sz w:val="15"/>
              </w:rPr>
              <w:t xml:space="preserve">(26.0)</w:t>
            </w:r>
          </w:p>
        </w:tc>
        <w:tc>
          <w:tcPr>
            <w:tcW w:type="dxa" w:w="1194"/>
          </w:tcPr>
          <w:p>
            <w:pPr>
              <w:pStyle w:val="Compact"/>
              <w:spacing w:after="0" w:before="0" w:line="240" w:lineRule="auto"/>
              <w:jc w:val="right"/>
            </w:pPr>
            <w:r>
              <w:rPr>
                <w:rFonts w:ascii="Arial" w:hAnsi="Arial"/>
                <w:sz w:val="15"/>
              </w:rPr>
              <w:t xml:space="preserve">(46.2)</w:t>
            </w:r>
          </w:p>
        </w:tc>
        <w:tc>
          <w:tcPr>
            <w:tcW w:type="dxa" w:w="1228"/>
          </w:tcPr>
          <w:p>
            <w:pPr>
              <w:pStyle w:val="Compact"/>
              <w:spacing w:after="0" w:before="0" w:line="240" w:lineRule="auto"/>
              <w:jc w:val="right"/>
            </w:pPr>
            <w:r>
              <w:rPr>
                <w:rFonts w:ascii="Arial" w:hAnsi="Arial"/>
                <w:sz w:val="15"/>
              </w:rPr>
              <w:t xml:space="preserve">–</w:t>
            </w:r>
          </w:p>
        </w:tc>
      </w:tr>
      <w:tr>
        <w:trPr>
          <w:cantSplit/>
        </w:trPr>
        <w:tc>
          <w:tcPr>
            <w:tcW w:type="dxa" w:w="2640"/>
            <w:shd w:val="clear" w:color="auto" w:fill="F1F2F5"/>
          </w:tcPr>
          <w:p>
            <w:pPr>
              <w:pStyle w:val="Compact"/>
              <w:spacing w:after="0" w:before="0" w:line="240" w:lineRule="auto"/>
              <w:jc w:val="left"/>
            </w:pPr>
            <w:r>
              <w:rPr>
                <w:bCs/>
                <w:rFonts w:ascii="Arial" w:hAnsi="Arial"/>
                <w:b/>
                <w:sz w:val="15"/>
              </w:rPr>
              <w:t xml:space="preserve">Operating profit (IFRS)</w:t>
            </w:r>
          </w:p>
        </w:tc>
        <w:tc>
          <w:tcPr>
            <w:tcW w:type="dxa" w:w="1255"/>
            <w:shd w:val="clear" w:color="auto" w:fill="F1F2F5"/>
          </w:tcPr>
          <w:p>
            <w:pPr>
              <w:pStyle w:val="Compact"/>
              <w:spacing w:after="0" w:before="0" w:line="240" w:lineRule="auto"/>
              <w:jc w:val="right"/>
            </w:pPr>
            <w:r>
              <w:rPr>
                <w:rFonts w:ascii="Arial" w:hAnsi="Arial"/>
                <w:sz w:val="15"/>
              </w:rPr>
              <w:t xml:space="preserve">146.2</w:t>
            </w:r>
          </w:p>
        </w:tc>
        <w:tc>
          <w:tcPr>
            <w:tcW w:type="dxa" w:w="1259"/>
            <w:shd w:val="clear" w:color="auto" w:fill="F1F2F5"/>
          </w:tcPr>
          <w:p>
            <w:pPr>
              <w:pStyle w:val="Compact"/>
              <w:spacing w:after="0" w:before="0" w:line="240" w:lineRule="auto"/>
              <w:jc w:val="right"/>
            </w:pPr>
            <w:r>
              <w:rPr>
                <w:rFonts w:ascii="Arial" w:hAnsi="Arial"/>
                <w:sz w:val="15"/>
              </w:rPr>
              <w:t xml:space="preserve">186.6</w:t>
            </w:r>
          </w:p>
        </w:tc>
        <w:tc>
          <w:tcPr>
            <w:tcW w:type="dxa" w:w="1198"/>
            <w:shd w:val="clear" w:color="auto" w:fill="F1F2F5"/>
          </w:tcPr>
          <w:p>
            <w:pPr>
              <w:pStyle w:val="Compact"/>
              <w:spacing w:after="0" w:before="0" w:line="240" w:lineRule="auto"/>
              <w:jc w:val="right"/>
            </w:pPr>
            <w:r>
              <w:rPr>
                <w:rFonts w:ascii="Arial" w:hAnsi="Arial"/>
                <w:sz w:val="15"/>
              </w:rPr>
              <w:t xml:space="preserve">51.4</w:t>
            </w:r>
          </w:p>
        </w:tc>
        <w:tc>
          <w:tcPr>
            <w:tcW w:type="dxa" w:w="1204"/>
            <w:shd w:val="clear" w:color="auto" w:fill="F1F2F5"/>
          </w:tcPr>
          <w:p>
            <w:pPr>
              <w:pStyle w:val="Compact"/>
              <w:spacing w:after="0" w:before="0" w:line="240" w:lineRule="auto"/>
              <w:jc w:val="right"/>
            </w:pPr>
            <w:r>
              <w:rPr>
                <w:rFonts w:ascii="Arial" w:hAnsi="Arial"/>
                <w:sz w:val="15"/>
              </w:rPr>
              <w:t xml:space="preserve">162.5</w:t>
            </w:r>
          </w:p>
        </w:tc>
        <w:tc>
          <w:tcPr>
            <w:tcW w:type="dxa" w:w="1194"/>
            <w:shd w:val="clear" w:color="auto" w:fill="F1F2F5"/>
          </w:tcPr>
          <w:p>
            <w:pPr>
              <w:pStyle w:val="Compact"/>
              <w:spacing w:after="0" w:before="0" w:line="240" w:lineRule="auto"/>
              <w:jc w:val="right"/>
            </w:pPr>
            <w:r>
              <w:rPr>
                <w:rFonts w:ascii="Arial" w:hAnsi="Arial"/>
                <w:sz w:val="15"/>
              </w:rPr>
              <w:t xml:space="preserve">97.1</w:t>
            </w:r>
          </w:p>
        </w:tc>
        <w:tc>
          <w:tcPr>
            <w:tcW w:type="dxa" w:w="1228"/>
            <w:shd w:val="clear" w:color="auto" w:fill="F1F2F5"/>
          </w:tcPr>
          <w:p>
            <w:pPr>
              <w:pStyle w:val="Compact"/>
              <w:spacing w:after="0" w:before="0" w:line="240" w:lineRule="auto"/>
              <w:jc w:val="right"/>
            </w:pPr>
            <w:r>
              <w:rPr>
                <w:rFonts w:ascii="Arial" w:hAnsi="Arial"/>
                <w:sz w:val="15"/>
              </w:rPr>
              <w:t xml:space="preserve">109.5 [e]</w:t>
            </w:r>
          </w:p>
        </w:tc>
      </w:tr>
      <w:tr>
        <w:trPr>
          <w:cantSplit/>
        </w:trPr>
        <w:tc>
          <w:tcPr>
            <w:tcW w:type="dxa" w:w="2640"/>
          </w:tcPr>
          <w:p>
            <w:pPr>
              <w:pStyle w:val="Compact"/>
              <w:spacing w:after="0" w:before="0" w:line="240" w:lineRule="auto"/>
              <w:jc w:val="left"/>
            </w:pPr>
            <w:r>
              <w:rPr>
                <w:rFonts w:ascii="Arial" w:hAnsi="Arial"/>
                <w:sz w:val="15"/>
              </w:rPr>
              <w:t xml:space="preserve">OP margin</w:t>
            </w:r>
          </w:p>
        </w:tc>
        <w:tc>
          <w:tcPr>
            <w:tcW w:type="dxa" w:w="1255"/>
          </w:tcPr>
          <w:p>
            <w:pPr>
              <w:pStyle w:val="Compact"/>
              <w:spacing w:after="0" w:before="0" w:line="240" w:lineRule="auto"/>
              <w:jc w:val="right"/>
            </w:pPr>
            <w:r>
              <w:rPr>
                <w:rFonts w:ascii="Arial" w:hAnsi="Arial"/>
                <w:sz w:val="15"/>
              </w:rPr>
              <w:t xml:space="preserve">19.5%</w:t>
            </w:r>
          </w:p>
        </w:tc>
        <w:tc>
          <w:tcPr>
            <w:tcW w:type="dxa" w:w="1259"/>
          </w:tcPr>
          <w:p>
            <w:pPr>
              <w:pStyle w:val="Compact"/>
              <w:spacing w:after="0" w:before="0" w:line="240" w:lineRule="auto"/>
              <w:jc w:val="right"/>
            </w:pPr>
            <w:r>
              <w:rPr>
                <w:rFonts w:ascii="Arial" w:hAnsi="Arial"/>
                <w:sz w:val="15"/>
              </w:rPr>
              <w:t xml:space="preserve">21.2%</w:t>
            </w:r>
          </w:p>
        </w:tc>
        <w:tc>
          <w:tcPr>
            <w:tcW w:type="dxa" w:w="1198"/>
          </w:tcPr>
          <w:p>
            <w:pPr>
              <w:pStyle w:val="Compact"/>
              <w:spacing w:after="0" w:before="0" w:line="240" w:lineRule="auto"/>
              <w:jc w:val="right"/>
            </w:pPr>
            <w:r>
              <w:rPr>
                <w:rFonts w:ascii="Arial" w:hAnsi="Arial"/>
                <w:sz w:val="15"/>
              </w:rPr>
              <w:t xml:space="preserve">5.6%</w:t>
            </w:r>
          </w:p>
        </w:tc>
        <w:tc>
          <w:tcPr>
            <w:tcW w:type="dxa" w:w="1204"/>
          </w:tcPr>
          <w:p>
            <w:pPr>
              <w:pStyle w:val="Compact"/>
              <w:spacing w:after="0" w:before="0" w:line="240" w:lineRule="auto"/>
              <w:jc w:val="right"/>
            </w:pPr>
            <w:r>
              <w:rPr>
                <w:rFonts w:ascii="Arial" w:hAnsi="Arial"/>
                <w:sz w:val="15"/>
              </w:rPr>
              <w:t xml:space="preserve">16.3%</w:t>
            </w:r>
          </w:p>
        </w:tc>
        <w:tc>
          <w:tcPr>
            <w:tcW w:type="dxa" w:w="1194"/>
          </w:tcPr>
          <w:p>
            <w:pPr>
              <w:pStyle w:val="Compact"/>
              <w:spacing w:after="0" w:before="0" w:line="240" w:lineRule="auto"/>
              <w:jc w:val="right"/>
            </w:pPr>
            <w:r>
              <w:rPr>
                <w:rFonts w:ascii="Arial" w:hAnsi="Arial"/>
                <w:sz w:val="15"/>
              </w:rPr>
              <w:t xml:space="preserve">9.6%</w:t>
            </w:r>
          </w:p>
        </w:tc>
        <w:tc>
          <w:tcPr>
            <w:tcW w:type="dxa" w:w="1228"/>
          </w:tcPr>
          <w:p>
            <w:pPr>
              <w:pStyle w:val="Compact"/>
              <w:spacing w:after="0" w:before="0" w:line="240" w:lineRule="auto"/>
              <w:jc w:val="right"/>
            </w:pPr>
            <w:r>
              <w:rPr>
                <w:rFonts w:ascii="Arial" w:hAnsi="Arial"/>
                <w:sz w:val="15"/>
              </w:rPr>
              <w:t xml:space="preserve">10.5%</w:t>
            </w:r>
          </w:p>
        </w:tc>
      </w:tr>
      <w:tr>
        <w:trPr>
          <w:cantSplit/>
        </w:trPr>
        <w:tc>
          <w:tcPr>
            <w:tcW w:type="dxa" w:w="2640"/>
            <w:shd w:val="clear" w:color="auto" w:fill="F1F2F5"/>
          </w:tcPr>
          <w:p>
            <w:pPr>
              <w:pStyle w:val="Compact"/>
              <w:spacing w:after="0" w:before="0" w:line="240" w:lineRule="auto"/>
              <w:jc w:val="left"/>
            </w:pPr>
            <w:r>
              <w:rPr>
                <w:rFonts w:ascii="Arial" w:hAnsi="Arial"/>
                <w:sz w:val="15"/>
              </w:rPr>
              <w:t xml:space="preserve">D&amp;A</w:t>
            </w:r>
          </w:p>
        </w:tc>
        <w:tc>
          <w:tcPr>
            <w:tcW w:type="dxa" w:w="1255"/>
            <w:shd w:val="clear" w:color="auto" w:fill="F1F2F5"/>
          </w:tcPr>
          <w:p>
            <w:pPr>
              <w:pStyle w:val="Compact"/>
              <w:spacing w:after="0" w:before="0" w:line="240" w:lineRule="auto"/>
              <w:jc w:val="right"/>
            </w:pPr>
            <w:r>
              <w:rPr>
                <w:rFonts w:ascii="Arial" w:hAnsi="Arial"/>
                <w:sz w:val="15"/>
              </w:rPr>
              <w:t xml:space="preserve">57.9</w:t>
            </w:r>
          </w:p>
        </w:tc>
        <w:tc>
          <w:tcPr>
            <w:tcW w:type="dxa" w:w="1259"/>
            <w:shd w:val="clear" w:color="auto" w:fill="F1F2F5"/>
          </w:tcPr>
          <w:p>
            <w:pPr>
              <w:pStyle w:val="Compact"/>
              <w:spacing w:after="0" w:before="0" w:line="240" w:lineRule="auto"/>
              <w:jc w:val="right"/>
            </w:pPr>
            <w:r>
              <w:rPr>
                <w:rFonts w:ascii="Arial" w:hAnsi="Arial"/>
                <w:sz w:val="15"/>
              </w:rPr>
              <w:t xml:space="preserve">63.6</w:t>
            </w:r>
          </w:p>
        </w:tc>
        <w:tc>
          <w:tcPr>
            <w:tcW w:type="dxa" w:w="1198"/>
            <w:shd w:val="clear" w:color="auto" w:fill="F1F2F5"/>
          </w:tcPr>
          <w:p>
            <w:pPr>
              <w:pStyle w:val="Compact"/>
              <w:spacing w:after="0" w:before="0" w:line="240" w:lineRule="auto"/>
              <w:jc w:val="right"/>
            </w:pPr>
            <w:r>
              <w:rPr>
                <w:rFonts w:ascii="Arial" w:hAnsi="Arial"/>
                <w:sz w:val="15"/>
              </w:rPr>
              <w:t xml:space="preserve">65.2</w:t>
            </w:r>
          </w:p>
        </w:tc>
        <w:tc>
          <w:tcPr>
            <w:tcW w:type="dxa" w:w="1204"/>
            <w:shd w:val="clear" w:color="auto" w:fill="F1F2F5"/>
          </w:tcPr>
          <w:p>
            <w:pPr>
              <w:pStyle w:val="Compact"/>
              <w:spacing w:after="0" w:before="0" w:line="240" w:lineRule="auto"/>
              <w:jc w:val="right"/>
            </w:pPr>
            <w:r>
              <w:rPr>
                <w:rFonts w:ascii="Arial" w:hAnsi="Arial"/>
                <w:sz w:val="15"/>
              </w:rPr>
              <w:t xml:space="preserve">66.4</w:t>
            </w:r>
          </w:p>
        </w:tc>
        <w:tc>
          <w:tcPr>
            <w:tcW w:type="dxa" w:w="1194"/>
            <w:shd w:val="clear" w:color="auto" w:fill="F1F2F5"/>
          </w:tcPr>
          <w:p>
            <w:pPr>
              <w:pStyle w:val="Compact"/>
              <w:spacing w:after="0" w:before="0" w:line="240" w:lineRule="auto"/>
              <w:jc w:val="right"/>
            </w:pPr>
            <w:r>
              <w:rPr>
                <w:rFonts w:ascii="Arial" w:hAnsi="Arial"/>
                <w:sz w:val="15"/>
              </w:rPr>
              <w:t xml:space="preserve">67.2</w:t>
            </w:r>
          </w:p>
        </w:tc>
        <w:tc>
          <w:tcPr>
            <w:tcW w:type="dxa" w:w="1228"/>
            <w:shd w:val="clear" w:color="auto" w:fill="F1F2F5"/>
          </w:tcPr>
          <w:p>
            <w:pPr>
              <w:pStyle w:val="Compact"/>
              <w:spacing w:after="0" w:before="0" w:line="240" w:lineRule="auto"/>
              <w:jc w:val="right"/>
            </w:pPr>
            <w:r>
              <w:rPr>
                <w:rFonts w:ascii="Arial" w:hAnsi="Arial"/>
                <w:sz w:val="15"/>
              </w:rPr>
              <w:t xml:space="preserve">~68</w:t>
            </w:r>
          </w:p>
        </w:tc>
      </w:tr>
      <w:tr>
        <w:trPr>
          <w:cantSplit/>
        </w:trPr>
        <w:tc>
          <w:tcPr>
            <w:tcW w:type="dxa" w:w="2640"/>
          </w:tcPr>
          <w:p>
            <w:pPr>
              <w:pStyle w:val="Compact"/>
              <w:spacing w:after="0" w:before="0" w:line="240" w:lineRule="auto"/>
              <w:jc w:val="left"/>
            </w:pPr>
            <w:r>
              <w:rPr>
                <w:bCs/>
                <w:rFonts w:ascii="Arial" w:hAnsi="Arial"/>
                <w:b/>
                <w:sz w:val="15"/>
              </w:rPr>
              <w:t xml:space="preserve">EBITDA (OP + D&amp;A)</w:t>
            </w:r>
          </w:p>
        </w:tc>
        <w:tc>
          <w:tcPr>
            <w:tcW w:type="dxa" w:w="1255"/>
          </w:tcPr>
          <w:p>
            <w:pPr>
              <w:pStyle w:val="Compact"/>
              <w:spacing w:after="0" w:before="0" w:line="240" w:lineRule="auto"/>
              <w:jc w:val="right"/>
            </w:pPr>
            <w:r>
              <w:rPr>
                <w:rFonts w:ascii="Arial" w:hAnsi="Arial"/>
                <w:sz w:val="15"/>
              </w:rPr>
              <w:t xml:space="preserve">204.0</w:t>
            </w:r>
          </w:p>
        </w:tc>
        <w:tc>
          <w:tcPr>
            <w:tcW w:type="dxa" w:w="1259"/>
          </w:tcPr>
          <w:p>
            <w:pPr>
              <w:pStyle w:val="Compact"/>
              <w:spacing w:after="0" w:before="0" w:line="240" w:lineRule="auto"/>
              <w:jc w:val="right"/>
            </w:pPr>
            <w:r>
              <w:rPr>
                <w:rFonts w:ascii="Arial" w:hAnsi="Arial"/>
                <w:sz w:val="15"/>
              </w:rPr>
              <w:t xml:space="preserve">250.2</w:t>
            </w:r>
          </w:p>
        </w:tc>
        <w:tc>
          <w:tcPr>
            <w:tcW w:type="dxa" w:w="1198"/>
          </w:tcPr>
          <w:p>
            <w:pPr>
              <w:pStyle w:val="Compact"/>
              <w:spacing w:after="0" w:before="0" w:line="240" w:lineRule="auto"/>
              <w:jc w:val="right"/>
            </w:pPr>
            <w:r>
              <w:rPr>
                <w:rFonts w:ascii="Arial" w:hAnsi="Arial"/>
                <w:sz w:val="15"/>
              </w:rPr>
              <w:t xml:space="preserve">116.6</w:t>
            </w:r>
          </w:p>
        </w:tc>
        <w:tc>
          <w:tcPr>
            <w:tcW w:type="dxa" w:w="1204"/>
          </w:tcPr>
          <w:p>
            <w:pPr>
              <w:pStyle w:val="Compact"/>
              <w:spacing w:after="0" w:before="0" w:line="240" w:lineRule="auto"/>
              <w:jc w:val="right"/>
            </w:pPr>
            <w:r>
              <w:rPr>
                <w:rFonts w:ascii="Arial" w:hAnsi="Arial"/>
                <w:sz w:val="15"/>
              </w:rPr>
              <w:t xml:space="preserve">228.8</w:t>
            </w:r>
          </w:p>
        </w:tc>
        <w:tc>
          <w:tcPr>
            <w:tcW w:type="dxa" w:w="1194"/>
          </w:tcPr>
          <w:p>
            <w:pPr>
              <w:pStyle w:val="Compact"/>
              <w:spacing w:after="0" w:before="0" w:line="240" w:lineRule="auto"/>
              <w:jc w:val="right"/>
            </w:pPr>
            <w:r>
              <w:rPr>
                <w:rFonts w:ascii="Arial" w:hAnsi="Arial"/>
                <w:sz w:val="15"/>
              </w:rPr>
              <w:t xml:space="preserve">164.3</w:t>
            </w:r>
          </w:p>
        </w:tc>
        <w:tc>
          <w:tcPr>
            <w:tcW w:type="dxa" w:w="1228"/>
          </w:tcPr>
          <w:p>
            <w:pPr>
              <w:pStyle w:val="Compact"/>
              <w:spacing w:after="0" w:before="0" w:line="240" w:lineRule="auto"/>
              <w:jc w:val="right"/>
            </w:pPr>
            <w:r>
              <w:rPr>
                <w:rFonts w:ascii="Arial" w:hAnsi="Arial"/>
                <w:sz w:val="15"/>
              </w:rPr>
              <w:t xml:space="preserve">~177</w:t>
            </w:r>
          </w:p>
        </w:tc>
      </w:tr>
      <w:tr>
        <w:trPr>
          <w:cantSplit/>
        </w:trPr>
        <w:tc>
          <w:tcPr>
            <w:tcW w:type="dxa" w:w="2640"/>
            <w:shd w:val="clear" w:color="auto" w:fill="F1F2F5"/>
          </w:tcPr>
          <w:p>
            <w:pPr>
              <w:pStyle w:val="Compact"/>
              <w:spacing w:after="0" w:before="0" w:line="240" w:lineRule="auto"/>
              <w:jc w:val="left"/>
            </w:pPr>
            <w:r>
              <w:rPr>
                <w:rFonts w:ascii="Arial" w:hAnsi="Arial"/>
                <w:sz w:val="15"/>
              </w:rPr>
              <w:t xml:space="preserve">Adjusted EBITDA</w:t>
            </w:r>
          </w:p>
        </w:tc>
        <w:tc>
          <w:tcPr>
            <w:tcW w:type="dxa" w:w="1255"/>
            <w:shd w:val="clear" w:color="auto" w:fill="F1F2F5"/>
          </w:tcPr>
          <w:p>
            <w:pPr>
              <w:pStyle w:val="Compact"/>
              <w:spacing w:after="0" w:before="0" w:line="240" w:lineRule="auto"/>
              <w:jc w:val="right"/>
            </w:pPr>
            <w:r>
              <w:rPr>
                <w:rFonts w:ascii="Arial" w:hAnsi="Arial"/>
                <w:sz w:val="15"/>
              </w:rPr>
              <w:t xml:space="preserve">208.5</w:t>
            </w:r>
          </w:p>
        </w:tc>
        <w:tc>
          <w:tcPr>
            <w:tcW w:type="dxa" w:w="1259"/>
            <w:shd w:val="clear" w:color="auto" w:fill="F1F2F5"/>
          </w:tcPr>
          <w:p>
            <w:pPr>
              <w:pStyle w:val="Compact"/>
              <w:spacing w:after="0" w:before="0" w:line="240" w:lineRule="auto"/>
              <w:jc w:val="right"/>
            </w:pPr>
            <w:r>
              <w:rPr>
                <w:rFonts w:ascii="Arial" w:hAnsi="Arial"/>
                <w:sz w:val="15"/>
              </w:rPr>
              <w:t xml:space="preserve">240.4</w:t>
            </w:r>
          </w:p>
        </w:tc>
        <w:tc>
          <w:tcPr>
            <w:tcW w:type="dxa" w:w="1198"/>
            <w:shd w:val="clear" w:color="auto" w:fill="F1F2F5"/>
          </w:tcPr>
          <w:p>
            <w:pPr>
              <w:pStyle w:val="Compact"/>
              <w:spacing w:after="0" w:before="0" w:line="240" w:lineRule="auto"/>
              <w:jc w:val="right"/>
            </w:pPr>
            <w:r>
              <w:rPr>
                <w:rFonts w:ascii="Arial" w:hAnsi="Arial"/>
                <w:sz w:val="15"/>
              </w:rPr>
              <w:t xml:space="preserve">216.5</w:t>
            </w:r>
          </w:p>
        </w:tc>
        <w:tc>
          <w:tcPr>
            <w:tcW w:type="dxa" w:w="1204"/>
            <w:shd w:val="clear" w:color="auto" w:fill="F1F2F5"/>
          </w:tcPr>
          <w:p>
            <w:pPr>
              <w:pStyle w:val="Compact"/>
              <w:spacing w:after="0" w:before="0" w:line="240" w:lineRule="auto"/>
              <w:jc w:val="right"/>
            </w:pPr>
            <w:r>
              <w:rPr>
                <w:rFonts w:ascii="Arial" w:hAnsi="Arial"/>
                <w:sz w:val="15"/>
              </w:rPr>
              <w:t xml:space="preserve">254.9</w:t>
            </w:r>
          </w:p>
        </w:tc>
        <w:tc>
          <w:tcPr>
            <w:tcW w:type="dxa" w:w="1194"/>
            <w:shd w:val="clear" w:color="auto" w:fill="F1F2F5"/>
          </w:tcPr>
          <w:p>
            <w:pPr>
              <w:pStyle w:val="Compact"/>
              <w:spacing w:after="0" w:before="0" w:line="240" w:lineRule="auto"/>
              <w:jc w:val="right"/>
            </w:pPr>
            <w:r>
              <w:rPr>
                <w:rFonts w:ascii="Arial" w:hAnsi="Arial"/>
                <w:sz w:val="15"/>
              </w:rPr>
              <w:t xml:space="preserve">210.5</w:t>
            </w:r>
          </w:p>
        </w:tc>
        <w:tc>
          <w:tcPr>
            <w:tcW w:type="dxa" w:w="1228"/>
            <w:shd w:val="clear" w:color="auto" w:fill="F1F2F5"/>
          </w:tcPr>
          <w:p>
            <w:pPr>
              <w:pStyle w:val="Compact"/>
              <w:spacing w:after="0" w:before="0" w:line="240" w:lineRule="auto"/>
              <w:jc w:val="right"/>
            </w:pPr>
            <w:r>
              <w:rPr>
                <w:rFonts w:ascii="Arial" w:hAnsi="Arial"/>
                <w:sz w:val="15"/>
              </w:rPr>
              <w:t xml:space="preserve">~229</w:t>
            </w:r>
          </w:p>
        </w:tc>
      </w:tr>
      <w:tr>
        <w:trPr>
          <w:cantSplit/>
        </w:trPr>
        <w:tc>
          <w:tcPr>
            <w:tcW w:type="dxa" w:w="2640"/>
          </w:tcPr>
          <w:p>
            <w:pPr>
              <w:pStyle w:val="Compact"/>
              <w:spacing w:after="0" w:before="0" w:line="240" w:lineRule="auto"/>
              <w:jc w:val="left"/>
            </w:pPr>
            <w:r>
              <w:rPr>
                <w:rFonts w:ascii="Arial" w:hAnsi="Arial"/>
                <w:sz w:val="15"/>
              </w:rPr>
              <w:t xml:space="preserve">Net income – continuing</w:t>
            </w:r>
          </w:p>
        </w:tc>
        <w:tc>
          <w:tcPr>
            <w:tcW w:type="dxa" w:w="1255"/>
          </w:tcPr>
          <w:p>
            <w:pPr>
              <w:pStyle w:val="Compact"/>
              <w:spacing w:after="0" w:before="0" w:line="240" w:lineRule="auto"/>
              <w:jc w:val="right"/>
            </w:pPr>
            <w:r>
              <w:rPr>
                <w:rFonts w:ascii="Arial" w:hAnsi="Arial"/>
                <w:sz w:val="15"/>
              </w:rPr>
              <w:t xml:space="preserve">110.6</w:t>
            </w:r>
          </w:p>
        </w:tc>
        <w:tc>
          <w:tcPr>
            <w:tcW w:type="dxa" w:w="1259"/>
          </w:tcPr>
          <w:p>
            <w:pPr>
              <w:pStyle w:val="Compact"/>
              <w:spacing w:after="0" w:before="0" w:line="240" w:lineRule="auto"/>
              <w:jc w:val="right"/>
            </w:pPr>
            <w:r>
              <w:rPr>
                <w:rFonts w:ascii="Arial" w:hAnsi="Arial"/>
                <w:sz w:val="15"/>
              </w:rPr>
              <w:t xml:space="preserve">138.0</w:t>
            </w:r>
          </w:p>
        </w:tc>
        <w:tc>
          <w:tcPr>
            <w:tcW w:type="dxa" w:w="1198"/>
          </w:tcPr>
          <w:p>
            <w:pPr>
              <w:pStyle w:val="Compact"/>
              <w:spacing w:after="0" w:before="0" w:line="240" w:lineRule="auto"/>
              <w:jc w:val="right"/>
            </w:pPr>
            <w:r>
              <w:rPr>
                <w:rFonts w:ascii="Arial" w:hAnsi="Arial"/>
                <w:sz w:val="15"/>
              </w:rPr>
              <w:t xml:space="preserve">35.1</w:t>
            </w:r>
          </w:p>
        </w:tc>
        <w:tc>
          <w:tcPr>
            <w:tcW w:type="dxa" w:w="1204"/>
          </w:tcPr>
          <w:p>
            <w:pPr>
              <w:pStyle w:val="Compact"/>
              <w:spacing w:after="0" w:before="0" w:line="240" w:lineRule="auto"/>
              <w:jc w:val="right"/>
            </w:pPr>
            <w:r>
              <w:rPr>
                <w:rFonts w:ascii="Arial" w:hAnsi="Arial"/>
                <w:sz w:val="15"/>
              </w:rPr>
              <w:t xml:space="preserve">117.8</w:t>
            </w:r>
          </w:p>
        </w:tc>
        <w:tc>
          <w:tcPr>
            <w:tcW w:type="dxa" w:w="1194"/>
          </w:tcPr>
          <w:p>
            <w:pPr>
              <w:pStyle w:val="Compact"/>
              <w:spacing w:after="0" w:before="0" w:line="240" w:lineRule="auto"/>
              <w:jc w:val="right"/>
            </w:pPr>
            <w:r>
              <w:rPr>
                <w:rFonts w:ascii="Arial" w:hAnsi="Arial"/>
                <w:sz w:val="15"/>
              </w:rPr>
              <w:t xml:space="preserve">68.2</w:t>
            </w:r>
          </w:p>
        </w:tc>
        <w:tc>
          <w:tcPr>
            <w:tcW w:type="dxa" w:w="1228"/>
          </w:tcPr>
          <w:p>
            <w:pPr>
              <w:pStyle w:val="Compact"/>
              <w:spacing w:after="0" w:before="0" w:line="240" w:lineRule="auto"/>
              <w:jc w:val="right"/>
            </w:pPr>
            <w:r>
              <w:rPr>
                <w:rFonts w:ascii="Arial" w:hAnsi="Arial"/>
                <w:sz w:val="15"/>
              </w:rPr>
              <w:t xml:space="preserve">–</w:t>
            </w:r>
          </w:p>
        </w:tc>
      </w:tr>
      <w:tr>
        <w:trPr>
          <w:cantSplit/>
        </w:trPr>
        <w:tc>
          <w:tcPr>
            <w:tcW w:type="dxa" w:w="2640"/>
            <w:shd w:val="clear" w:color="auto" w:fill="F1F2F5"/>
          </w:tcPr>
          <w:p>
            <w:pPr>
              <w:pStyle w:val="Compact"/>
              <w:spacing w:after="0" w:before="0" w:line="240" w:lineRule="auto"/>
              <w:jc w:val="left"/>
            </w:pPr>
            <w:r>
              <w:rPr>
                <w:bCs/>
                <w:rFonts w:ascii="Arial" w:hAnsi="Arial"/>
                <w:b/>
                <w:sz w:val="15"/>
              </w:rPr>
              <w:t xml:space="preserve">Net income to owners</w:t>
            </w:r>
          </w:p>
        </w:tc>
        <w:tc>
          <w:tcPr>
            <w:tcW w:type="dxa" w:w="1255"/>
            <w:shd w:val="clear" w:color="auto" w:fill="F1F2F5"/>
          </w:tcPr>
          <w:p>
            <w:pPr>
              <w:pStyle w:val="Compact"/>
              <w:spacing w:after="0" w:before="0" w:line="240" w:lineRule="auto"/>
              <w:jc w:val="right"/>
            </w:pPr>
            <w:r>
              <w:rPr>
                <w:rFonts w:ascii="Arial" w:hAnsi="Arial"/>
                <w:sz w:val="15"/>
              </w:rPr>
              <w:t xml:space="preserve">115.7</w:t>
            </w:r>
          </w:p>
        </w:tc>
        <w:tc>
          <w:tcPr>
            <w:tcW w:type="dxa" w:w="1259"/>
            <w:shd w:val="clear" w:color="auto" w:fill="F1F2F5"/>
          </w:tcPr>
          <w:p>
            <w:pPr>
              <w:pStyle w:val="Compact"/>
              <w:spacing w:after="0" w:before="0" w:line="240" w:lineRule="auto"/>
              <w:jc w:val="right"/>
            </w:pPr>
            <w:r>
              <w:rPr>
                <w:rFonts w:ascii="Arial" w:hAnsi="Arial"/>
                <w:sz w:val="15"/>
              </w:rPr>
              <w:t xml:space="preserve">143.4</w:t>
            </w:r>
          </w:p>
        </w:tc>
        <w:tc>
          <w:tcPr>
            <w:tcW w:type="dxa" w:w="1198"/>
            <w:shd w:val="clear" w:color="auto" w:fill="F1F2F5"/>
          </w:tcPr>
          <w:p>
            <w:pPr>
              <w:pStyle w:val="Compact"/>
              <w:spacing w:after="0" w:before="0" w:line="240" w:lineRule="auto"/>
              <w:jc w:val="right"/>
            </w:pPr>
            <w:r>
              <w:rPr>
                <w:rFonts w:ascii="Arial" w:hAnsi="Arial"/>
                <w:sz w:val="15"/>
              </w:rPr>
              <w:t xml:space="preserve">242.6</w:t>
            </w:r>
          </w:p>
        </w:tc>
        <w:tc>
          <w:tcPr>
            <w:tcW w:type="dxa" w:w="1204"/>
            <w:shd w:val="clear" w:color="auto" w:fill="F1F2F5"/>
          </w:tcPr>
          <w:p>
            <w:pPr>
              <w:pStyle w:val="Compact"/>
              <w:spacing w:after="0" w:before="0" w:line="240" w:lineRule="auto"/>
              <w:jc w:val="right"/>
            </w:pPr>
            <w:r>
              <w:rPr>
                <w:rFonts w:ascii="Arial" w:hAnsi="Arial"/>
                <w:sz w:val="15"/>
              </w:rPr>
              <w:t xml:space="preserve">117.9</w:t>
            </w:r>
          </w:p>
        </w:tc>
        <w:tc>
          <w:tcPr>
            <w:tcW w:type="dxa" w:w="1194"/>
            <w:shd w:val="clear" w:color="auto" w:fill="F1F2F5"/>
          </w:tcPr>
          <w:p>
            <w:pPr>
              <w:pStyle w:val="Compact"/>
              <w:spacing w:after="0" w:before="0" w:line="240" w:lineRule="auto"/>
              <w:jc w:val="right"/>
            </w:pPr>
            <w:r>
              <w:rPr>
                <w:rFonts w:ascii="Arial" w:hAnsi="Arial"/>
                <w:sz w:val="15"/>
              </w:rPr>
              <w:t xml:space="preserve">68.2</w:t>
            </w:r>
          </w:p>
        </w:tc>
        <w:tc>
          <w:tcPr>
            <w:tcW w:type="dxa" w:w="1228"/>
            <w:shd w:val="clear" w:color="auto" w:fill="F1F2F5"/>
          </w:tcPr>
          <w:p>
            <w:pPr>
              <w:pStyle w:val="Compact"/>
              <w:spacing w:after="0" w:before="0" w:line="240" w:lineRule="auto"/>
              <w:jc w:val="right"/>
            </w:pPr>
            <w:r>
              <w:rPr>
                <w:rFonts w:ascii="Arial" w:hAnsi="Arial"/>
                <w:sz w:val="15"/>
              </w:rPr>
              <w:t xml:space="preserve">78.3 [e]</w:t>
            </w:r>
          </w:p>
        </w:tc>
      </w:tr>
      <w:tr>
        <w:trPr>
          <w:cantSplit/>
        </w:trPr>
        <w:tc>
          <w:tcPr>
            <w:tcW w:type="dxa" w:w="2640"/>
          </w:tcPr>
          <w:p>
            <w:pPr>
              <w:pStyle w:val="Compact"/>
              <w:spacing w:after="0" w:before="0" w:line="240" w:lineRule="auto"/>
              <w:jc w:val="left"/>
            </w:pPr>
            <w:r>
              <w:rPr>
                <w:rFonts w:ascii="Arial" w:hAnsi="Arial"/>
                <w:sz w:val="15"/>
              </w:rPr>
              <w:t xml:space="preserve">EPS (JPY), total</w:t>
            </w:r>
          </w:p>
        </w:tc>
        <w:tc>
          <w:tcPr>
            <w:tcW w:type="dxa" w:w="1255"/>
          </w:tcPr>
          <w:p>
            <w:pPr>
              <w:pStyle w:val="Compact"/>
              <w:spacing w:after="0" w:before="0" w:line="240" w:lineRule="auto"/>
              <w:jc w:val="right"/>
            </w:pPr>
            <w:r>
              <w:rPr>
                <w:rFonts w:ascii="Arial" w:hAnsi="Arial"/>
                <w:sz w:val="15"/>
              </w:rPr>
              <w:t xml:space="preserve">90.22</w:t>
            </w:r>
          </w:p>
        </w:tc>
        <w:tc>
          <w:tcPr>
            <w:tcW w:type="dxa" w:w="1259"/>
          </w:tcPr>
          <w:p>
            <w:pPr>
              <w:pStyle w:val="Compact"/>
              <w:spacing w:after="0" w:before="0" w:line="240" w:lineRule="auto"/>
              <w:jc w:val="right"/>
            </w:pPr>
            <w:r>
              <w:rPr>
                <w:rFonts w:ascii="Arial" w:hAnsi="Arial"/>
                <w:sz w:val="15"/>
              </w:rPr>
              <w:t xml:space="preserve">113.22</w:t>
            </w:r>
          </w:p>
        </w:tc>
        <w:tc>
          <w:tcPr>
            <w:tcW w:type="dxa" w:w="1198"/>
          </w:tcPr>
          <w:p>
            <w:pPr>
              <w:pStyle w:val="Compact"/>
              <w:spacing w:after="0" w:before="0" w:line="240" w:lineRule="auto"/>
              <w:jc w:val="right"/>
            </w:pPr>
            <w:r>
              <w:rPr>
                <w:rFonts w:ascii="Arial" w:hAnsi="Arial"/>
                <w:sz w:val="15"/>
              </w:rPr>
              <w:t xml:space="preserve">199.91</w:t>
            </w:r>
          </w:p>
        </w:tc>
        <w:tc>
          <w:tcPr>
            <w:tcW w:type="dxa" w:w="1204"/>
          </w:tcPr>
          <w:p>
            <w:pPr>
              <w:pStyle w:val="Compact"/>
              <w:spacing w:after="0" w:before="0" w:line="240" w:lineRule="auto"/>
              <w:jc w:val="right"/>
            </w:pPr>
            <w:r>
              <w:rPr>
                <w:rFonts w:ascii="Arial" w:hAnsi="Arial"/>
                <w:sz w:val="15"/>
              </w:rPr>
              <w:t xml:space="preserve">102.99</w:t>
            </w:r>
          </w:p>
        </w:tc>
        <w:tc>
          <w:tcPr>
            <w:tcW w:type="dxa" w:w="1194"/>
          </w:tcPr>
          <w:p>
            <w:pPr>
              <w:pStyle w:val="Compact"/>
              <w:spacing w:after="0" w:before="0" w:line="240" w:lineRule="auto"/>
              <w:jc w:val="right"/>
            </w:pPr>
            <w:r>
              <w:rPr>
                <w:rFonts w:ascii="Arial" w:hAnsi="Arial"/>
                <w:sz w:val="15"/>
              </w:rPr>
              <w:t xml:space="preserve">61.32</w:t>
            </w:r>
          </w:p>
        </w:tc>
        <w:tc>
          <w:tcPr>
            <w:tcW w:type="dxa" w:w="1228"/>
          </w:tcPr>
          <w:p>
            <w:pPr>
              <w:pStyle w:val="Compact"/>
              <w:spacing w:after="0" w:before="0" w:line="240" w:lineRule="auto"/>
              <w:jc w:val="right"/>
            </w:pPr>
            <w:r>
              <w:rPr>
                <w:rFonts w:ascii="Arial" w:hAnsi="Arial"/>
                <w:sz w:val="15"/>
              </w:rPr>
              <w:t xml:space="preserve">~71</w:t>
            </w:r>
          </w:p>
        </w:tc>
      </w:tr>
      <w:tr>
        <w:trPr>
          <w:cantSplit/>
        </w:trPr>
        <w:tc>
          <w:tcPr>
            <w:tcW w:type="dxa" w:w="2640"/>
            <w:shd w:val="clear" w:color="auto" w:fill="DCE4F2"/>
          </w:tcPr>
          <w:p>
            <w:pPr>
              <w:pStyle w:val="Compact"/>
              <w:spacing w:after="0" w:before="0" w:line="240" w:lineRule="auto"/>
              <w:jc w:val="left"/>
            </w:pPr>
            <w:r>
              <w:rPr>
                <w:rFonts w:ascii="Arial" w:hAnsi="Arial"/>
                <w:b/>
                <w:sz w:val="15"/>
              </w:rPr>
              <w:t xml:space="preserve">Average shares (m)</w:t>
            </w:r>
          </w:p>
        </w:tc>
        <w:tc>
          <w:tcPr>
            <w:tcW w:type="dxa" w:w="1255"/>
            <w:shd w:val="clear" w:color="auto" w:fill="DCE4F2"/>
          </w:tcPr>
          <w:p>
            <w:pPr>
              <w:pStyle w:val="Compact"/>
              <w:spacing w:after="0" w:before="0" w:line="240" w:lineRule="auto"/>
              <w:jc w:val="right"/>
            </w:pPr>
            <w:r>
              <w:rPr>
                <w:rFonts w:ascii="Arial" w:hAnsi="Arial"/>
                <w:b/>
                <w:sz w:val="15"/>
              </w:rPr>
              <w:t xml:space="preserve">1,282.9</w:t>
            </w:r>
          </w:p>
        </w:tc>
        <w:tc>
          <w:tcPr>
            <w:tcW w:type="dxa" w:w="1259"/>
            <w:shd w:val="clear" w:color="auto" w:fill="DCE4F2"/>
          </w:tcPr>
          <w:p>
            <w:pPr>
              <w:pStyle w:val="Compact"/>
              <w:spacing w:after="0" w:before="0" w:line="240" w:lineRule="auto"/>
              <w:jc w:val="right"/>
            </w:pPr>
            <w:r>
              <w:rPr>
                <w:rFonts w:ascii="Arial" w:hAnsi="Arial"/>
                <w:b/>
                <w:sz w:val="15"/>
              </w:rPr>
              <w:t xml:space="preserve">1,266.8</w:t>
            </w:r>
          </w:p>
        </w:tc>
        <w:tc>
          <w:tcPr>
            <w:tcW w:type="dxa" w:w="1198"/>
            <w:shd w:val="clear" w:color="auto" w:fill="DCE4F2"/>
          </w:tcPr>
          <w:p>
            <w:pPr>
              <w:pStyle w:val="Compact"/>
              <w:spacing w:after="0" w:before="0" w:line="240" w:lineRule="auto"/>
              <w:jc w:val="right"/>
            </w:pPr>
            <w:r>
              <w:rPr>
                <w:rFonts w:ascii="Arial" w:hAnsi="Arial"/>
                <w:b/>
                <w:sz w:val="15"/>
              </w:rPr>
              <w:t xml:space="preserve">1,213.4</w:t>
            </w:r>
          </w:p>
        </w:tc>
        <w:tc>
          <w:tcPr>
            <w:tcW w:type="dxa" w:w="1204"/>
            <w:shd w:val="clear" w:color="auto" w:fill="DCE4F2"/>
          </w:tcPr>
          <w:p>
            <w:pPr>
              <w:pStyle w:val="Compact"/>
              <w:spacing w:after="0" w:before="0" w:line="240" w:lineRule="auto"/>
              <w:jc w:val="right"/>
            </w:pPr>
            <w:r>
              <w:rPr>
                <w:rFonts w:ascii="Arial" w:hAnsi="Arial"/>
                <w:b/>
                <w:sz w:val="15"/>
              </w:rPr>
              <w:t xml:space="preserve">1,144.3</w:t>
            </w:r>
          </w:p>
        </w:tc>
        <w:tc>
          <w:tcPr>
            <w:tcW w:type="dxa" w:w="1194"/>
            <w:shd w:val="clear" w:color="auto" w:fill="DCE4F2"/>
          </w:tcPr>
          <w:p>
            <w:pPr>
              <w:pStyle w:val="Compact"/>
              <w:spacing w:after="0" w:before="0" w:line="240" w:lineRule="auto"/>
              <w:jc w:val="right"/>
            </w:pPr>
            <w:r>
              <w:rPr>
                <w:rFonts w:ascii="Arial" w:hAnsi="Arial"/>
                <w:b/>
                <w:sz w:val="15"/>
              </w:rPr>
              <w:t xml:space="preserve">1,111.8</w:t>
            </w:r>
          </w:p>
        </w:tc>
        <w:tc>
          <w:tcPr>
            <w:tcW w:type="dxa" w:w="1228"/>
            <w:shd w:val="clear" w:color="auto" w:fill="DCE4F2"/>
          </w:tcPr>
          <w:p>
            <w:pPr>
              <w:pStyle w:val="Compact"/>
              <w:spacing w:after="0" w:before="0" w:line="240" w:lineRule="auto"/>
              <w:jc w:val="right"/>
            </w:pPr>
            <w:r>
              <w:rPr>
                <w:rFonts w:ascii="Arial" w:hAnsi="Arial"/>
                <w:b/>
                <w:sz w:val="15"/>
              </w:rPr>
              <w:t xml:space="preserve">–</w:t>
            </w:r>
          </w:p>
        </w:tc>
      </w:tr>
      <w:tr>
        <w:trPr>
          <w:cantSplit/>
        </w:trPr>
        <w:tc>
          <w:tcPr>
            <w:tcW w:type="dxa" w:w="2640"/>
            <w:shd w:val="clear" w:color="auto" w:fill="DCE4F2"/>
          </w:tcPr>
          <w:p>
            <w:pPr>
              <w:pStyle w:val="Compact"/>
              <w:spacing w:after="0" w:before="0" w:line="240" w:lineRule="auto"/>
              <w:jc w:val="left"/>
            </w:pPr>
            <w:r>
              <w:rPr>
                <w:rFonts w:ascii="Arial" w:hAnsi="Arial"/>
                <w:b/>
                <w:sz w:val="15"/>
              </w:rPr>
              <w:t xml:space="preserve">Average JPY/US$</w:t>
            </w:r>
          </w:p>
        </w:tc>
        <w:tc>
          <w:tcPr>
            <w:tcW w:type="dxa" w:w="1255"/>
            <w:shd w:val="clear" w:color="auto" w:fill="DCE4F2"/>
          </w:tcPr>
          <w:p>
            <w:pPr>
              <w:pStyle w:val="Compact"/>
              <w:spacing w:after="0" w:before="0" w:line="240" w:lineRule="auto"/>
              <w:jc w:val="right"/>
            </w:pPr>
            <w:r>
              <w:rPr>
                <w:rFonts w:ascii="Arial" w:hAnsi="Arial"/>
                <w:b/>
                <w:sz w:val="15"/>
              </w:rPr>
              <w:t xml:space="preserve">112.4</w:t>
            </w:r>
          </w:p>
        </w:tc>
        <w:tc>
          <w:tcPr>
            <w:tcW w:type="dxa" w:w="1259"/>
            <w:shd w:val="clear" w:color="auto" w:fill="DCE4F2"/>
          </w:tcPr>
          <w:p>
            <w:pPr>
              <w:pStyle w:val="Compact"/>
              <w:spacing w:after="0" w:before="0" w:line="240" w:lineRule="auto"/>
              <w:jc w:val="right"/>
            </w:pPr>
            <w:r>
              <w:rPr>
                <w:rFonts w:ascii="Arial" w:hAnsi="Arial"/>
                <w:b/>
                <w:sz w:val="15"/>
              </w:rPr>
              <w:t xml:space="preserve">135.5</w:t>
            </w:r>
          </w:p>
        </w:tc>
        <w:tc>
          <w:tcPr>
            <w:tcW w:type="dxa" w:w="1198"/>
            <w:shd w:val="clear" w:color="auto" w:fill="DCE4F2"/>
          </w:tcPr>
          <w:p>
            <w:pPr>
              <w:pStyle w:val="Compact"/>
              <w:spacing w:after="0" w:before="0" w:line="240" w:lineRule="auto"/>
              <w:jc w:val="right"/>
            </w:pPr>
            <w:r>
              <w:rPr>
                <w:rFonts w:ascii="Arial" w:hAnsi="Arial"/>
                <w:b/>
                <w:sz w:val="15"/>
              </w:rPr>
              <w:t xml:space="preserve">144.6</w:t>
            </w:r>
          </w:p>
        </w:tc>
        <w:tc>
          <w:tcPr>
            <w:tcW w:type="dxa" w:w="1204"/>
            <w:shd w:val="clear" w:color="auto" w:fill="DCE4F2"/>
          </w:tcPr>
          <w:p>
            <w:pPr>
              <w:pStyle w:val="Compact"/>
              <w:spacing w:after="0" w:before="0" w:line="240" w:lineRule="auto"/>
              <w:jc w:val="right"/>
            </w:pPr>
            <w:r>
              <w:rPr>
                <w:rFonts w:ascii="Arial" w:hAnsi="Arial"/>
                <w:b/>
                <w:sz w:val="15"/>
              </w:rPr>
              <w:t xml:space="preserve">152.6</w:t>
            </w:r>
          </w:p>
        </w:tc>
        <w:tc>
          <w:tcPr>
            <w:tcW w:type="dxa" w:w="1194"/>
            <w:shd w:val="clear" w:color="auto" w:fill="DCE4F2"/>
          </w:tcPr>
          <w:p>
            <w:pPr>
              <w:pStyle w:val="Compact"/>
              <w:spacing w:after="0" w:before="0" w:line="240" w:lineRule="auto"/>
              <w:jc w:val="right"/>
            </w:pPr>
            <w:r>
              <w:rPr>
                <w:rFonts w:ascii="Arial" w:hAnsi="Arial"/>
                <w:b/>
                <w:sz w:val="15"/>
              </w:rPr>
              <w:t xml:space="preserve">150.8</w:t>
            </w:r>
          </w:p>
        </w:tc>
        <w:tc>
          <w:tcPr>
            <w:tcW w:type="dxa" w:w="1228"/>
            <w:shd w:val="clear" w:color="auto" w:fill="DCE4F2"/>
          </w:tcPr>
          <w:p>
            <w:pPr>
              <w:pStyle w:val="Compact"/>
              <w:spacing w:after="0" w:before="0" w:line="240" w:lineRule="auto"/>
              <w:jc w:val="right"/>
            </w:pPr>
            <w:r>
              <w:rPr>
                <w:rFonts w:ascii="Arial" w:hAnsi="Arial"/>
                <w:b/>
                <w:sz w:val="15"/>
              </w:rPr>
              <w:t xml:space="preserve">–</w:t>
            </w:r>
          </w:p>
        </w:tc>
      </w:tr>
    </w:tbl>
    <w:p>
      <w:pPr>
        <w:pStyle w:val="BodyText"/>
      </w:pPr>
      <w:r>
        <w:rPr>
          <w:iCs/>
          <w:i/>
        </w:rPr>
        <w:t xml:space="preserve">Sources: tanshin FY3/22–FY3/26. *FY3/22 restated to exclude Scientific Solutions (Evident); FY3/24 restated to exclude Orthopaedics. Adjusted OP is the company’s measure (gross profit − SG&amp;A + equity-method P&amp;L); FY3/22–23 are recomputed by us [e]. Balance-sheet and cash-flow items are as originally reported. LTM per S&amp;P Capital IQ and our quarterly build [e].</w:t>
      </w:r>
    </w:p>
    <w:p>
      <w:pPr>
        <w:pStyle w:val="CaptionedFigure"/>
      </w:pPr>
      <w:r>
        <w:drawing>
          <wp:inline>
            <wp:extent cx="6261100" cy="2677747"/>
            <wp:effectExtent b="0" l="0" r="0" t="0"/>
            <wp:docPr descr="Revenue and operating margins, FY3/22–FY3/29E" title="" id="43" name="Picture"/>
            <a:graphic>
              <a:graphicData uri="http://schemas.openxmlformats.org/drawingml/2006/picture">
                <pic:pic>
                  <pic:nvPicPr>
                    <pic:cNvPr descr="../charts/fin_annual.png" id="44" name="Picture"/>
                    <pic:cNvPicPr>
                      <a:picLocks noChangeArrowheads="1" noChangeAspect="1"/>
                    </pic:cNvPicPr>
                  </pic:nvPicPr>
                  <pic:blipFill>
                    <a:blip r:embed="rId42"/>
                    <a:stretch>
                      <a:fillRect/>
                    </a:stretch>
                  </pic:blipFill>
                  <pic:spPr bwMode="auto">
                    <a:xfrm>
                      <a:off x="0" y="0"/>
                      <a:ext cx="6261100" cy="2677747"/>
                    </a:xfrm>
                    <a:prstGeom prst="rect">
                      <a:avLst/>
                    </a:prstGeom>
                    <a:noFill/>
                    <a:ln w="9525">
                      <a:noFill/>
                      <a:headEnd/>
                      <a:tailEnd/>
                    </a:ln>
                  </pic:spPr>
                </pic:pic>
              </a:graphicData>
            </a:graphic>
          </wp:inline>
        </w:drawing>
      </w:r>
    </w:p>
    <w:p>
      <w:pPr>
        <w:pStyle w:val="ImageCaption"/>
      </w:pPr>
      <w:r>
        <w:t xml:space="preserve">Revenue and operating margins, FY3/22–FY3/29E</w:t>
      </w:r>
    </w:p>
    <w:p>
      <w:pPr>
        <w:pStyle w:val="BodyText"/>
      </w:pPr>
      <w:r>
        <w:rPr>
          <w:bCs/>
          <w:b/>
        </w:rPr>
        <w:t xml:space="preserve">What the numbers say.</w:t>
      </w:r>
    </w:p>
    <w:p>
      <w:pPr>
        <w:numPr>
          <w:ilvl w:val="0"/>
          <w:numId w:val="1016"/>
        </w:numPr>
        <w:pStyle w:val="Compact"/>
      </w:pPr>
      <w:r>
        <w:rPr>
          <w:bCs/>
          <w:b/>
        </w:rPr>
        <w:t xml:space="preserve">Revenue grew 35% over four years, but mostly through FX.</w:t>
      </w:r>
      <w:r>
        <w:t xml:space="preserve"> </w:t>
      </w:r>
      <w:r>
        <w:t xml:space="preserve">Constant-currency growth averaged only ~2% a year from FY3/23 to FY3/26. The yen weakened from JPY112 to JPY151 per US$ over the period.</w:t>
      </w:r>
    </w:p>
    <w:p>
      <w:pPr>
        <w:numPr>
          <w:ilvl w:val="0"/>
          <w:numId w:val="1016"/>
        </w:numPr>
        <w:pStyle w:val="Compact"/>
      </w:pPr>
      <w:r>
        <w:rPr>
          <w:bCs/>
          <w:b/>
        </w:rPr>
        <w:t xml:space="preserve">Profitability has de-rated, not compounded.</w:t>
      </w:r>
      <w:r>
        <w:t xml:space="preserve"> </w:t>
      </w:r>
      <w:r>
        <w:t xml:space="preserve">Adjusted OP margin went from 20% to 14%. Management missed the May-2023 target of</w:t>
      </w:r>
      <w:r>
        <w:t xml:space="preserve"> </w:t>
      </w:r>
      <w:r>
        <w:t xml:space="preserve">“</w:t>
      </w:r>
      <w:r>
        <w:t xml:space="preserve">~20% by FY3/26</w:t>
      </w:r>
      <w:r>
        <w:t xml:space="preserve">”</w:t>
      </w:r>
      <w:r>
        <w:t xml:space="preserve"> </w:t>
      </w:r>
      <w:r>
        <w:t xml:space="preserve">by ~580bp.</w:t>
      </w:r>
    </w:p>
    <w:p>
      <w:pPr>
        <w:numPr>
          <w:ilvl w:val="0"/>
          <w:numId w:val="1016"/>
        </w:numPr>
        <w:pStyle w:val="Compact"/>
      </w:pPr>
      <w:r>
        <w:rPr>
          <w:bCs/>
          <w:b/>
        </w:rPr>
        <w:t xml:space="preserve">“</w:t>
      </w:r>
      <w:r>
        <w:rPr>
          <w:bCs/>
          <w:b/>
        </w:rPr>
        <w:t xml:space="preserve">One-offs</w:t>
      </w:r>
      <w:r>
        <w:rPr>
          <w:bCs/>
          <w:b/>
        </w:rPr>
        <w:t xml:space="preserve">”</w:t>
      </w:r>
      <w:r>
        <w:rPr>
          <w:bCs/>
          <w:b/>
        </w:rPr>
        <w:t xml:space="preserve"> </w:t>
      </w:r>
      <w:r>
        <w:rPr>
          <w:bCs/>
          <w:b/>
        </w:rPr>
        <w:t xml:space="preserve">recur every year.</w:t>
      </w:r>
      <w:r>
        <w:t xml:space="preserve"> </w:t>
      </w:r>
      <w:r>
        <w:t xml:space="preserve">Net other expense totalled ~JPY167bn over FY3/22–FY3/26 [e]. The main items:</w:t>
      </w:r>
    </w:p>
    <w:p>
      <w:pPr>
        <w:numPr>
          <w:ilvl w:val="1"/>
          <w:numId w:val="1017"/>
        </w:numPr>
        <w:pStyle w:val="Compact"/>
      </w:pPr>
      <w:r>
        <w:t xml:space="preserve">Veran (JPY52bn).</w:t>
      </w:r>
    </w:p>
    <w:p>
      <w:pPr>
        <w:numPr>
          <w:ilvl w:val="1"/>
          <w:numId w:val="1017"/>
        </w:numPr>
        <w:pStyle w:val="Compact"/>
      </w:pPr>
      <w:r>
        <w:t xml:space="preserve">Quality remediation (JPY23bn in FY3/24, ~JPY10bn below the line in FY3/26).</w:t>
      </w:r>
    </w:p>
    <w:p>
      <w:pPr>
        <w:numPr>
          <w:ilvl w:val="1"/>
          <w:numId w:val="1017"/>
        </w:numPr>
        <w:pStyle w:val="Compact"/>
      </w:pPr>
      <w:r>
        <w:t xml:space="preserve">Restructuring (JPY27bn in FY3/26).</w:t>
      </w:r>
    </w:p>
    <w:p>
      <w:pPr>
        <w:numPr>
          <w:ilvl w:val="1"/>
          <w:numId w:val="1017"/>
        </w:numPr>
        <w:pStyle w:val="Compact"/>
      </w:pPr>
      <w:r>
        <w:t xml:space="preserve">Impairments.</w:t>
      </w:r>
    </w:p>
    <w:p>
      <w:pPr>
        <w:numPr>
          <w:ilvl w:val="0"/>
          <w:numId w:val="1000"/>
        </w:numPr>
        <w:pStyle w:val="Compact"/>
      </w:pPr>
      <w:r>
        <w:t xml:space="preserve">Investors should treat part of this as a run-rate cost.</w:t>
      </w:r>
    </w:p>
    <w:bookmarkEnd w:id="45"/>
    <w:bookmarkStart w:id="46" w:name="exceptional-items-jpy-bn"/>
    <w:p>
      <w:pPr>
        <w:pStyle w:val="Heading2"/>
      </w:pPr>
      <w:r>
        <w:t xml:space="preserve">Exceptional items (JPY bn)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272"/>
        <w:gridCol w:w="7193"/>
        <w:gridCol w:w="1511"/>
      </w:tblGrid>
      <w:tr>
        <w:trPr>
          <w:tblHeader w:val="true"/>
          <w:tblHeader w:val="true"/>
          <w:cantSplit/>
        </w:trPr>
        <w:tc>
          <w:tcPr>
            <w:tcW w:type="dxa" w:w="1273"/>
            <w:shd w:val="clear" w:color="auto" w:fill="13213F"/>
          </w:tcPr>
          <w:p>
            <w:pPr>
              <w:pStyle w:val="Compact"/>
              <w:spacing w:after="0" w:before="0" w:line="240" w:lineRule="auto"/>
              <w:jc w:val="left"/>
            </w:pPr>
            <w:r>
              <w:rPr>
                <w:rFonts w:ascii="Arial" w:hAnsi="Arial"/>
                <w:b/>
                <w:color w:val="FFFFFF"/>
                <w:sz w:val="15"/>
              </w:rPr>
              <w:t xml:space="preserve">Year</w:t>
            </w:r>
          </w:p>
        </w:tc>
        <w:tc>
          <w:tcPr>
            <w:tcW w:type="dxa" w:w="7193"/>
            <w:shd w:val="clear" w:color="auto" w:fill="13213F"/>
          </w:tcPr>
          <w:p>
            <w:pPr>
              <w:pStyle w:val="Compact"/>
              <w:spacing w:after="0" w:before="0" w:line="240" w:lineRule="auto"/>
              <w:jc w:val="left"/>
            </w:pPr>
            <w:r>
              <w:rPr>
                <w:rFonts w:ascii="Arial" w:hAnsi="Arial"/>
                <w:b/>
                <w:color w:val="FFFFFF"/>
                <w:sz w:val="15"/>
              </w:rPr>
              <w:t xml:space="preserve">Item</w:t>
            </w:r>
          </w:p>
        </w:tc>
        <w:tc>
          <w:tcPr>
            <w:tcW w:type="dxa" w:w="1512"/>
            <w:shd w:val="clear" w:color="auto" w:fill="13213F"/>
          </w:tcPr>
          <w:p>
            <w:pPr>
              <w:pStyle w:val="Compact"/>
              <w:spacing w:after="0" w:before="0" w:line="240" w:lineRule="auto"/>
              <w:jc w:val="right"/>
            </w:pPr>
            <w:r>
              <w:rPr>
                <w:rFonts w:ascii="Arial" w:hAnsi="Arial"/>
                <w:b/>
                <w:color w:val="FFFFFF"/>
                <w:sz w:val="15"/>
              </w:rPr>
              <w:t xml:space="preserve">Amount</w:t>
            </w:r>
          </w:p>
        </w:tc>
      </w:tr>
      <w:tr>
        <w:trPr>
          <w:cantSplit/>
        </w:trPr>
        <w:tc>
          <w:tcPr>
            <w:tcW w:type="dxa" w:w="1273"/>
          </w:tcPr>
          <w:p>
            <w:pPr>
              <w:pStyle w:val="Compact"/>
              <w:spacing w:after="0" w:before="0" w:line="240" w:lineRule="auto"/>
              <w:jc w:val="left"/>
            </w:pPr>
            <w:r>
              <w:rPr>
                <w:rFonts w:ascii="Arial" w:hAnsi="Arial"/>
                <w:sz w:val="15"/>
              </w:rPr>
              <w:t xml:space="preserve">FY3/23</w:t>
            </w:r>
          </w:p>
        </w:tc>
        <w:tc>
          <w:tcPr>
            <w:tcW w:type="dxa" w:w="7193"/>
          </w:tcPr>
          <w:p>
            <w:pPr>
              <w:pStyle w:val="Compact"/>
              <w:spacing w:after="0" w:before="0" w:line="240" w:lineRule="auto"/>
              <w:jc w:val="left"/>
            </w:pPr>
            <w:r>
              <w:rPr>
                <w:rFonts w:ascii="Arial" w:hAnsi="Arial"/>
                <w:sz w:val="15"/>
              </w:rPr>
              <w:t xml:space="preserve">Gain on sale of Hatagaya (Tokyo) land</w:t>
            </w:r>
          </w:p>
        </w:tc>
        <w:tc>
          <w:tcPr>
            <w:tcW w:type="dxa" w:w="1512"/>
          </w:tcPr>
          <w:p>
            <w:pPr>
              <w:pStyle w:val="Compact"/>
              <w:spacing w:after="0" w:before="0" w:line="240" w:lineRule="auto"/>
              <w:jc w:val="right"/>
            </w:pPr>
            <w:r>
              <w:rPr>
                <w:rFonts w:ascii="Arial" w:hAnsi="Arial"/>
                <w:sz w:val="15"/>
              </w:rPr>
              <w:t xml:space="preserve">+16.4</w:t>
            </w:r>
          </w:p>
        </w:tc>
      </w:tr>
      <w:tr>
        <w:trPr>
          <w:cantSplit/>
        </w:trPr>
        <w:tc>
          <w:tcPr>
            <w:tcW w:type="dxa" w:w="1273"/>
            <w:shd w:val="clear" w:color="auto" w:fill="F1F2F5"/>
          </w:tcPr>
          <w:p>
            <w:pPr>
              <w:pStyle w:val="Compact"/>
              <w:spacing w:after="0" w:before="0" w:line="240" w:lineRule="auto"/>
              <w:jc w:val="left"/>
            </w:pPr>
            <w:r>
              <w:rPr>
                <w:rFonts w:ascii="Arial" w:hAnsi="Arial"/>
                <w:sz w:val="15"/>
              </w:rPr>
              <w:t xml:space="preserve">FY3/24</w:t>
            </w:r>
          </w:p>
        </w:tc>
        <w:tc>
          <w:tcPr>
            <w:tcW w:type="dxa" w:w="7193"/>
            <w:shd w:val="clear" w:color="auto" w:fill="F1F2F5"/>
          </w:tcPr>
          <w:p>
            <w:pPr>
              <w:pStyle w:val="Compact"/>
              <w:spacing w:after="0" w:before="0" w:line="240" w:lineRule="auto"/>
              <w:jc w:val="left"/>
            </w:pPr>
            <w:r>
              <w:rPr>
                <w:rFonts w:ascii="Arial" w:hAnsi="Arial"/>
                <w:sz w:val="15"/>
              </w:rPr>
              <w:t xml:space="preserve">Veran Medical exit (impairment 41.7, recall 7.8, inventory 2.3)</w:t>
            </w:r>
          </w:p>
        </w:tc>
        <w:tc>
          <w:tcPr>
            <w:tcW w:type="dxa" w:w="1512"/>
            <w:shd w:val="clear" w:color="auto" w:fill="F1F2F5"/>
          </w:tcPr>
          <w:p>
            <w:pPr>
              <w:pStyle w:val="Compact"/>
              <w:spacing w:after="0" w:before="0" w:line="240" w:lineRule="auto"/>
              <w:jc w:val="right"/>
            </w:pPr>
            <w:r>
              <w:rPr>
                <w:rFonts w:ascii="Arial" w:hAnsi="Arial"/>
                <w:sz w:val="15"/>
              </w:rPr>
              <w:t xml:space="preserve">(51.9)</w:t>
            </w:r>
          </w:p>
        </w:tc>
      </w:tr>
      <w:tr>
        <w:trPr>
          <w:cantSplit/>
        </w:trPr>
        <w:tc>
          <w:tcPr>
            <w:tcW w:type="dxa" w:w="1273"/>
          </w:tcPr>
          <w:p>
            <w:pPr>
              <w:pStyle w:val="Compact"/>
              <w:spacing w:after="0" w:before="0" w:line="240" w:lineRule="auto"/>
              <w:jc w:val="left"/>
            </w:pPr>
            <w:r>
              <w:rPr>
                <w:rFonts w:ascii="Arial" w:hAnsi="Arial"/>
                <w:sz w:val="15"/>
              </w:rPr>
              <w:t xml:space="preserve">FY3/24</w:t>
            </w:r>
          </w:p>
        </w:tc>
        <w:tc>
          <w:tcPr>
            <w:tcW w:type="dxa" w:w="7193"/>
          </w:tcPr>
          <w:p>
            <w:pPr>
              <w:pStyle w:val="Compact"/>
              <w:spacing w:after="0" w:before="0" w:line="240" w:lineRule="auto"/>
              <w:jc w:val="left"/>
            </w:pPr>
            <w:r>
              <w:rPr>
                <w:rFonts w:ascii="Arial" w:hAnsi="Arial"/>
                <w:sz w:val="15"/>
              </w:rPr>
              <w:t xml:space="preserve">Quality-related (FDA remediation,</w:t>
            </w:r>
            <w:r>
              <w:rPr>
                <w:rFonts w:ascii="Arial" w:hAnsi="Arial"/>
                <w:sz w:val="15"/>
              </w:rPr>
              <w:t xml:space="preserve"> </w:t>
            </w:r>
            <w:r>
              <w:rPr>
                <w:rFonts w:ascii="Arial" w:hAnsi="Arial"/>
                <w:sz w:val="15"/>
              </w:rPr>
              <w:t xml:space="preserve">“</w:t>
            </w:r>
            <w:r>
              <w:rPr>
                <w:rFonts w:ascii="Arial" w:hAnsi="Arial"/>
                <w:sz w:val="15"/>
              </w:rPr>
              <w:t xml:space="preserve">Elevate</w:t>
            </w:r>
            <w:r>
              <w:rPr>
                <w:rFonts w:ascii="Arial" w:hAnsi="Arial"/>
                <w:sz w:val="15"/>
              </w:rPr>
              <w:t xml:space="preserve">”</w:t>
            </w:r>
            <w:r>
              <w:rPr>
                <w:rFonts w:ascii="Arial" w:hAnsi="Arial"/>
                <w:sz w:val="15"/>
              </w:rPr>
              <w:t xml:space="preserve">) costs</w:t>
            </w:r>
          </w:p>
        </w:tc>
        <w:tc>
          <w:tcPr>
            <w:tcW w:type="dxa" w:w="1512"/>
          </w:tcPr>
          <w:p>
            <w:pPr>
              <w:pStyle w:val="Compact"/>
              <w:spacing w:after="0" w:before="0" w:line="240" w:lineRule="auto"/>
              <w:jc w:val="right"/>
            </w:pPr>
            <w:r>
              <w:rPr>
                <w:rFonts w:ascii="Arial" w:hAnsi="Arial"/>
                <w:sz w:val="15"/>
              </w:rPr>
              <w:t xml:space="preserve">(23.0)</w:t>
            </w:r>
          </w:p>
        </w:tc>
      </w:tr>
      <w:tr>
        <w:trPr>
          <w:cantSplit/>
        </w:trPr>
        <w:tc>
          <w:tcPr>
            <w:tcW w:type="dxa" w:w="1273"/>
            <w:shd w:val="clear" w:color="auto" w:fill="F1F2F5"/>
          </w:tcPr>
          <w:p>
            <w:pPr>
              <w:pStyle w:val="Compact"/>
              <w:spacing w:after="0" w:before="0" w:line="240" w:lineRule="auto"/>
              <w:jc w:val="left"/>
            </w:pPr>
            <w:r>
              <w:rPr>
                <w:rFonts w:ascii="Arial" w:hAnsi="Arial"/>
                <w:sz w:val="15"/>
              </w:rPr>
              <w:t xml:space="preserve">FY3/24</w:t>
            </w:r>
          </w:p>
        </w:tc>
        <w:tc>
          <w:tcPr>
            <w:tcW w:type="dxa" w:w="7193"/>
            <w:shd w:val="clear" w:color="auto" w:fill="F1F2F5"/>
          </w:tcPr>
          <w:p>
            <w:pPr>
              <w:pStyle w:val="Compact"/>
              <w:spacing w:after="0" w:before="0" w:line="240" w:lineRule="auto"/>
              <w:jc w:val="left"/>
            </w:pPr>
            <w:r>
              <w:rPr>
                <w:rFonts w:ascii="Arial" w:hAnsi="Arial"/>
                <w:sz w:val="15"/>
              </w:rPr>
              <w:t xml:space="preserve">Gain on transfer of Evident to Bain Capital (discontinued operations, after tax)</w:t>
            </w:r>
          </w:p>
        </w:tc>
        <w:tc>
          <w:tcPr>
            <w:tcW w:type="dxa" w:w="1512"/>
            <w:shd w:val="clear" w:color="auto" w:fill="F1F2F5"/>
          </w:tcPr>
          <w:p>
            <w:pPr>
              <w:pStyle w:val="Compact"/>
              <w:spacing w:after="0" w:before="0" w:line="240" w:lineRule="auto"/>
              <w:jc w:val="right"/>
            </w:pPr>
            <w:r>
              <w:rPr>
                <w:rFonts w:ascii="Arial" w:hAnsi="Arial"/>
                <w:sz w:val="15"/>
              </w:rPr>
              <w:t xml:space="preserve">+216.0</w:t>
            </w:r>
          </w:p>
        </w:tc>
      </w:tr>
      <w:tr>
        <w:trPr>
          <w:cantSplit/>
        </w:trPr>
        <w:tc>
          <w:tcPr>
            <w:tcW w:type="dxa" w:w="1273"/>
          </w:tcPr>
          <w:p>
            <w:pPr>
              <w:pStyle w:val="Compact"/>
              <w:spacing w:after="0" w:before="0" w:line="240" w:lineRule="auto"/>
              <w:jc w:val="left"/>
            </w:pPr>
            <w:r>
              <w:rPr>
                <w:rFonts w:ascii="Arial" w:hAnsi="Arial"/>
                <w:sz w:val="15"/>
              </w:rPr>
              <w:t xml:space="preserve">FY3/25</w:t>
            </w:r>
          </w:p>
        </w:tc>
        <w:tc>
          <w:tcPr>
            <w:tcW w:type="dxa" w:w="7193"/>
          </w:tcPr>
          <w:p>
            <w:pPr>
              <w:pStyle w:val="Compact"/>
              <w:spacing w:after="0" w:before="0" w:line="240" w:lineRule="auto"/>
              <w:jc w:val="left"/>
            </w:pPr>
            <w:r>
              <w:rPr>
                <w:rFonts w:ascii="Arial" w:hAnsi="Arial"/>
                <w:sz w:val="15"/>
              </w:rPr>
              <w:t xml:space="preserve">Career-support programme; impairments</w:t>
            </w:r>
          </w:p>
        </w:tc>
        <w:tc>
          <w:tcPr>
            <w:tcW w:type="dxa" w:w="1512"/>
          </w:tcPr>
          <w:p>
            <w:pPr>
              <w:pStyle w:val="Compact"/>
              <w:spacing w:after="0" w:before="0" w:line="240" w:lineRule="auto"/>
              <w:jc w:val="right"/>
            </w:pPr>
            <w:r>
              <w:rPr>
                <w:rFonts w:ascii="Arial" w:hAnsi="Arial"/>
                <w:sz w:val="15"/>
              </w:rPr>
              <w:t xml:space="preserve">(2.9); (3.6)</w:t>
            </w:r>
          </w:p>
        </w:tc>
      </w:tr>
      <w:tr>
        <w:trPr>
          <w:cantSplit/>
        </w:trPr>
        <w:tc>
          <w:tcPr>
            <w:tcW w:type="dxa" w:w="1273"/>
            <w:shd w:val="clear" w:color="auto" w:fill="F1F2F5"/>
          </w:tcPr>
          <w:p>
            <w:pPr>
              <w:pStyle w:val="Compact"/>
              <w:spacing w:after="0" w:before="0" w:line="240" w:lineRule="auto"/>
              <w:jc w:val="left"/>
            </w:pPr>
            <w:r>
              <w:rPr>
                <w:rFonts w:ascii="Arial" w:hAnsi="Arial"/>
                <w:sz w:val="15"/>
              </w:rPr>
              <w:t xml:space="preserve">FY3/26</w:t>
            </w:r>
          </w:p>
        </w:tc>
        <w:tc>
          <w:tcPr>
            <w:tcW w:type="dxa" w:w="7193"/>
            <w:shd w:val="clear" w:color="auto" w:fill="F1F2F5"/>
          </w:tcPr>
          <w:p>
            <w:pPr>
              <w:pStyle w:val="Compact"/>
              <w:spacing w:after="0" w:before="0" w:line="240" w:lineRule="auto"/>
              <w:jc w:val="left"/>
            </w:pPr>
            <w:r>
              <w:rPr>
                <w:rFonts w:ascii="Arial" w:hAnsi="Arial"/>
                <w:sz w:val="15"/>
              </w:rPr>
              <w:t xml:space="preserve">Global organisational reform (~2,000 positions)</w:t>
            </w:r>
          </w:p>
        </w:tc>
        <w:tc>
          <w:tcPr>
            <w:tcW w:type="dxa" w:w="1512"/>
            <w:shd w:val="clear" w:color="auto" w:fill="F1F2F5"/>
          </w:tcPr>
          <w:p>
            <w:pPr>
              <w:pStyle w:val="Compact"/>
              <w:spacing w:after="0" w:before="0" w:line="240" w:lineRule="auto"/>
              <w:jc w:val="right"/>
            </w:pPr>
            <w:r>
              <w:rPr>
                <w:rFonts w:ascii="Arial" w:hAnsi="Arial"/>
                <w:sz w:val="15"/>
              </w:rPr>
              <w:t xml:space="preserve">(26.9)</w:t>
            </w:r>
          </w:p>
        </w:tc>
      </w:tr>
      <w:tr>
        <w:trPr>
          <w:cantSplit/>
        </w:trPr>
        <w:tc>
          <w:tcPr>
            <w:tcW w:type="dxa" w:w="1273"/>
          </w:tcPr>
          <w:p>
            <w:pPr>
              <w:pStyle w:val="Compact"/>
              <w:spacing w:after="0" w:before="0" w:line="240" w:lineRule="auto"/>
              <w:jc w:val="left"/>
            </w:pPr>
            <w:r>
              <w:rPr>
                <w:rFonts w:ascii="Arial" w:hAnsi="Arial"/>
                <w:sz w:val="15"/>
              </w:rPr>
              <w:t xml:space="preserve">FY3/26</w:t>
            </w:r>
          </w:p>
        </w:tc>
        <w:tc>
          <w:tcPr>
            <w:tcW w:type="dxa" w:w="7193"/>
          </w:tcPr>
          <w:p>
            <w:pPr>
              <w:pStyle w:val="Compact"/>
              <w:spacing w:after="0" w:before="0" w:line="240" w:lineRule="auto"/>
              <w:jc w:val="left"/>
            </w:pPr>
            <w:r>
              <w:rPr>
                <w:rFonts w:ascii="Arial" w:hAnsi="Arial"/>
                <w:sz w:val="15"/>
              </w:rPr>
              <w:t xml:space="preserve">Elevate remediation (~half SG&amp;A, ~half other expenses)</w:t>
            </w:r>
          </w:p>
        </w:tc>
        <w:tc>
          <w:tcPr>
            <w:tcW w:type="dxa" w:w="1512"/>
          </w:tcPr>
          <w:p>
            <w:pPr>
              <w:pStyle w:val="Compact"/>
              <w:spacing w:after="0" w:before="0" w:line="240" w:lineRule="auto"/>
              <w:jc w:val="right"/>
            </w:pPr>
            <w:r>
              <w:rPr>
                <w:rFonts w:ascii="Arial" w:hAnsi="Arial"/>
                <w:sz w:val="15"/>
              </w:rPr>
              <w:t xml:space="preserve">(~20)</w:t>
            </w:r>
          </w:p>
        </w:tc>
      </w:tr>
      <w:tr>
        <w:trPr>
          <w:cantSplit/>
        </w:trPr>
        <w:tc>
          <w:tcPr>
            <w:tcW w:type="dxa" w:w="1273"/>
            <w:shd w:val="clear" w:color="auto" w:fill="F1F2F5"/>
          </w:tcPr>
          <w:p>
            <w:pPr>
              <w:pStyle w:val="Compact"/>
              <w:spacing w:after="0" w:before="0" w:line="240" w:lineRule="auto"/>
              <w:jc w:val="left"/>
            </w:pPr>
            <w:r>
              <w:rPr>
                <w:rFonts w:ascii="Arial" w:hAnsi="Arial"/>
                <w:sz w:val="15"/>
              </w:rPr>
              <w:t xml:space="preserve">FY3/26</w:t>
            </w:r>
          </w:p>
        </w:tc>
        <w:tc>
          <w:tcPr>
            <w:tcW w:type="dxa" w:w="7193"/>
            <w:shd w:val="clear" w:color="auto" w:fill="F1F2F5"/>
          </w:tcPr>
          <w:p>
            <w:pPr>
              <w:pStyle w:val="Compact"/>
              <w:spacing w:after="0" w:before="0" w:line="240" w:lineRule="auto"/>
              <w:jc w:val="left"/>
            </w:pPr>
            <w:r>
              <w:rPr>
                <w:rFonts w:ascii="Arial" w:hAnsi="Arial"/>
                <w:sz w:val="15"/>
              </w:rPr>
              <w:t xml:space="preserve">Impairments (development assets, SIS intangibles)</w:t>
            </w:r>
          </w:p>
        </w:tc>
        <w:tc>
          <w:tcPr>
            <w:tcW w:type="dxa" w:w="1512"/>
            <w:shd w:val="clear" w:color="auto" w:fill="F1F2F5"/>
          </w:tcPr>
          <w:p>
            <w:pPr>
              <w:pStyle w:val="Compact"/>
              <w:spacing w:after="0" w:before="0" w:line="240" w:lineRule="auto"/>
              <w:jc w:val="right"/>
            </w:pPr>
            <w:r>
              <w:rPr>
                <w:rFonts w:ascii="Arial" w:hAnsi="Arial"/>
                <w:sz w:val="15"/>
              </w:rPr>
              <w:t xml:space="preserve">(12.1)</w:t>
            </w:r>
          </w:p>
        </w:tc>
      </w:tr>
      <w:tr>
        <w:trPr>
          <w:cantSplit/>
        </w:trPr>
        <w:tc>
          <w:tcPr>
            <w:tcW w:type="dxa" w:w="1273"/>
          </w:tcPr>
          <w:p>
            <w:pPr>
              <w:pStyle w:val="Compact"/>
              <w:spacing w:after="0" w:before="0" w:line="240" w:lineRule="auto"/>
              <w:jc w:val="left"/>
            </w:pPr>
            <w:r>
              <w:rPr>
                <w:rFonts w:ascii="Arial" w:hAnsi="Arial"/>
                <w:sz w:val="15"/>
              </w:rPr>
              <w:t xml:space="preserve">FY3/26</w:t>
            </w:r>
          </w:p>
        </w:tc>
        <w:tc>
          <w:tcPr>
            <w:tcW w:type="dxa" w:w="7193"/>
          </w:tcPr>
          <w:p>
            <w:pPr>
              <w:pStyle w:val="Compact"/>
              <w:spacing w:after="0" w:before="0" w:line="240" w:lineRule="auto"/>
              <w:jc w:val="left"/>
            </w:pPr>
            <w:r>
              <w:rPr>
                <w:rFonts w:ascii="Arial" w:hAnsi="Arial"/>
                <w:sz w:val="15"/>
              </w:rPr>
              <w:t xml:space="preserve">Swan EndoSurgical JV equity-method loss</w:t>
            </w:r>
          </w:p>
        </w:tc>
        <w:tc>
          <w:tcPr>
            <w:tcW w:type="dxa" w:w="1512"/>
          </w:tcPr>
          <w:p>
            <w:pPr>
              <w:pStyle w:val="Compact"/>
              <w:spacing w:after="0" w:before="0" w:line="240" w:lineRule="auto"/>
              <w:jc w:val="right"/>
            </w:pPr>
            <w:r>
              <w:rPr>
                <w:rFonts w:ascii="Arial" w:hAnsi="Arial"/>
                <w:sz w:val="15"/>
              </w:rPr>
              <w:t xml:space="preserve">(~4.4)</w:t>
            </w:r>
          </w:p>
        </w:tc>
      </w:tr>
      <w:tr>
        <w:trPr>
          <w:cantSplit/>
        </w:trPr>
        <w:tc>
          <w:tcPr>
            <w:tcW w:type="dxa" w:w="1273"/>
            <w:shd w:val="clear" w:color="auto" w:fill="F1F2F5"/>
          </w:tcPr>
          <w:p>
            <w:pPr>
              <w:pStyle w:val="Compact"/>
              <w:spacing w:after="0" w:before="0" w:line="240" w:lineRule="auto"/>
              <w:jc w:val="left"/>
            </w:pPr>
            <w:r>
              <w:rPr>
                <w:rFonts w:ascii="Arial" w:hAnsi="Arial"/>
                <w:sz w:val="15"/>
              </w:rPr>
              <w:t xml:space="preserve">FY3/26</w:t>
            </w:r>
          </w:p>
        </w:tc>
        <w:tc>
          <w:tcPr>
            <w:tcW w:type="dxa" w:w="7193"/>
            <w:shd w:val="clear" w:color="auto" w:fill="F1F2F5"/>
          </w:tcPr>
          <w:p>
            <w:pPr>
              <w:pStyle w:val="Compact"/>
              <w:spacing w:after="0" w:before="0" w:line="240" w:lineRule="auto"/>
              <w:jc w:val="left"/>
            </w:pPr>
            <w:r>
              <w:rPr>
                <w:rFonts w:ascii="Arial" w:hAnsi="Arial"/>
                <w:sz w:val="15"/>
              </w:rPr>
              <w:t xml:space="preserve">US tariffs (in cost of sales; analyst figure, not disputed on the call)</w:t>
            </w:r>
          </w:p>
        </w:tc>
        <w:tc>
          <w:tcPr>
            <w:tcW w:type="dxa" w:w="1512"/>
            <w:shd w:val="clear" w:color="auto" w:fill="F1F2F5"/>
          </w:tcPr>
          <w:p>
            <w:pPr>
              <w:pStyle w:val="Compact"/>
              <w:spacing w:after="0" w:before="0" w:line="240" w:lineRule="auto"/>
              <w:jc w:val="right"/>
            </w:pPr>
            <w:r>
              <w:rPr>
                <w:rFonts w:ascii="Arial" w:hAnsi="Arial"/>
                <w:sz w:val="15"/>
              </w:rPr>
              <w:t xml:space="preserve">(~25)</w:t>
            </w:r>
          </w:p>
        </w:tc>
      </w:tr>
      <w:tr>
        <w:trPr>
          <w:cantSplit/>
        </w:trPr>
        <w:tc>
          <w:tcPr>
            <w:tcW w:type="dxa" w:w="1273"/>
          </w:tcPr>
          <w:p>
            <w:pPr>
              <w:pStyle w:val="Compact"/>
              <w:spacing w:after="0" w:before="0" w:line="240" w:lineRule="auto"/>
              <w:jc w:val="left"/>
            </w:pPr>
            <w:r>
              <w:rPr>
                <w:rFonts w:ascii="Arial" w:hAnsi="Arial"/>
                <w:sz w:val="15"/>
              </w:rPr>
              <w:t xml:space="preserve">FY3/26</w:t>
            </w:r>
          </w:p>
        </w:tc>
        <w:tc>
          <w:tcPr>
            <w:tcW w:type="dxa" w:w="7193"/>
          </w:tcPr>
          <w:p>
            <w:pPr>
              <w:pStyle w:val="Compact"/>
              <w:spacing w:after="0" w:before="0" w:line="240" w:lineRule="auto"/>
              <w:jc w:val="left"/>
            </w:pPr>
            <w:r>
              <w:rPr>
                <w:rFonts w:ascii="Arial" w:hAnsi="Arial"/>
                <w:sz w:val="15"/>
              </w:rPr>
              <w:t xml:space="preserve">Evident licence income (other income)</w:t>
            </w:r>
          </w:p>
        </w:tc>
        <w:tc>
          <w:tcPr>
            <w:tcW w:type="dxa" w:w="1512"/>
          </w:tcPr>
          <w:p>
            <w:pPr>
              <w:pStyle w:val="Compact"/>
              <w:spacing w:after="0" w:before="0" w:line="240" w:lineRule="auto"/>
              <w:jc w:val="right"/>
            </w:pPr>
            <w:r>
              <w:rPr>
                <w:rFonts w:ascii="Arial" w:hAnsi="Arial"/>
                <w:sz w:val="15"/>
              </w:rPr>
              <w:t xml:space="preserve">+6.0</w:t>
            </w:r>
          </w:p>
        </w:tc>
      </w:tr>
    </w:tbl>
    <w:bookmarkEnd w:id="46"/>
    <w:bookmarkStart w:id="50" w:name="X53a7be18ce1016d1fd5f53362943d7b4e0eba56"/>
    <w:p>
      <w:pPr>
        <w:pStyle w:val="Heading2"/>
      </w:pPr>
      <w:r>
        <w:t xml:space="preserve">Segment reporting: revenue, OP and EBITDA by division</w:t>
      </w:r>
    </w:p>
    <w:p>
      <w:pPr>
        <w:pStyle w:val="FirstParagraph"/>
      </w:pPr>
      <w:r>
        <w:rPr>
          <w:bCs/>
          <w:b/>
        </w:rPr>
        <w:t xml:space="preserve">(a) Old basis: Endoscopic Solutions (ESD) and Therapeutic Solutions (TSD), FY3/22–FY3/25</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961"/>
        <w:gridCol w:w="1761"/>
        <w:gridCol w:w="1761"/>
        <w:gridCol w:w="1754"/>
        <w:gridCol w:w="1740"/>
      </w:tblGrid>
      <w:tr>
        <w:trPr>
          <w:tblHeader w:val="true"/>
          <w:tblHeader w:val="true"/>
          <w:cantSplit/>
        </w:trPr>
        <w:tc>
          <w:tcPr>
            <w:tcW w:type="dxa" w:w="2961"/>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761"/>
            <w:shd w:val="clear" w:color="auto" w:fill="13213F"/>
          </w:tcPr>
          <w:p>
            <w:pPr>
              <w:pStyle w:val="Compact"/>
              <w:spacing w:after="0" w:before="0" w:line="240" w:lineRule="auto"/>
              <w:jc w:val="right"/>
            </w:pPr>
            <w:r>
              <w:rPr>
                <w:rFonts w:ascii="Arial" w:hAnsi="Arial"/>
                <w:b/>
                <w:color w:val="FFFFFF"/>
                <w:sz w:val="15"/>
              </w:rPr>
              <w:t xml:space="preserve">FY3/22</w:t>
            </w:r>
          </w:p>
        </w:tc>
        <w:tc>
          <w:tcPr>
            <w:tcW w:type="dxa" w:w="1761"/>
            <w:shd w:val="clear" w:color="auto" w:fill="13213F"/>
          </w:tcPr>
          <w:p>
            <w:pPr>
              <w:pStyle w:val="Compact"/>
              <w:spacing w:after="0" w:before="0" w:line="240" w:lineRule="auto"/>
              <w:jc w:val="right"/>
            </w:pPr>
            <w:r>
              <w:rPr>
                <w:rFonts w:ascii="Arial" w:hAnsi="Arial"/>
                <w:b/>
                <w:color w:val="FFFFFF"/>
                <w:sz w:val="15"/>
              </w:rPr>
              <w:t xml:space="preserve">FY3/23</w:t>
            </w:r>
          </w:p>
        </w:tc>
        <w:tc>
          <w:tcPr>
            <w:tcW w:type="dxa" w:w="1754"/>
            <w:shd w:val="clear" w:color="auto" w:fill="13213F"/>
          </w:tcPr>
          <w:p>
            <w:pPr>
              <w:pStyle w:val="Compact"/>
              <w:spacing w:after="0" w:before="0" w:line="240" w:lineRule="auto"/>
              <w:jc w:val="right"/>
            </w:pPr>
            <w:r>
              <w:rPr>
                <w:rFonts w:ascii="Arial" w:hAnsi="Arial"/>
                <w:b/>
                <w:color w:val="FFFFFF"/>
                <w:sz w:val="15"/>
              </w:rPr>
              <w:t xml:space="preserve">FY3/24</w:t>
            </w:r>
          </w:p>
        </w:tc>
        <w:tc>
          <w:tcPr>
            <w:tcW w:type="dxa" w:w="1740"/>
            <w:shd w:val="clear" w:color="auto" w:fill="13213F"/>
          </w:tcPr>
          <w:p>
            <w:pPr>
              <w:pStyle w:val="Compact"/>
              <w:spacing w:after="0" w:before="0" w:line="240" w:lineRule="auto"/>
              <w:jc w:val="right"/>
            </w:pPr>
            <w:r>
              <w:rPr>
                <w:rFonts w:ascii="Arial" w:hAnsi="Arial"/>
                <w:b/>
                <w:color w:val="FFFFFF"/>
                <w:sz w:val="15"/>
              </w:rPr>
              <w:t xml:space="preserve">FY3/25</w:t>
            </w:r>
          </w:p>
        </w:tc>
      </w:tr>
      <w:tr>
        <w:trPr>
          <w:cantSplit/>
        </w:trPr>
        <w:tc>
          <w:tcPr>
            <w:tcW w:type="dxa" w:w="2961"/>
          </w:tcPr>
          <w:p>
            <w:pPr>
              <w:pStyle w:val="Compact"/>
              <w:spacing w:after="0" w:before="0" w:line="240" w:lineRule="auto"/>
              <w:jc w:val="left"/>
            </w:pPr>
            <w:r>
              <w:rPr>
                <w:rFonts w:ascii="Arial" w:hAnsi="Arial"/>
                <w:sz w:val="15"/>
              </w:rPr>
              <w:t xml:space="preserve">ESD revenue</w:t>
            </w:r>
          </w:p>
        </w:tc>
        <w:tc>
          <w:tcPr>
            <w:tcW w:type="dxa" w:w="1761"/>
          </w:tcPr>
          <w:p>
            <w:pPr>
              <w:pStyle w:val="Compact"/>
              <w:spacing w:after="0" w:before="0" w:line="240" w:lineRule="auto"/>
              <w:jc w:val="right"/>
            </w:pPr>
            <w:r>
              <w:rPr>
                <w:rFonts w:ascii="Arial" w:hAnsi="Arial"/>
                <w:sz w:val="15"/>
              </w:rPr>
              <w:t xml:space="preserve">461.5</w:t>
            </w:r>
          </w:p>
        </w:tc>
        <w:tc>
          <w:tcPr>
            <w:tcW w:type="dxa" w:w="1761"/>
          </w:tcPr>
          <w:p>
            <w:pPr>
              <w:pStyle w:val="Compact"/>
              <w:spacing w:after="0" w:before="0" w:line="240" w:lineRule="auto"/>
              <w:jc w:val="right"/>
            </w:pPr>
            <w:r>
              <w:rPr>
                <w:rFonts w:ascii="Arial" w:hAnsi="Arial"/>
                <w:sz w:val="15"/>
              </w:rPr>
              <w:t xml:space="preserve">551.8</w:t>
            </w:r>
          </w:p>
        </w:tc>
        <w:tc>
          <w:tcPr>
            <w:tcW w:type="dxa" w:w="1754"/>
          </w:tcPr>
          <w:p>
            <w:pPr>
              <w:pStyle w:val="Compact"/>
              <w:spacing w:after="0" w:before="0" w:line="240" w:lineRule="auto"/>
              <w:jc w:val="right"/>
            </w:pPr>
            <w:r>
              <w:rPr>
                <w:rFonts w:ascii="Arial" w:hAnsi="Arial"/>
                <w:sz w:val="15"/>
              </w:rPr>
              <w:t xml:space="preserve">586.6</w:t>
            </w:r>
          </w:p>
        </w:tc>
        <w:tc>
          <w:tcPr>
            <w:tcW w:type="dxa" w:w="1740"/>
          </w:tcPr>
          <w:p>
            <w:pPr>
              <w:pStyle w:val="Compact"/>
              <w:spacing w:after="0" w:before="0" w:line="240" w:lineRule="auto"/>
              <w:jc w:val="right"/>
            </w:pPr>
            <w:r>
              <w:rPr>
                <w:rFonts w:ascii="Arial" w:hAnsi="Arial"/>
                <w:sz w:val="15"/>
              </w:rPr>
              <w:t xml:space="preserve">636.1</w:t>
            </w:r>
          </w:p>
        </w:tc>
      </w:tr>
      <w:tr>
        <w:trPr>
          <w:cantSplit/>
        </w:trPr>
        <w:tc>
          <w:tcPr>
            <w:tcW w:type="dxa" w:w="2961"/>
            <w:shd w:val="clear" w:color="auto" w:fill="F1F2F5"/>
          </w:tcPr>
          <w:p>
            <w:pPr>
              <w:pStyle w:val="Compact"/>
              <w:spacing w:after="0" w:before="0" w:line="240" w:lineRule="auto"/>
              <w:jc w:val="left"/>
            </w:pPr>
            <w:r>
              <w:rPr>
                <w:rFonts w:ascii="Arial" w:hAnsi="Arial"/>
                <w:sz w:val="15"/>
              </w:rPr>
              <w:t xml:space="preserve">ESD OP (margin)</w:t>
            </w:r>
          </w:p>
        </w:tc>
        <w:tc>
          <w:tcPr>
            <w:tcW w:type="dxa" w:w="1761"/>
            <w:shd w:val="clear" w:color="auto" w:fill="F1F2F5"/>
          </w:tcPr>
          <w:p>
            <w:pPr>
              <w:pStyle w:val="Compact"/>
              <w:spacing w:after="0" w:before="0" w:line="240" w:lineRule="auto"/>
              <w:jc w:val="right"/>
            </w:pPr>
            <w:r>
              <w:rPr>
                <w:rFonts w:ascii="Arial" w:hAnsi="Arial"/>
                <w:sz w:val="15"/>
              </w:rPr>
              <w:t xml:space="preserve">133.2 (28.9%)</w:t>
            </w:r>
          </w:p>
        </w:tc>
        <w:tc>
          <w:tcPr>
            <w:tcW w:type="dxa" w:w="1761"/>
            <w:shd w:val="clear" w:color="auto" w:fill="F1F2F5"/>
          </w:tcPr>
          <w:p>
            <w:pPr>
              <w:pStyle w:val="Compact"/>
              <w:spacing w:after="0" w:before="0" w:line="240" w:lineRule="auto"/>
              <w:jc w:val="right"/>
            </w:pPr>
            <w:r>
              <w:rPr>
                <w:rFonts w:ascii="Arial" w:hAnsi="Arial"/>
                <w:sz w:val="15"/>
              </w:rPr>
              <w:t xml:space="preserve">152.8 (27.7%)</w:t>
            </w:r>
          </w:p>
        </w:tc>
        <w:tc>
          <w:tcPr>
            <w:tcW w:type="dxa" w:w="1754"/>
            <w:shd w:val="clear" w:color="auto" w:fill="F1F2F5"/>
          </w:tcPr>
          <w:p>
            <w:pPr>
              <w:pStyle w:val="Compact"/>
              <w:spacing w:after="0" w:before="0" w:line="240" w:lineRule="auto"/>
              <w:jc w:val="right"/>
            </w:pPr>
            <w:r>
              <w:rPr>
                <w:rFonts w:ascii="Arial" w:hAnsi="Arial"/>
                <w:sz w:val="15"/>
              </w:rPr>
              <w:t xml:space="preserve">104.7 (17.8%)</w:t>
            </w:r>
          </w:p>
        </w:tc>
        <w:tc>
          <w:tcPr>
            <w:tcW w:type="dxa" w:w="1740"/>
            <w:shd w:val="clear" w:color="auto" w:fill="F1F2F5"/>
          </w:tcPr>
          <w:p>
            <w:pPr>
              <w:pStyle w:val="Compact"/>
              <w:spacing w:after="0" w:before="0" w:line="240" w:lineRule="auto"/>
              <w:jc w:val="right"/>
            </w:pPr>
            <w:r>
              <w:rPr>
                <w:rFonts w:ascii="Arial" w:hAnsi="Arial"/>
                <w:sz w:val="15"/>
              </w:rPr>
              <w:t xml:space="preserve">141.4 (22.2%)</w:t>
            </w:r>
          </w:p>
        </w:tc>
      </w:tr>
      <w:tr>
        <w:trPr>
          <w:cantSplit/>
        </w:trPr>
        <w:tc>
          <w:tcPr>
            <w:tcW w:type="dxa" w:w="2961"/>
          </w:tcPr>
          <w:p>
            <w:pPr>
              <w:pStyle w:val="Compact"/>
              <w:spacing w:after="0" w:before="0" w:line="240" w:lineRule="auto"/>
              <w:jc w:val="left"/>
            </w:pPr>
            <w:r>
              <w:rPr>
                <w:rFonts w:ascii="Arial" w:hAnsi="Arial"/>
                <w:sz w:val="15"/>
              </w:rPr>
              <w:t xml:space="preserve">ESD EBITDA (OP + D&amp;A) [e]</w:t>
            </w:r>
          </w:p>
        </w:tc>
        <w:tc>
          <w:tcPr>
            <w:tcW w:type="dxa" w:w="1761"/>
          </w:tcPr>
          <w:p>
            <w:pPr>
              <w:pStyle w:val="Compact"/>
              <w:spacing w:after="0" w:before="0" w:line="240" w:lineRule="auto"/>
              <w:jc w:val="right"/>
            </w:pPr>
            <w:r>
              <w:rPr>
                <w:rFonts w:ascii="Arial" w:hAnsi="Arial"/>
                <w:sz w:val="15"/>
              </w:rPr>
              <w:t xml:space="preserve">166.7</w:t>
            </w:r>
          </w:p>
        </w:tc>
        <w:tc>
          <w:tcPr>
            <w:tcW w:type="dxa" w:w="1761"/>
          </w:tcPr>
          <w:p>
            <w:pPr>
              <w:pStyle w:val="Compact"/>
              <w:spacing w:after="0" w:before="0" w:line="240" w:lineRule="auto"/>
              <w:jc w:val="right"/>
            </w:pPr>
            <w:r>
              <w:rPr>
                <w:rFonts w:ascii="Arial" w:hAnsi="Arial"/>
                <w:sz w:val="15"/>
              </w:rPr>
              <w:t xml:space="preserve">190.3</w:t>
            </w:r>
          </w:p>
        </w:tc>
        <w:tc>
          <w:tcPr>
            <w:tcW w:type="dxa" w:w="1754"/>
          </w:tcPr>
          <w:p>
            <w:pPr>
              <w:pStyle w:val="Compact"/>
              <w:spacing w:after="0" w:before="0" w:line="240" w:lineRule="auto"/>
              <w:jc w:val="right"/>
            </w:pPr>
            <w:r>
              <w:rPr>
                <w:rFonts w:ascii="Arial" w:hAnsi="Arial"/>
                <w:sz w:val="15"/>
              </w:rPr>
              <w:t xml:space="preserve">146.2</w:t>
            </w:r>
          </w:p>
        </w:tc>
        <w:tc>
          <w:tcPr>
            <w:tcW w:type="dxa" w:w="1740"/>
          </w:tcPr>
          <w:p>
            <w:pPr>
              <w:pStyle w:val="Compact"/>
              <w:spacing w:after="0" w:before="0" w:line="240" w:lineRule="auto"/>
              <w:jc w:val="right"/>
            </w:pPr>
            <w:r>
              <w:rPr>
                <w:rFonts w:ascii="Arial" w:hAnsi="Arial"/>
                <w:sz w:val="15"/>
              </w:rPr>
              <w:t xml:space="preserve">n/d</w:t>
            </w:r>
          </w:p>
        </w:tc>
      </w:tr>
      <w:tr>
        <w:trPr>
          <w:cantSplit/>
        </w:trPr>
        <w:tc>
          <w:tcPr>
            <w:tcW w:type="dxa" w:w="2961"/>
            <w:shd w:val="clear" w:color="auto" w:fill="F1F2F5"/>
          </w:tcPr>
          <w:p>
            <w:pPr>
              <w:pStyle w:val="Compact"/>
              <w:spacing w:after="0" w:before="0" w:line="240" w:lineRule="auto"/>
              <w:jc w:val="left"/>
            </w:pPr>
            <w:r>
              <w:rPr>
                <w:rFonts w:ascii="Arial" w:hAnsi="Arial"/>
                <w:sz w:val="15"/>
              </w:rPr>
              <w:t xml:space="preserve">TSD revenue</w:t>
            </w:r>
          </w:p>
        </w:tc>
        <w:tc>
          <w:tcPr>
            <w:tcW w:type="dxa" w:w="1761"/>
            <w:shd w:val="clear" w:color="auto" w:fill="F1F2F5"/>
          </w:tcPr>
          <w:p>
            <w:pPr>
              <w:pStyle w:val="Compact"/>
              <w:spacing w:after="0" w:before="0" w:line="240" w:lineRule="auto"/>
              <w:jc w:val="right"/>
            </w:pPr>
            <w:r>
              <w:rPr>
                <w:rFonts w:ascii="Arial" w:hAnsi="Arial"/>
                <w:sz w:val="15"/>
              </w:rPr>
              <w:t xml:space="preserve">275.6</w:t>
            </w:r>
          </w:p>
        </w:tc>
        <w:tc>
          <w:tcPr>
            <w:tcW w:type="dxa" w:w="1761"/>
            <w:shd w:val="clear" w:color="auto" w:fill="F1F2F5"/>
          </w:tcPr>
          <w:p>
            <w:pPr>
              <w:pStyle w:val="Compact"/>
              <w:spacing w:after="0" w:before="0" w:line="240" w:lineRule="auto"/>
              <w:jc w:val="right"/>
            </w:pPr>
            <w:r>
              <w:rPr>
                <w:rFonts w:ascii="Arial" w:hAnsi="Arial"/>
                <w:sz w:val="15"/>
              </w:rPr>
              <w:t xml:space="preserve">318.2</w:t>
            </w:r>
          </w:p>
        </w:tc>
        <w:tc>
          <w:tcPr>
            <w:tcW w:type="dxa" w:w="1754"/>
            <w:shd w:val="clear" w:color="auto" w:fill="F1F2F5"/>
          </w:tcPr>
          <w:p>
            <w:pPr>
              <w:pStyle w:val="Compact"/>
              <w:spacing w:after="0" w:before="0" w:line="240" w:lineRule="auto"/>
              <w:jc w:val="right"/>
            </w:pPr>
            <w:r>
              <w:rPr>
                <w:rFonts w:ascii="Arial" w:hAnsi="Arial"/>
                <w:sz w:val="15"/>
              </w:rPr>
              <w:t xml:space="preserve">337.3</w:t>
            </w:r>
          </w:p>
        </w:tc>
        <w:tc>
          <w:tcPr>
            <w:tcW w:type="dxa" w:w="1740"/>
            <w:shd w:val="clear" w:color="auto" w:fill="F1F2F5"/>
          </w:tcPr>
          <w:p>
            <w:pPr>
              <w:pStyle w:val="Compact"/>
              <w:spacing w:after="0" w:before="0" w:line="240" w:lineRule="auto"/>
              <w:jc w:val="right"/>
            </w:pPr>
            <w:r>
              <w:rPr>
                <w:rFonts w:ascii="Arial" w:hAnsi="Arial"/>
                <w:sz w:val="15"/>
              </w:rPr>
              <w:t xml:space="preserve">360.7</w:t>
            </w:r>
          </w:p>
        </w:tc>
      </w:tr>
      <w:tr>
        <w:trPr>
          <w:cantSplit/>
        </w:trPr>
        <w:tc>
          <w:tcPr>
            <w:tcW w:type="dxa" w:w="2961"/>
          </w:tcPr>
          <w:p>
            <w:pPr>
              <w:pStyle w:val="Compact"/>
              <w:spacing w:after="0" w:before="0" w:line="240" w:lineRule="auto"/>
              <w:jc w:val="left"/>
            </w:pPr>
            <w:r>
              <w:rPr>
                <w:rFonts w:ascii="Arial" w:hAnsi="Arial"/>
                <w:sz w:val="15"/>
              </w:rPr>
              <w:t xml:space="preserve">TSD OP (margin)</w:t>
            </w:r>
          </w:p>
        </w:tc>
        <w:tc>
          <w:tcPr>
            <w:tcW w:type="dxa" w:w="1761"/>
          </w:tcPr>
          <w:p>
            <w:pPr>
              <w:pStyle w:val="Compact"/>
              <w:spacing w:after="0" w:before="0" w:line="240" w:lineRule="auto"/>
              <w:jc w:val="right"/>
            </w:pPr>
            <w:r>
              <w:rPr>
                <w:rFonts w:ascii="Arial" w:hAnsi="Arial"/>
                <w:sz w:val="15"/>
              </w:rPr>
              <w:t xml:space="preserve">60.8 (22.1%)</w:t>
            </w:r>
          </w:p>
        </w:tc>
        <w:tc>
          <w:tcPr>
            <w:tcW w:type="dxa" w:w="1761"/>
          </w:tcPr>
          <w:p>
            <w:pPr>
              <w:pStyle w:val="Compact"/>
              <w:spacing w:after="0" w:before="0" w:line="240" w:lineRule="auto"/>
              <w:jc w:val="right"/>
            </w:pPr>
            <w:r>
              <w:rPr>
                <w:rFonts w:ascii="Arial" w:hAnsi="Arial"/>
                <w:sz w:val="15"/>
              </w:rPr>
              <w:t xml:space="preserve">63.7 (20.0%)</w:t>
            </w:r>
          </w:p>
        </w:tc>
        <w:tc>
          <w:tcPr>
            <w:tcW w:type="dxa" w:w="1754"/>
          </w:tcPr>
          <w:p>
            <w:pPr>
              <w:pStyle w:val="Compact"/>
              <w:spacing w:after="0" w:before="0" w:line="240" w:lineRule="auto"/>
              <w:jc w:val="right"/>
            </w:pPr>
            <w:r>
              <w:rPr>
                <w:rFonts w:ascii="Arial" w:hAnsi="Arial"/>
                <w:sz w:val="15"/>
              </w:rPr>
              <w:t xml:space="preserve">(8.5) (-2.5%)</w:t>
            </w:r>
          </w:p>
        </w:tc>
        <w:tc>
          <w:tcPr>
            <w:tcW w:type="dxa" w:w="1740"/>
          </w:tcPr>
          <w:p>
            <w:pPr>
              <w:pStyle w:val="Compact"/>
              <w:spacing w:after="0" w:before="0" w:line="240" w:lineRule="auto"/>
              <w:jc w:val="right"/>
            </w:pPr>
            <w:r>
              <w:rPr>
                <w:rFonts w:ascii="Arial" w:hAnsi="Arial"/>
                <w:sz w:val="15"/>
              </w:rPr>
              <w:t xml:space="preserve">61.5 (17.0%)</w:t>
            </w:r>
          </w:p>
        </w:tc>
      </w:tr>
      <w:tr>
        <w:trPr>
          <w:cantSplit/>
        </w:trPr>
        <w:tc>
          <w:tcPr>
            <w:tcW w:type="dxa" w:w="2961"/>
            <w:shd w:val="clear" w:color="auto" w:fill="F1F2F5"/>
          </w:tcPr>
          <w:p>
            <w:pPr>
              <w:pStyle w:val="Compact"/>
              <w:spacing w:after="0" w:before="0" w:line="240" w:lineRule="auto"/>
              <w:jc w:val="left"/>
            </w:pPr>
            <w:r>
              <w:rPr>
                <w:rFonts w:ascii="Arial" w:hAnsi="Arial"/>
                <w:sz w:val="15"/>
              </w:rPr>
              <w:t xml:space="preserve">TSD EBITDA (OP + D&amp;A) [e]</w:t>
            </w:r>
          </w:p>
        </w:tc>
        <w:tc>
          <w:tcPr>
            <w:tcW w:type="dxa" w:w="1761"/>
            <w:shd w:val="clear" w:color="auto" w:fill="F1F2F5"/>
          </w:tcPr>
          <w:p>
            <w:pPr>
              <w:pStyle w:val="Compact"/>
              <w:spacing w:after="0" w:before="0" w:line="240" w:lineRule="auto"/>
              <w:jc w:val="right"/>
            </w:pPr>
            <w:r>
              <w:rPr>
                <w:rFonts w:ascii="Arial" w:hAnsi="Arial"/>
                <w:sz w:val="15"/>
              </w:rPr>
              <w:t xml:space="preserve">77.7</w:t>
            </w:r>
          </w:p>
        </w:tc>
        <w:tc>
          <w:tcPr>
            <w:tcW w:type="dxa" w:w="1761"/>
            <w:shd w:val="clear" w:color="auto" w:fill="F1F2F5"/>
          </w:tcPr>
          <w:p>
            <w:pPr>
              <w:pStyle w:val="Compact"/>
              <w:spacing w:after="0" w:before="0" w:line="240" w:lineRule="auto"/>
              <w:jc w:val="right"/>
            </w:pPr>
            <w:r>
              <w:rPr>
                <w:rFonts w:ascii="Arial" w:hAnsi="Arial"/>
                <w:sz w:val="15"/>
              </w:rPr>
              <w:t xml:space="preserve">82.9</w:t>
            </w:r>
          </w:p>
        </w:tc>
        <w:tc>
          <w:tcPr>
            <w:tcW w:type="dxa" w:w="1754"/>
            <w:shd w:val="clear" w:color="auto" w:fill="F1F2F5"/>
          </w:tcPr>
          <w:p>
            <w:pPr>
              <w:pStyle w:val="Compact"/>
              <w:spacing w:after="0" w:before="0" w:line="240" w:lineRule="auto"/>
              <w:jc w:val="right"/>
            </w:pPr>
            <w:r>
              <w:rPr>
                <w:rFonts w:ascii="Arial" w:hAnsi="Arial"/>
                <w:sz w:val="15"/>
              </w:rPr>
              <w:t xml:space="preserve">9.7</w:t>
            </w:r>
          </w:p>
        </w:tc>
        <w:tc>
          <w:tcPr>
            <w:tcW w:type="dxa" w:w="1740"/>
            <w:shd w:val="clear" w:color="auto" w:fill="F1F2F5"/>
          </w:tcPr>
          <w:p>
            <w:pPr>
              <w:pStyle w:val="Compact"/>
              <w:spacing w:after="0" w:before="0" w:line="240" w:lineRule="auto"/>
              <w:jc w:val="right"/>
            </w:pPr>
            <w:r>
              <w:rPr>
                <w:rFonts w:ascii="Arial" w:hAnsi="Arial"/>
                <w:sz w:val="15"/>
              </w:rPr>
              <w:t xml:space="preserve">n/d</w:t>
            </w:r>
          </w:p>
        </w:tc>
      </w:tr>
      <w:tr>
        <w:trPr>
          <w:cantSplit/>
        </w:trPr>
        <w:tc>
          <w:tcPr>
            <w:tcW w:type="dxa" w:w="2961"/>
          </w:tcPr>
          <w:p>
            <w:pPr>
              <w:pStyle w:val="Compact"/>
              <w:spacing w:after="0" w:before="0" w:line="240" w:lineRule="auto"/>
              <w:jc w:val="left"/>
            </w:pPr>
            <w:r>
              <w:rPr>
                <w:rFonts w:ascii="Arial" w:hAnsi="Arial"/>
                <w:sz w:val="15"/>
              </w:rPr>
              <w:t xml:space="preserve">Corporate and other OP</w:t>
            </w:r>
          </w:p>
        </w:tc>
        <w:tc>
          <w:tcPr>
            <w:tcW w:type="dxa" w:w="1761"/>
          </w:tcPr>
          <w:p>
            <w:pPr>
              <w:pStyle w:val="Compact"/>
              <w:spacing w:after="0" w:before="0" w:line="240" w:lineRule="auto"/>
              <w:jc w:val="right"/>
            </w:pPr>
            <w:r>
              <w:rPr>
                <w:rFonts w:ascii="Arial" w:hAnsi="Arial"/>
                <w:sz w:val="15"/>
              </w:rPr>
              <w:t xml:space="preserve">(47.8)</w:t>
            </w:r>
          </w:p>
        </w:tc>
        <w:tc>
          <w:tcPr>
            <w:tcW w:type="dxa" w:w="1761"/>
          </w:tcPr>
          <w:p>
            <w:pPr>
              <w:pStyle w:val="Compact"/>
              <w:spacing w:after="0" w:before="0" w:line="240" w:lineRule="auto"/>
              <w:jc w:val="right"/>
            </w:pPr>
            <w:r>
              <w:rPr>
                <w:rFonts w:ascii="Arial" w:hAnsi="Arial"/>
                <w:sz w:val="15"/>
              </w:rPr>
              <w:t xml:space="preserve">(29.9)</w:t>
            </w:r>
          </w:p>
        </w:tc>
        <w:tc>
          <w:tcPr>
            <w:tcW w:type="dxa" w:w="1754"/>
          </w:tcPr>
          <w:p>
            <w:pPr>
              <w:pStyle w:val="Compact"/>
              <w:spacing w:after="0" w:before="0" w:line="240" w:lineRule="auto"/>
              <w:jc w:val="right"/>
            </w:pPr>
            <w:r>
              <w:rPr>
                <w:rFonts w:ascii="Arial" w:hAnsi="Arial"/>
                <w:sz w:val="15"/>
              </w:rPr>
              <w:t xml:space="preserve">(44.8)</w:t>
            </w:r>
          </w:p>
        </w:tc>
        <w:tc>
          <w:tcPr>
            <w:tcW w:type="dxa" w:w="1740"/>
          </w:tcPr>
          <w:p>
            <w:pPr>
              <w:pStyle w:val="Compact"/>
              <w:spacing w:after="0" w:before="0" w:line="240" w:lineRule="auto"/>
              <w:jc w:val="right"/>
            </w:pPr>
            <w:r>
              <w:rPr>
                <w:rFonts w:ascii="Arial" w:hAnsi="Arial"/>
                <w:sz w:val="15"/>
              </w:rPr>
              <w:t xml:space="preserve">(40.4)</w:t>
            </w:r>
          </w:p>
        </w:tc>
      </w:tr>
      <w:tr>
        <w:trPr>
          <w:cantSplit/>
        </w:trPr>
        <w:tc>
          <w:tcPr>
            <w:tcW w:type="dxa" w:w="2961"/>
            <w:shd w:val="clear" w:color="auto" w:fill="DCE4F2"/>
          </w:tcPr>
          <w:p>
            <w:pPr>
              <w:pStyle w:val="Compact"/>
              <w:spacing w:after="0" w:before="0" w:line="240" w:lineRule="auto"/>
              <w:jc w:val="left"/>
            </w:pPr>
            <w:r>
              <w:rPr>
                <w:bCs/>
                <w:rFonts w:ascii="Arial" w:hAnsi="Arial"/>
                <w:b/>
                <w:sz w:val="15"/>
              </w:rPr>
              <w:t xml:space="preserve">Group OP</w:t>
            </w:r>
          </w:p>
        </w:tc>
        <w:tc>
          <w:tcPr>
            <w:tcW w:type="dxa" w:w="1761"/>
            <w:shd w:val="clear" w:color="auto" w:fill="DCE4F2"/>
          </w:tcPr>
          <w:p>
            <w:pPr>
              <w:pStyle w:val="Compact"/>
              <w:spacing w:after="0" w:before="0" w:line="240" w:lineRule="auto"/>
              <w:jc w:val="right"/>
            </w:pPr>
            <w:r>
              <w:rPr>
                <w:bCs/>
                <w:rFonts w:ascii="Arial" w:hAnsi="Arial"/>
                <w:b/>
                <w:sz w:val="15"/>
              </w:rPr>
              <w:t xml:space="preserve">146.2</w:t>
            </w:r>
          </w:p>
        </w:tc>
        <w:tc>
          <w:tcPr>
            <w:tcW w:type="dxa" w:w="1761"/>
            <w:shd w:val="clear" w:color="auto" w:fill="DCE4F2"/>
          </w:tcPr>
          <w:p>
            <w:pPr>
              <w:pStyle w:val="Compact"/>
              <w:spacing w:after="0" w:before="0" w:line="240" w:lineRule="auto"/>
              <w:jc w:val="right"/>
            </w:pPr>
            <w:r>
              <w:rPr>
                <w:bCs/>
                <w:rFonts w:ascii="Arial" w:hAnsi="Arial"/>
                <w:b/>
                <w:sz w:val="15"/>
              </w:rPr>
              <w:t xml:space="preserve">186.6</w:t>
            </w:r>
          </w:p>
        </w:tc>
        <w:tc>
          <w:tcPr>
            <w:tcW w:type="dxa" w:w="1754"/>
            <w:shd w:val="clear" w:color="auto" w:fill="DCE4F2"/>
          </w:tcPr>
          <w:p>
            <w:pPr>
              <w:pStyle w:val="Compact"/>
              <w:spacing w:after="0" w:before="0" w:line="240" w:lineRule="auto"/>
              <w:jc w:val="right"/>
            </w:pPr>
            <w:r>
              <w:rPr>
                <w:bCs/>
                <w:rFonts w:ascii="Arial" w:hAnsi="Arial"/>
                <w:b/>
                <w:sz w:val="15"/>
              </w:rPr>
              <w:t xml:space="preserve">51.4</w:t>
            </w:r>
          </w:p>
        </w:tc>
        <w:tc>
          <w:tcPr>
            <w:tcW w:type="dxa" w:w="1740"/>
            <w:shd w:val="clear" w:color="auto" w:fill="DCE4F2"/>
          </w:tcPr>
          <w:p>
            <w:pPr>
              <w:pStyle w:val="Compact"/>
              <w:spacing w:after="0" w:before="0" w:line="240" w:lineRule="auto"/>
              <w:jc w:val="right"/>
            </w:pPr>
            <w:r>
              <w:rPr>
                <w:bCs/>
                <w:rFonts w:ascii="Arial" w:hAnsi="Arial"/>
                <w:b/>
                <w:sz w:val="15"/>
              </w:rPr>
              <w:t xml:space="preserve">162.5</w:t>
            </w:r>
          </w:p>
        </w:tc>
      </w:tr>
    </w:tbl>
    <w:p>
      <w:pPr>
        <w:pStyle w:val="BodyText"/>
      </w:pPr>
      <w:r>
        <w:rPr>
          <w:bCs/>
          <w:b/>
        </w:rPr>
        <w:t xml:space="preserve">(b) New basis: GIS and SIS (FY3/25 restated, FY3/26) and our forecasts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357"/>
        <w:gridCol w:w="1551"/>
        <w:gridCol w:w="1591"/>
        <w:gridCol w:w="1494"/>
        <w:gridCol w:w="1491"/>
        <w:gridCol w:w="1491"/>
      </w:tblGrid>
      <w:tr>
        <w:trPr>
          <w:tblHeader w:val="true"/>
          <w:tblHeader w:val="true"/>
          <w:cantSplit/>
        </w:trPr>
        <w:tc>
          <w:tcPr>
            <w:tcW w:type="dxa" w:w="2358"/>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551"/>
            <w:shd w:val="clear" w:color="auto" w:fill="13213F"/>
          </w:tcPr>
          <w:p>
            <w:pPr>
              <w:pStyle w:val="Compact"/>
              <w:spacing w:after="0" w:before="0" w:line="240" w:lineRule="auto"/>
              <w:jc w:val="right"/>
            </w:pPr>
            <w:r>
              <w:rPr>
                <w:rFonts w:ascii="Arial" w:hAnsi="Arial"/>
                <w:b/>
                <w:color w:val="FFFFFF"/>
                <w:sz w:val="15"/>
              </w:rPr>
              <w:t xml:space="preserve">FY3/25</w:t>
            </w:r>
          </w:p>
        </w:tc>
        <w:tc>
          <w:tcPr>
            <w:tcW w:type="dxa" w:w="1591"/>
            <w:shd w:val="clear" w:color="auto" w:fill="13213F"/>
          </w:tcPr>
          <w:p>
            <w:pPr>
              <w:pStyle w:val="Compact"/>
              <w:spacing w:after="0" w:before="0" w:line="240" w:lineRule="auto"/>
              <w:jc w:val="right"/>
            </w:pPr>
            <w:r>
              <w:rPr>
                <w:rFonts w:ascii="Arial" w:hAnsi="Arial"/>
                <w:b/>
                <w:color w:val="FFFFFF"/>
                <w:sz w:val="15"/>
              </w:rPr>
              <w:t xml:space="preserve">FY3/26</w:t>
            </w:r>
          </w:p>
        </w:tc>
        <w:tc>
          <w:tcPr>
            <w:tcW w:type="dxa" w:w="1495"/>
            <w:shd w:val="clear" w:color="auto" w:fill="13213F"/>
          </w:tcPr>
          <w:p>
            <w:pPr>
              <w:pStyle w:val="Compact"/>
              <w:spacing w:after="0" w:before="0" w:line="240" w:lineRule="auto"/>
              <w:jc w:val="right"/>
            </w:pPr>
            <w:r>
              <w:rPr>
                <w:rFonts w:ascii="Arial" w:hAnsi="Arial"/>
                <w:b/>
                <w:color w:val="FFFFFF"/>
                <w:sz w:val="15"/>
              </w:rPr>
              <w:t xml:space="preserve">FY3/27E</w:t>
            </w:r>
          </w:p>
        </w:tc>
        <w:tc>
          <w:tcPr>
            <w:tcW w:type="dxa" w:w="1491"/>
            <w:shd w:val="clear" w:color="auto" w:fill="13213F"/>
          </w:tcPr>
          <w:p>
            <w:pPr>
              <w:pStyle w:val="Compact"/>
              <w:spacing w:after="0" w:before="0" w:line="240" w:lineRule="auto"/>
              <w:jc w:val="right"/>
            </w:pPr>
            <w:r>
              <w:rPr>
                <w:rFonts w:ascii="Arial" w:hAnsi="Arial"/>
                <w:b/>
                <w:color w:val="FFFFFF"/>
                <w:sz w:val="15"/>
              </w:rPr>
              <w:t xml:space="preserve">FY3/28E</w:t>
            </w:r>
          </w:p>
        </w:tc>
        <w:tc>
          <w:tcPr>
            <w:tcW w:type="dxa" w:w="1491"/>
            <w:shd w:val="clear" w:color="auto" w:fill="13213F"/>
          </w:tcPr>
          <w:p>
            <w:pPr>
              <w:pStyle w:val="Compact"/>
              <w:spacing w:after="0" w:before="0" w:line="240" w:lineRule="auto"/>
              <w:jc w:val="right"/>
            </w:pPr>
            <w:r>
              <w:rPr>
                <w:rFonts w:ascii="Arial" w:hAnsi="Arial"/>
                <w:b/>
                <w:color w:val="FFFFFF"/>
                <w:sz w:val="15"/>
              </w:rPr>
              <w:t xml:space="preserve">FY3/29E</w:t>
            </w:r>
          </w:p>
        </w:tc>
      </w:tr>
      <w:tr>
        <w:trPr>
          <w:cantSplit/>
        </w:trPr>
        <w:tc>
          <w:tcPr>
            <w:tcW w:type="dxa" w:w="2358"/>
          </w:tcPr>
          <w:p>
            <w:pPr>
              <w:pStyle w:val="Compact"/>
              <w:spacing w:after="0" w:before="0" w:line="240" w:lineRule="auto"/>
              <w:jc w:val="left"/>
            </w:pPr>
            <w:r>
              <w:rPr>
                <w:rFonts w:ascii="Arial" w:hAnsi="Arial"/>
                <w:sz w:val="15"/>
              </w:rPr>
              <w:t xml:space="preserve">GIS revenue</w:t>
            </w:r>
          </w:p>
        </w:tc>
        <w:tc>
          <w:tcPr>
            <w:tcW w:type="dxa" w:w="1551"/>
          </w:tcPr>
          <w:p>
            <w:pPr>
              <w:pStyle w:val="Compact"/>
              <w:spacing w:after="0" w:before="0" w:line="240" w:lineRule="auto"/>
              <w:jc w:val="right"/>
            </w:pPr>
            <w:r>
              <w:rPr>
                <w:rFonts w:ascii="Arial" w:hAnsi="Arial"/>
                <w:sz w:val="15"/>
              </w:rPr>
              <w:t xml:space="preserve">674.0</w:t>
            </w:r>
          </w:p>
        </w:tc>
        <w:tc>
          <w:tcPr>
            <w:tcW w:type="dxa" w:w="1591"/>
          </w:tcPr>
          <w:p>
            <w:pPr>
              <w:pStyle w:val="Compact"/>
              <w:spacing w:after="0" w:before="0" w:line="240" w:lineRule="auto"/>
              <w:jc w:val="right"/>
            </w:pPr>
            <w:r>
              <w:rPr>
                <w:rFonts w:ascii="Arial" w:hAnsi="Arial"/>
                <w:sz w:val="15"/>
              </w:rPr>
              <w:t xml:space="preserve">697.4</w:t>
            </w:r>
          </w:p>
        </w:tc>
        <w:tc>
          <w:tcPr>
            <w:tcW w:type="dxa" w:w="1495"/>
          </w:tcPr>
          <w:p>
            <w:pPr>
              <w:pStyle w:val="Compact"/>
              <w:spacing w:after="0" w:before="0" w:line="240" w:lineRule="auto"/>
              <w:jc w:val="right"/>
            </w:pPr>
            <w:r>
              <w:rPr>
                <w:rFonts w:ascii="Arial" w:hAnsi="Arial"/>
                <w:sz w:val="15"/>
              </w:rPr>
              <w:t xml:space="preserve">744.8</w:t>
            </w:r>
          </w:p>
        </w:tc>
        <w:tc>
          <w:tcPr>
            <w:tcW w:type="dxa" w:w="1491"/>
          </w:tcPr>
          <w:p>
            <w:pPr>
              <w:pStyle w:val="Compact"/>
              <w:spacing w:after="0" w:before="0" w:line="240" w:lineRule="auto"/>
              <w:jc w:val="right"/>
            </w:pPr>
            <w:r>
              <w:rPr>
                <w:rFonts w:ascii="Arial" w:hAnsi="Arial"/>
                <w:sz w:val="15"/>
              </w:rPr>
              <w:t xml:space="preserve">782.1</w:t>
            </w:r>
          </w:p>
        </w:tc>
        <w:tc>
          <w:tcPr>
            <w:tcW w:type="dxa" w:w="1491"/>
          </w:tcPr>
          <w:p>
            <w:pPr>
              <w:pStyle w:val="Compact"/>
              <w:spacing w:after="0" w:before="0" w:line="240" w:lineRule="auto"/>
              <w:jc w:val="right"/>
            </w:pPr>
            <w:r>
              <w:rPr>
                <w:rFonts w:ascii="Arial" w:hAnsi="Arial"/>
                <w:sz w:val="15"/>
              </w:rPr>
              <w:t xml:space="preserve">825.1</w:t>
            </w:r>
          </w:p>
        </w:tc>
      </w:tr>
      <w:tr>
        <w:trPr>
          <w:cantSplit/>
        </w:trPr>
        <w:tc>
          <w:tcPr>
            <w:tcW w:type="dxa" w:w="2358"/>
            <w:shd w:val="clear" w:color="auto" w:fill="F1F2F5"/>
          </w:tcPr>
          <w:p>
            <w:pPr>
              <w:pStyle w:val="Compact"/>
              <w:spacing w:after="0" w:before="0" w:line="240" w:lineRule="auto"/>
              <w:jc w:val="left"/>
            </w:pPr>
            <w:r>
              <w:rPr>
                <w:rFonts w:ascii="Arial" w:hAnsi="Arial"/>
                <w:sz w:val="15"/>
              </w:rPr>
              <w:t xml:space="preserve">GIS OP (margin)</w:t>
            </w:r>
          </w:p>
        </w:tc>
        <w:tc>
          <w:tcPr>
            <w:tcW w:type="dxa" w:w="1551"/>
            <w:shd w:val="clear" w:color="auto" w:fill="F1F2F5"/>
          </w:tcPr>
          <w:p>
            <w:pPr>
              <w:pStyle w:val="Compact"/>
              <w:spacing w:after="0" w:before="0" w:line="240" w:lineRule="auto"/>
              <w:jc w:val="right"/>
            </w:pPr>
            <w:r>
              <w:rPr>
                <w:rFonts w:ascii="Arial" w:hAnsi="Arial"/>
                <w:sz w:val="15"/>
              </w:rPr>
              <w:t xml:space="preserve">171.4 (25.4%)</w:t>
            </w:r>
          </w:p>
        </w:tc>
        <w:tc>
          <w:tcPr>
            <w:tcW w:type="dxa" w:w="1591"/>
            <w:shd w:val="clear" w:color="auto" w:fill="F1F2F5"/>
          </w:tcPr>
          <w:p>
            <w:pPr>
              <w:pStyle w:val="Compact"/>
              <w:spacing w:after="0" w:before="0" w:line="240" w:lineRule="auto"/>
              <w:jc w:val="right"/>
            </w:pPr>
            <w:r>
              <w:rPr>
                <w:rFonts w:ascii="Arial" w:hAnsi="Arial"/>
                <w:sz w:val="15"/>
              </w:rPr>
              <w:t xml:space="preserve">136.4 (19.6%)</w:t>
            </w:r>
          </w:p>
        </w:tc>
        <w:tc>
          <w:tcPr>
            <w:tcW w:type="dxa" w:w="1495"/>
            <w:shd w:val="clear" w:color="auto" w:fill="F1F2F5"/>
          </w:tcPr>
          <w:p>
            <w:pPr>
              <w:pStyle w:val="Compact"/>
              <w:spacing w:after="0" w:before="0" w:line="240" w:lineRule="auto"/>
              <w:jc w:val="right"/>
            </w:pPr>
            <w:r>
              <w:rPr>
                <w:rFonts w:ascii="Arial" w:hAnsi="Arial"/>
                <w:sz w:val="15"/>
              </w:rPr>
              <w:t xml:space="preserve">167.6 (22.5%)</w:t>
            </w:r>
          </w:p>
        </w:tc>
        <w:tc>
          <w:tcPr>
            <w:tcW w:type="dxa" w:w="1491"/>
            <w:shd w:val="clear" w:color="auto" w:fill="F1F2F5"/>
          </w:tcPr>
          <w:p>
            <w:pPr>
              <w:pStyle w:val="Compact"/>
              <w:spacing w:after="0" w:before="0" w:line="240" w:lineRule="auto"/>
              <w:jc w:val="right"/>
            </w:pPr>
            <w:r>
              <w:rPr>
                <w:rFonts w:ascii="Arial" w:hAnsi="Arial"/>
                <w:sz w:val="15"/>
              </w:rPr>
              <w:t xml:space="preserve">187.7 (24.0%)</w:t>
            </w:r>
          </w:p>
        </w:tc>
        <w:tc>
          <w:tcPr>
            <w:tcW w:type="dxa" w:w="1491"/>
            <w:shd w:val="clear" w:color="auto" w:fill="F1F2F5"/>
          </w:tcPr>
          <w:p>
            <w:pPr>
              <w:pStyle w:val="Compact"/>
              <w:spacing w:after="0" w:before="0" w:line="240" w:lineRule="auto"/>
              <w:jc w:val="right"/>
            </w:pPr>
            <w:r>
              <w:rPr>
                <w:rFonts w:ascii="Arial" w:hAnsi="Arial"/>
                <w:sz w:val="15"/>
              </w:rPr>
              <w:t xml:space="preserve">206.3 (25.0%)</w:t>
            </w:r>
          </w:p>
        </w:tc>
      </w:tr>
      <w:tr>
        <w:trPr>
          <w:cantSplit/>
        </w:trPr>
        <w:tc>
          <w:tcPr>
            <w:tcW w:type="dxa" w:w="2358"/>
          </w:tcPr>
          <w:p>
            <w:pPr>
              <w:pStyle w:val="Compact"/>
              <w:spacing w:after="0" w:before="0" w:line="240" w:lineRule="auto"/>
              <w:jc w:val="left"/>
            </w:pPr>
            <w:r>
              <w:rPr>
                <w:rFonts w:ascii="Arial" w:hAnsi="Arial"/>
                <w:sz w:val="15"/>
              </w:rPr>
              <w:t xml:space="preserve">GIS D&amp;A</w:t>
            </w:r>
          </w:p>
        </w:tc>
        <w:tc>
          <w:tcPr>
            <w:tcW w:type="dxa" w:w="1551"/>
          </w:tcPr>
          <w:p>
            <w:pPr>
              <w:pStyle w:val="Compact"/>
              <w:spacing w:after="0" w:before="0" w:line="240" w:lineRule="auto"/>
              <w:jc w:val="right"/>
            </w:pPr>
            <w:r>
              <w:rPr>
                <w:rFonts w:ascii="Arial" w:hAnsi="Arial"/>
                <w:sz w:val="15"/>
              </w:rPr>
              <w:t xml:space="preserve">38.7</w:t>
            </w:r>
          </w:p>
        </w:tc>
        <w:tc>
          <w:tcPr>
            <w:tcW w:type="dxa" w:w="1591"/>
          </w:tcPr>
          <w:p>
            <w:pPr>
              <w:pStyle w:val="Compact"/>
              <w:spacing w:after="0" w:before="0" w:line="240" w:lineRule="auto"/>
              <w:jc w:val="right"/>
            </w:pPr>
            <w:r>
              <w:rPr>
                <w:rFonts w:ascii="Arial" w:hAnsi="Arial"/>
                <w:sz w:val="15"/>
              </w:rPr>
              <w:t xml:space="preserve">38.9</w:t>
            </w:r>
          </w:p>
        </w:tc>
        <w:tc>
          <w:tcPr>
            <w:tcW w:type="dxa" w:w="1495"/>
          </w:tcPr>
          <w:p>
            <w:pPr>
              <w:pStyle w:val="Compact"/>
              <w:spacing w:after="0" w:before="0" w:line="240" w:lineRule="auto"/>
              <w:jc w:val="right"/>
            </w:pPr>
            <w:r>
              <w:rPr>
                <w:rFonts w:ascii="Arial" w:hAnsi="Arial"/>
                <w:sz w:val="15"/>
              </w:rPr>
              <w:t xml:space="preserve">~41</w:t>
            </w:r>
          </w:p>
        </w:tc>
        <w:tc>
          <w:tcPr>
            <w:tcW w:type="dxa" w:w="1491"/>
          </w:tcPr>
          <w:p>
            <w:pPr>
              <w:pStyle w:val="Compact"/>
              <w:spacing w:after="0" w:before="0" w:line="240" w:lineRule="auto"/>
              <w:jc w:val="right"/>
            </w:pPr>
            <w:r>
              <w:rPr>
                <w:rFonts w:ascii="Arial" w:hAnsi="Arial"/>
                <w:sz w:val="15"/>
              </w:rPr>
              <w:t xml:space="preserve">~42</w:t>
            </w:r>
          </w:p>
        </w:tc>
        <w:tc>
          <w:tcPr>
            <w:tcW w:type="dxa" w:w="1491"/>
          </w:tcPr>
          <w:p>
            <w:pPr>
              <w:pStyle w:val="Compact"/>
              <w:spacing w:after="0" w:before="0" w:line="240" w:lineRule="auto"/>
              <w:jc w:val="right"/>
            </w:pPr>
            <w:r>
              <w:rPr>
                <w:rFonts w:ascii="Arial" w:hAnsi="Arial"/>
                <w:sz w:val="15"/>
              </w:rPr>
              <w:t xml:space="preserve">~44</w:t>
            </w:r>
          </w:p>
        </w:tc>
      </w:tr>
      <w:tr>
        <w:trPr>
          <w:cantSplit/>
        </w:trPr>
        <w:tc>
          <w:tcPr>
            <w:tcW w:type="dxa" w:w="2358"/>
            <w:shd w:val="clear" w:color="auto" w:fill="F1F2F5"/>
          </w:tcPr>
          <w:p>
            <w:pPr>
              <w:pStyle w:val="Compact"/>
              <w:spacing w:after="0" w:before="0" w:line="240" w:lineRule="auto"/>
              <w:jc w:val="left"/>
            </w:pPr>
            <w:r>
              <w:rPr>
                <w:rFonts w:ascii="Arial" w:hAnsi="Arial"/>
                <w:sz w:val="15"/>
              </w:rPr>
              <w:t xml:space="preserve">GIS EBITDA</w:t>
            </w:r>
          </w:p>
        </w:tc>
        <w:tc>
          <w:tcPr>
            <w:tcW w:type="dxa" w:w="1551"/>
            <w:shd w:val="clear" w:color="auto" w:fill="F1F2F5"/>
          </w:tcPr>
          <w:p>
            <w:pPr>
              <w:pStyle w:val="Compact"/>
              <w:spacing w:after="0" w:before="0" w:line="240" w:lineRule="auto"/>
              <w:jc w:val="right"/>
            </w:pPr>
            <w:r>
              <w:rPr>
                <w:rFonts w:ascii="Arial" w:hAnsi="Arial"/>
                <w:sz w:val="15"/>
              </w:rPr>
              <w:t xml:space="preserve">210.1</w:t>
            </w:r>
          </w:p>
        </w:tc>
        <w:tc>
          <w:tcPr>
            <w:tcW w:type="dxa" w:w="1591"/>
            <w:shd w:val="clear" w:color="auto" w:fill="F1F2F5"/>
          </w:tcPr>
          <w:p>
            <w:pPr>
              <w:pStyle w:val="Compact"/>
              <w:spacing w:after="0" w:before="0" w:line="240" w:lineRule="auto"/>
              <w:jc w:val="right"/>
            </w:pPr>
            <w:r>
              <w:rPr>
                <w:rFonts w:ascii="Arial" w:hAnsi="Arial"/>
                <w:sz w:val="15"/>
              </w:rPr>
              <w:t xml:space="preserve">175.3</w:t>
            </w:r>
          </w:p>
        </w:tc>
        <w:tc>
          <w:tcPr>
            <w:tcW w:type="dxa" w:w="1495"/>
            <w:shd w:val="clear" w:color="auto" w:fill="F1F2F5"/>
          </w:tcPr>
          <w:p>
            <w:pPr>
              <w:pStyle w:val="Compact"/>
              <w:spacing w:after="0" w:before="0" w:line="240" w:lineRule="auto"/>
              <w:jc w:val="right"/>
            </w:pPr>
            <w:r>
              <w:rPr>
                <w:rFonts w:ascii="Arial" w:hAnsi="Arial"/>
                <w:sz w:val="15"/>
              </w:rPr>
              <w:t xml:space="preserve">208.6</w:t>
            </w:r>
          </w:p>
        </w:tc>
        <w:tc>
          <w:tcPr>
            <w:tcW w:type="dxa" w:w="1491"/>
            <w:shd w:val="clear" w:color="auto" w:fill="F1F2F5"/>
          </w:tcPr>
          <w:p>
            <w:pPr>
              <w:pStyle w:val="Compact"/>
              <w:spacing w:after="0" w:before="0" w:line="240" w:lineRule="auto"/>
              <w:jc w:val="right"/>
            </w:pPr>
            <w:r>
              <w:rPr>
                <w:rFonts w:ascii="Arial" w:hAnsi="Arial"/>
                <w:sz w:val="15"/>
              </w:rPr>
              <w:t xml:space="preserve">~230</w:t>
            </w:r>
          </w:p>
        </w:tc>
        <w:tc>
          <w:tcPr>
            <w:tcW w:type="dxa" w:w="1491"/>
            <w:shd w:val="clear" w:color="auto" w:fill="F1F2F5"/>
          </w:tcPr>
          <w:p>
            <w:pPr>
              <w:pStyle w:val="Compact"/>
              <w:spacing w:after="0" w:before="0" w:line="240" w:lineRule="auto"/>
              <w:jc w:val="right"/>
            </w:pPr>
            <w:r>
              <w:rPr>
                <w:rFonts w:ascii="Arial" w:hAnsi="Arial"/>
                <w:sz w:val="15"/>
              </w:rPr>
              <w:t xml:space="preserve">~250</w:t>
            </w:r>
          </w:p>
        </w:tc>
      </w:tr>
      <w:tr>
        <w:trPr>
          <w:cantSplit/>
        </w:trPr>
        <w:tc>
          <w:tcPr>
            <w:tcW w:type="dxa" w:w="2358"/>
          </w:tcPr>
          <w:p>
            <w:pPr>
              <w:pStyle w:val="Compact"/>
              <w:spacing w:after="0" w:before="0" w:line="240" w:lineRule="auto"/>
              <w:jc w:val="left"/>
            </w:pPr>
            <w:r>
              <w:rPr>
                <w:rFonts w:ascii="Arial" w:hAnsi="Arial"/>
                <w:sz w:val="15"/>
              </w:rPr>
              <w:t xml:space="preserve">GIS capex</w:t>
            </w:r>
          </w:p>
        </w:tc>
        <w:tc>
          <w:tcPr>
            <w:tcW w:type="dxa" w:w="1551"/>
          </w:tcPr>
          <w:p>
            <w:pPr>
              <w:pStyle w:val="Compact"/>
              <w:spacing w:after="0" w:before="0" w:line="240" w:lineRule="auto"/>
              <w:jc w:val="right"/>
            </w:pPr>
            <w:r>
              <w:rPr>
                <w:rFonts w:ascii="Arial" w:hAnsi="Arial"/>
                <w:sz w:val="15"/>
              </w:rPr>
              <w:t xml:space="preserve">55.1</w:t>
            </w:r>
          </w:p>
        </w:tc>
        <w:tc>
          <w:tcPr>
            <w:tcW w:type="dxa" w:w="1591"/>
          </w:tcPr>
          <w:p>
            <w:pPr>
              <w:pStyle w:val="Compact"/>
              <w:spacing w:after="0" w:before="0" w:line="240" w:lineRule="auto"/>
              <w:jc w:val="right"/>
            </w:pPr>
            <w:r>
              <w:rPr>
                <w:rFonts w:ascii="Arial" w:hAnsi="Arial"/>
                <w:sz w:val="15"/>
              </w:rPr>
              <w:t xml:space="preserve">61.9</w:t>
            </w:r>
          </w:p>
        </w:tc>
        <w:tc>
          <w:tcPr>
            <w:tcW w:type="dxa" w:w="1495"/>
          </w:tcPr>
          <w:p>
            <w:pPr>
              <w:pStyle w:val="Compact"/>
              <w:spacing w:after="0" w:before="0" w:line="240" w:lineRule="auto"/>
              <w:jc w:val="right"/>
            </w:pPr>
            <w:r>
              <w:rPr>
                <w:rFonts w:ascii="Arial" w:hAnsi="Arial"/>
                <w:sz w:val="15"/>
              </w:rPr>
              <w:t xml:space="preserve">n/d</w:t>
            </w:r>
          </w:p>
        </w:tc>
        <w:tc>
          <w:tcPr>
            <w:tcW w:type="dxa" w:w="1491"/>
          </w:tcPr>
          <w:p>
            <w:pPr>
              <w:pStyle w:val="Compact"/>
              <w:spacing w:after="0" w:before="0" w:line="240" w:lineRule="auto"/>
              <w:jc w:val="right"/>
            </w:pPr>
            <w:r>
              <w:rPr>
                <w:rFonts w:ascii="Arial" w:hAnsi="Arial"/>
                <w:sz w:val="15"/>
              </w:rPr>
              <w:t xml:space="preserve">n/d</w:t>
            </w:r>
          </w:p>
        </w:tc>
        <w:tc>
          <w:tcPr>
            <w:tcW w:type="dxa" w:w="1491"/>
          </w:tcPr>
          <w:p>
            <w:pPr>
              <w:pStyle w:val="Compact"/>
              <w:spacing w:after="0" w:before="0" w:line="240" w:lineRule="auto"/>
              <w:jc w:val="right"/>
            </w:pPr>
            <w:r>
              <w:rPr>
                <w:rFonts w:ascii="Arial" w:hAnsi="Arial"/>
                <w:sz w:val="15"/>
              </w:rPr>
              <w:t xml:space="preserve">n/d</w:t>
            </w:r>
          </w:p>
        </w:tc>
      </w:tr>
      <w:tr>
        <w:trPr>
          <w:cantSplit/>
        </w:trPr>
        <w:tc>
          <w:tcPr>
            <w:tcW w:type="dxa" w:w="2358"/>
            <w:shd w:val="clear" w:color="auto" w:fill="F1F2F5"/>
          </w:tcPr>
          <w:p>
            <w:pPr>
              <w:pStyle w:val="Compact"/>
              <w:spacing w:after="0" w:before="0" w:line="240" w:lineRule="auto"/>
              <w:jc w:val="left"/>
            </w:pPr>
            <w:r>
              <w:rPr>
                <w:rFonts w:ascii="Arial" w:hAnsi="Arial"/>
                <w:sz w:val="15"/>
              </w:rPr>
              <w:t xml:space="preserve">SIS revenue</w:t>
            </w:r>
          </w:p>
        </w:tc>
        <w:tc>
          <w:tcPr>
            <w:tcW w:type="dxa" w:w="1551"/>
            <w:shd w:val="clear" w:color="auto" w:fill="F1F2F5"/>
          </w:tcPr>
          <w:p>
            <w:pPr>
              <w:pStyle w:val="Compact"/>
              <w:spacing w:after="0" w:before="0" w:line="240" w:lineRule="auto"/>
              <w:jc w:val="right"/>
            </w:pPr>
            <w:r>
              <w:rPr>
                <w:rFonts w:ascii="Arial" w:hAnsi="Arial"/>
                <w:sz w:val="15"/>
              </w:rPr>
              <w:t xml:space="preserve">322.8</w:t>
            </w:r>
          </w:p>
        </w:tc>
        <w:tc>
          <w:tcPr>
            <w:tcW w:type="dxa" w:w="1591"/>
            <w:shd w:val="clear" w:color="auto" w:fill="F1F2F5"/>
          </w:tcPr>
          <w:p>
            <w:pPr>
              <w:pStyle w:val="Compact"/>
              <w:spacing w:after="0" w:before="0" w:line="240" w:lineRule="auto"/>
              <w:jc w:val="right"/>
            </w:pPr>
            <w:r>
              <w:rPr>
                <w:rFonts w:ascii="Arial" w:hAnsi="Arial"/>
                <w:sz w:val="15"/>
              </w:rPr>
              <w:t xml:space="preserve">313.1</w:t>
            </w:r>
          </w:p>
        </w:tc>
        <w:tc>
          <w:tcPr>
            <w:tcW w:type="dxa" w:w="1495"/>
            <w:shd w:val="clear" w:color="auto" w:fill="F1F2F5"/>
          </w:tcPr>
          <w:p>
            <w:pPr>
              <w:pStyle w:val="Compact"/>
              <w:spacing w:after="0" w:before="0" w:line="240" w:lineRule="auto"/>
              <w:jc w:val="right"/>
            </w:pPr>
            <w:r>
              <w:rPr>
                <w:rFonts w:ascii="Arial" w:hAnsi="Arial"/>
                <w:sz w:val="15"/>
              </w:rPr>
              <w:t xml:space="preserve">326.9</w:t>
            </w:r>
          </w:p>
        </w:tc>
        <w:tc>
          <w:tcPr>
            <w:tcW w:type="dxa" w:w="1491"/>
            <w:shd w:val="clear" w:color="auto" w:fill="F1F2F5"/>
          </w:tcPr>
          <w:p>
            <w:pPr>
              <w:pStyle w:val="Compact"/>
              <w:spacing w:after="0" w:before="0" w:line="240" w:lineRule="auto"/>
              <w:jc w:val="right"/>
            </w:pPr>
            <w:r>
              <w:rPr>
                <w:rFonts w:ascii="Arial" w:hAnsi="Arial"/>
                <w:sz w:val="15"/>
              </w:rPr>
              <w:t xml:space="preserve">336.7</w:t>
            </w:r>
          </w:p>
        </w:tc>
        <w:tc>
          <w:tcPr>
            <w:tcW w:type="dxa" w:w="1491"/>
            <w:shd w:val="clear" w:color="auto" w:fill="F1F2F5"/>
          </w:tcPr>
          <w:p>
            <w:pPr>
              <w:pStyle w:val="Compact"/>
              <w:spacing w:after="0" w:before="0" w:line="240" w:lineRule="auto"/>
              <w:jc w:val="right"/>
            </w:pPr>
            <w:r>
              <w:rPr>
                <w:rFonts w:ascii="Arial" w:hAnsi="Arial"/>
                <w:sz w:val="15"/>
              </w:rPr>
              <w:t xml:space="preserve">348.5</w:t>
            </w:r>
          </w:p>
        </w:tc>
      </w:tr>
      <w:tr>
        <w:trPr>
          <w:cantSplit/>
        </w:trPr>
        <w:tc>
          <w:tcPr>
            <w:tcW w:type="dxa" w:w="2358"/>
          </w:tcPr>
          <w:p>
            <w:pPr>
              <w:pStyle w:val="Compact"/>
              <w:spacing w:after="0" w:before="0" w:line="240" w:lineRule="auto"/>
              <w:jc w:val="left"/>
            </w:pPr>
            <w:r>
              <w:rPr>
                <w:rFonts w:ascii="Arial" w:hAnsi="Arial"/>
                <w:sz w:val="15"/>
              </w:rPr>
              <w:t xml:space="preserve">SIS OP (margin)</w:t>
            </w:r>
          </w:p>
        </w:tc>
        <w:tc>
          <w:tcPr>
            <w:tcW w:type="dxa" w:w="1551"/>
          </w:tcPr>
          <w:p>
            <w:pPr>
              <w:pStyle w:val="Compact"/>
              <w:spacing w:after="0" w:before="0" w:line="240" w:lineRule="auto"/>
              <w:jc w:val="right"/>
            </w:pPr>
            <w:r>
              <w:rPr>
                <w:rFonts w:ascii="Arial" w:hAnsi="Arial"/>
                <w:sz w:val="15"/>
              </w:rPr>
              <w:t xml:space="preserve">15.3 (4.7%)</w:t>
            </w:r>
          </w:p>
        </w:tc>
        <w:tc>
          <w:tcPr>
            <w:tcW w:type="dxa" w:w="1591"/>
          </w:tcPr>
          <w:p>
            <w:pPr>
              <w:pStyle w:val="Compact"/>
              <w:spacing w:after="0" w:before="0" w:line="240" w:lineRule="auto"/>
              <w:jc w:val="right"/>
            </w:pPr>
            <w:r>
              <w:rPr>
                <w:rFonts w:ascii="Arial" w:hAnsi="Arial"/>
                <w:sz w:val="15"/>
              </w:rPr>
              <w:t xml:space="preserve">(15.0) (-4.8%)</w:t>
            </w:r>
          </w:p>
        </w:tc>
        <w:tc>
          <w:tcPr>
            <w:tcW w:type="dxa" w:w="1495"/>
          </w:tcPr>
          <w:p>
            <w:pPr>
              <w:pStyle w:val="Compact"/>
              <w:spacing w:after="0" w:before="0" w:line="240" w:lineRule="auto"/>
              <w:jc w:val="right"/>
            </w:pPr>
            <w:r>
              <w:rPr>
                <w:rFonts w:ascii="Arial" w:hAnsi="Arial"/>
                <w:sz w:val="15"/>
              </w:rPr>
              <w:t xml:space="preserve">1.6 (0.5%)</w:t>
            </w:r>
          </w:p>
        </w:tc>
        <w:tc>
          <w:tcPr>
            <w:tcW w:type="dxa" w:w="1491"/>
          </w:tcPr>
          <w:p>
            <w:pPr>
              <w:pStyle w:val="Compact"/>
              <w:spacing w:after="0" w:before="0" w:line="240" w:lineRule="auto"/>
              <w:jc w:val="right"/>
            </w:pPr>
            <w:r>
              <w:rPr>
                <w:rFonts w:ascii="Arial" w:hAnsi="Arial"/>
                <w:sz w:val="15"/>
              </w:rPr>
              <w:t xml:space="preserve">10.1 (3.0%)</w:t>
            </w:r>
          </w:p>
        </w:tc>
        <w:tc>
          <w:tcPr>
            <w:tcW w:type="dxa" w:w="1491"/>
          </w:tcPr>
          <w:p>
            <w:pPr>
              <w:pStyle w:val="Compact"/>
              <w:spacing w:after="0" w:before="0" w:line="240" w:lineRule="auto"/>
              <w:jc w:val="right"/>
            </w:pPr>
            <w:r>
              <w:rPr>
                <w:rFonts w:ascii="Arial" w:hAnsi="Arial"/>
                <w:sz w:val="15"/>
              </w:rPr>
              <w:t xml:space="preserve">17.4 (5.0%)</w:t>
            </w:r>
          </w:p>
        </w:tc>
      </w:tr>
      <w:tr>
        <w:trPr>
          <w:cantSplit/>
        </w:trPr>
        <w:tc>
          <w:tcPr>
            <w:tcW w:type="dxa" w:w="2358"/>
            <w:shd w:val="clear" w:color="auto" w:fill="F1F2F5"/>
          </w:tcPr>
          <w:p>
            <w:pPr>
              <w:pStyle w:val="Compact"/>
              <w:spacing w:after="0" w:before="0" w:line="240" w:lineRule="auto"/>
              <w:jc w:val="left"/>
            </w:pPr>
            <w:r>
              <w:rPr>
                <w:rFonts w:ascii="Arial" w:hAnsi="Arial"/>
                <w:sz w:val="15"/>
              </w:rPr>
              <w:t xml:space="preserve">SIS D&amp;A</w:t>
            </w:r>
          </w:p>
        </w:tc>
        <w:tc>
          <w:tcPr>
            <w:tcW w:type="dxa" w:w="1551"/>
            <w:shd w:val="clear" w:color="auto" w:fill="F1F2F5"/>
          </w:tcPr>
          <w:p>
            <w:pPr>
              <w:pStyle w:val="Compact"/>
              <w:spacing w:after="0" w:before="0" w:line="240" w:lineRule="auto"/>
              <w:jc w:val="right"/>
            </w:pPr>
            <w:r>
              <w:rPr>
                <w:rFonts w:ascii="Arial" w:hAnsi="Arial"/>
                <w:sz w:val="15"/>
              </w:rPr>
              <w:t xml:space="preserve">26.7</w:t>
            </w:r>
          </w:p>
        </w:tc>
        <w:tc>
          <w:tcPr>
            <w:tcW w:type="dxa" w:w="1591"/>
            <w:shd w:val="clear" w:color="auto" w:fill="F1F2F5"/>
          </w:tcPr>
          <w:p>
            <w:pPr>
              <w:pStyle w:val="Compact"/>
              <w:spacing w:after="0" w:before="0" w:line="240" w:lineRule="auto"/>
              <w:jc w:val="right"/>
            </w:pPr>
            <w:r>
              <w:rPr>
                <w:rFonts w:ascii="Arial" w:hAnsi="Arial"/>
                <w:sz w:val="15"/>
              </w:rPr>
              <w:t xml:space="preserve">27.4</w:t>
            </w:r>
          </w:p>
        </w:tc>
        <w:tc>
          <w:tcPr>
            <w:tcW w:type="dxa" w:w="1495"/>
            <w:shd w:val="clear" w:color="auto" w:fill="F1F2F5"/>
          </w:tcPr>
          <w:p>
            <w:pPr>
              <w:pStyle w:val="Compact"/>
              <w:spacing w:after="0" w:before="0" w:line="240" w:lineRule="auto"/>
              <w:jc w:val="right"/>
            </w:pPr>
            <w:r>
              <w:rPr>
                <w:rFonts w:ascii="Arial" w:hAnsi="Arial"/>
                <w:sz w:val="15"/>
              </w:rPr>
              <w:t xml:space="preserve">~29</w:t>
            </w:r>
          </w:p>
        </w:tc>
        <w:tc>
          <w:tcPr>
            <w:tcW w:type="dxa" w:w="1491"/>
            <w:shd w:val="clear" w:color="auto" w:fill="F1F2F5"/>
          </w:tcPr>
          <w:p>
            <w:pPr>
              <w:pStyle w:val="Compact"/>
              <w:spacing w:after="0" w:before="0" w:line="240" w:lineRule="auto"/>
              <w:jc w:val="right"/>
            </w:pPr>
            <w:r>
              <w:rPr>
                <w:rFonts w:ascii="Arial" w:hAnsi="Arial"/>
                <w:sz w:val="15"/>
              </w:rPr>
              <w:t xml:space="preserve">~30</w:t>
            </w:r>
          </w:p>
        </w:tc>
        <w:tc>
          <w:tcPr>
            <w:tcW w:type="dxa" w:w="1491"/>
            <w:shd w:val="clear" w:color="auto" w:fill="F1F2F5"/>
          </w:tcPr>
          <w:p>
            <w:pPr>
              <w:pStyle w:val="Compact"/>
              <w:spacing w:after="0" w:before="0" w:line="240" w:lineRule="auto"/>
              <w:jc w:val="right"/>
            </w:pPr>
            <w:r>
              <w:rPr>
                <w:rFonts w:ascii="Arial" w:hAnsi="Arial"/>
                <w:sz w:val="15"/>
              </w:rPr>
              <w:t xml:space="preserve">~30</w:t>
            </w:r>
          </w:p>
        </w:tc>
      </w:tr>
      <w:tr>
        <w:trPr>
          <w:cantSplit/>
        </w:trPr>
        <w:tc>
          <w:tcPr>
            <w:tcW w:type="dxa" w:w="2358"/>
          </w:tcPr>
          <w:p>
            <w:pPr>
              <w:pStyle w:val="Compact"/>
              <w:spacing w:after="0" w:before="0" w:line="240" w:lineRule="auto"/>
              <w:jc w:val="left"/>
            </w:pPr>
            <w:r>
              <w:rPr>
                <w:rFonts w:ascii="Arial" w:hAnsi="Arial"/>
                <w:sz w:val="15"/>
              </w:rPr>
              <w:t xml:space="preserve">SIS EBITDA</w:t>
            </w:r>
          </w:p>
        </w:tc>
        <w:tc>
          <w:tcPr>
            <w:tcW w:type="dxa" w:w="1551"/>
          </w:tcPr>
          <w:p>
            <w:pPr>
              <w:pStyle w:val="Compact"/>
              <w:spacing w:after="0" w:before="0" w:line="240" w:lineRule="auto"/>
              <w:jc w:val="right"/>
            </w:pPr>
            <w:r>
              <w:rPr>
                <w:rFonts w:ascii="Arial" w:hAnsi="Arial"/>
                <w:sz w:val="15"/>
              </w:rPr>
              <w:t xml:space="preserve">42.0</w:t>
            </w:r>
          </w:p>
        </w:tc>
        <w:tc>
          <w:tcPr>
            <w:tcW w:type="dxa" w:w="1591"/>
          </w:tcPr>
          <w:p>
            <w:pPr>
              <w:pStyle w:val="Compact"/>
              <w:spacing w:after="0" w:before="0" w:line="240" w:lineRule="auto"/>
              <w:jc w:val="right"/>
            </w:pPr>
            <w:r>
              <w:rPr>
                <w:rFonts w:ascii="Arial" w:hAnsi="Arial"/>
                <w:sz w:val="15"/>
              </w:rPr>
              <w:t xml:space="preserve">12.4</w:t>
            </w:r>
          </w:p>
        </w:tc>
        <w:tc>
          <w:tcPr>
            <w:tcW w:type="dxa" w:w="1495"/>
          </w:tcPr>
          <w:p>
            <w:pPr>
              <w:pStyle w:val="Compact"/>
              <w:spacing w:after="0" w:before="0" w:line="240" w:lineRule="auto"/>
              <w:jc w:val="right"/>
            </w:pPr>
            <w:r>
              <w:rPr>
                <w:rFonts w:ascii="Arial" w:hAnsi="Arial"/>
                <w:sz w:val="15"/>
              </w:rPr>
              <w:t xml:space="preserve">30.6</w:t>
            </w:r>
          </w:p>
        </w:tc>
        <w:tc>
          <w:tcPr>
            <w:tcW w:type="dxa" w:w="1491"/>
          </w:tcPr>
          <w:p>
            <w:pPr>
              <w:pStyle w:val="Compact"/>
              <w:spacing w:after="0" w:before="0" w:line="240" w:lineRule="auto"/>
              <w:jc w:val="right"/>
            </w:pPr>
            <w:r>
              <w:rPr>
                <w:rFonts w:ascii="Arial" w:hAnsi="Arial"/>
                <w:sz w:val="15"/>
              </w:rPr>
              <w:t xml:space="preserve">~40</w:t>
            </w:r>
          </w:p>
        </w:tc>
        <w:tc>
          <w:tcPr>
            <w:tcW w:type="dxa" w:w="1491"/>
          </w:tcPr>
          <w:p>
            <w:pPr>
              <w:pStyle w:val="Compact"/>
              <w:spacing w:after="0" w:before="0" w:line="240" w:lineRule="auto"/>
              <w:jc w:val="right"/>
            </w:pPr>
            <w:r>
              <w:rPr>
                <w:rFonts w:ascii="Arial" w:hAnsi="Arial"/>
                <w:sz w:val="15"/>
              </w:rPr>
              <w:t xml:space="preserve">~47</w:t>
            </w:r>
          </w:p>
        </w:tc>
      </w:tr>
      <w:tr>
        <w:trPr>
          <w:cantSplit/>
        </w:trPr>
        <w:tc>
          <w:tcPr>
            <w:tcW w:type="dxa" w:w="2358"/>
            <w:shd w:val="clear" w:color="auto" w:fill="F1F2F5"/>
          </w:tcPr>
          <w:p>
            <w:pPr>
              <w:pStyle w:val="Compact"/>
              <w:spacing w:after="0" w:before="0" w:line="240" w:lineRule="auto"/>
              <w:jc w:val="left"/>
            </w:pPr>
            <w:r>
              <w:rPr>
                <w:rFonts w:ascii="Arial" w:hAnsi="Arial"/>
                <w:sz w:val="15"/>
              </w:rPr>
              <w:t xml:space="preserve">SIS capex</w:t>
            </w:r>
          </w:p>
        </w:tc>
        <w:tc>
          <w:tcPr>
            <w:tcW w:type="dxa" w:w="1551"/>
            <w:shd w:val="clear" w:color="auto" w:fill="F1F2F5"/>
          </w:tcPr>
          <w:p>
            <w:pPr>
              <w:pStyle w:val="Compact"/>
              <w:spacing w:after="0" w:before="0" w:line="240" w:lineRule="auto"/>
              <w:jc w:val="right"/>
            </w:pPr>
            <w:r>
              <w:rPr>
                <w:rFonts w:ascii="Arial" w:hAnsi="Arial"/>
                <w:sz w:val="15"/>
              </w:rPr>
              <w:t xml:space="preserve">28.6</w:t>
            </w:r>
          </w:p>
        </w:tc>
        <w:tc>
          <w:tcPr>
            <w:tcW w:type="dxa" w:w="1591"/>
            <w:shd w:val="clear" w:color="auto" w:fill="F1F2F5"/>
          </w:tcPr>
          <w:p>
            <w:pPr>
              <w:pStyle w:val="Compact"/>
              <w:spacing w:after="0" w:before="0" w:line="240" w:lineRule="auto"/>
              <w:jc w:val="right"/>
            </w:pPr>
            <w:r>
              <w:rPr>
                <w:rFonts w:ascii="Arial" w:hAnsi="Arial"/>
                <w:sz w:val="15"/>
              </w:rPr>
              <w:t xml:space="preserve">29.5</w:t>
            </w:r>
          </w:p>
        </w:tc>
        <w:tc>
          <w:tcPr>
            <w:tcW w:type="dxa" w:w="1495"/>
            <w:shd w:val="clear" w:color="auto" w:fill="F1F2F5"/>
          </w:tcPr>
          <w:p>
            <w:pPr>
              <w:pStyle w:val="Compact"/>
              <w:spacing w:after="0" w:before="0" w:line="240" w:lineRule="auto"/>
              <w:jc w:val="right"/>
            </w:pPr>
            <w:r>
              <w:rPr>
                <w:rFonts w:ascii="Arial" w:hAnsi="Arial"/>
                <w:sz w:val="15"/>
              </w:rPr>
              <w:t xml:space="preserve">n/d</w:t>
            </w:r>
          </w:p>
        </w:tc>
        <w:tc>
          <w:tcPr>
            <w:tcW w:type="dxa" w:w="1491"/>
            <w:shd w:val="clear" w:color="auto" w:fill="F1F2F5"/>
          </w:tcPr>
          <w:p>
            <w:pPr>
              <w:pStyle w:val="Compact"/>
              <w:spacing w:after="0" w:before="0" w:line="240" w:lineRule="auto"/>
              <w:jc w:val="right"/>
            </w:pPr>
            <w:r>
              <w:rPr>
                <w:rFonts w:ascii="Arial" w:hAnsi="Arial"/>
                <w:sz w:val="15"/>
              </w:rPr>
              <w:t xml:space="preserve">n/d</w:t>
            </w:r>
          </w:p>
        </w:tc>
        <w:tc>
          <w:tcPr>
            <w:tcW w:type="dxa" w:w="1491"/>
            <w:shd w:val="clear" w:color="auto" w:fill="F1F2F5"/>
          </w:tcPr>
          <w:p>
            <w:pPr>
              <w:pStyle w:val="Compact"/>
              <w:spacing w:after="0" w:before="0" w:line="240" w:lineRule="auto"/>
              <w:jc w:val="right"/>
            </w:pPr>
            <w:r>
              <w:rPr>
                <w:rFonts w:ascii="Arial" w:hAnsi="Arial"/>
                <w:sz w:val="15"/>
              </w:rPr>
              <w:t xml:space="preserve">n/d</w:t>
            </w:r>
          </w:p>
        </w:tc>
      </w:tr>
      <w:tr>
        <w:trPr>
          <w:cantSplit/>
        </w:trPr>
        <w:tc>
          <w:tcPr>
            <w:tcW w:type="dxa" w:w="2358"/>
          </w:tcPr>
          <w:p>
            <w:pPr>
              <w:pStyle w:val="Compact"/>
              <w:spacing w:after="0" w:before="0" w:line="240" w:lineRule="auto"/>
              <w:jc w:val="left"/>
            </w:pPr>
            <w:r>
              <w:rPr>
                <w:rFonts w:ascii="Arial" w:hAnsi="Arial"/>
                <w:sz w:val="15"/>
              </w:rPr>
              <w:t xml:space="preserve">Corporate and other OP</w:t>
            </w:r>
          </w:p>
        </w:tc>
        <w:tc>
          <w:tcPr>
            <w:tcW w:type="dxa" w:w="1551"/>
          </w:tcPr>
          <w:p>
            <w:pPr>
              <w:pStyle w:val="Compact"/>
              <w:spacing w:after="0" w:before="0" w:line="240" w:lineRule="auto"/>
              <w:jc w:val="right"/>
            </w:pPr>
            <w:r>
              <w:rPr>
                <w:rFonts w:ascii="Arial" w:hAnsi="Arial"/>
                <w:sz w:val="15"/>
              </w:rPr>
              <w:t xml:space="preserve">(24.3)</w:t>
            </w:r>
          </w:p>
        </w:tc>
        <w:tc>
          <w:tcPr>
            <w:tcW w:type="dxa" w:w="1591"/>
          </w:tcPr>
          <w:p>
            <w:pPr>
              <w:pStyle w:val="Compact"/>
              <w:spacing w:after="0" w:before="0" w:line="240" w:lineRule="auto"/>
              <w:jc w:val="right"/>
            </w:pPr>
            <w:r>
              <w:rPr>
                <w:rFonts w:ascii="Arial" w:hAnsi="Arial"/>
                <w:sz w:val="15"/>
              </w:rPr>
              <w:t xml:space="preserve">(24.3)</w:t>
            </w:r>
          </w:p>
        </w:tc>
        <w:tc>
          <w:tcPr>
            <w:tcW w:type="dxa" w:w="1495"/>
          </w:tcPr>
          <w:p>
            <w:pPr>
              <w:pStyle w:val="Compact"/>
              <w:spacing w:after="0" w:before="0" w:line="240" w:lineRule="auto"/>
              <w:jc w:val="right"/>
            </w:pPr>
            <w:r>
              <w:rPr>
                <w:rFonts w:ascii="Arial" w:hAnsi="Arial"/>
                <w:sz w:val="15"/>
              </w:rPr>
              <w:t xml:space="preserve">(24.2)</w:t>
            </w:r>
          </w:p>
        </w:tc>
        <w:tc>
          <w:tcPr>
            <w:tcW w:type="dxa" w:w="1491"/>
          </w:tcPr>
          <w:p>
            <w:pPr>
              <w:pStyle w:val="Compact"/>
              <w:spacing w:after="0" w:before="0" w:line="240" w:lineRule="auto"/>
              <w:jc w:val="right"/>
            </w:pPr>
            <w:r>
              <w:rPr>
                <w:rFonts w:ascii="Arial" w:hAnsi="Arial"/>
                <w:sz w:val="15"/>
              </w:rPr>
              <w:t xml:space="preserve">(23.5)</w:t>
            </w:r>
          </w:p>
        </w:tc>
        <w:tc>
          <w:tcPr>
            <w:tcW w:type="dxa" w:w="1491"/>
          </w:tcPr>
          <w:p>
            <w:pPr>
              <w:pStyle w:val="Compact"/>
              <w:spacing w:after="0" w:before="0" w:line="240" w:lineRule="auto"/>
              <w:jc w:val="right"/>
            </w:pPr>
            <w:r>
              <w:rPr>
                <w:rFonts w:ascii="Arial" w:hAnsi="Arial"/>
                <w:sz w:val="15"/>
              </w:rPr>
              <w:t xml:space="preserve">(23.5)</w:t>
            </w:r>
          </w:p>
        </w:tc>
      </w:tr>
      <w:tr>
        <w:trPr>
          <w:cantSplit/>
        </w:trPr>
        <w:tc>
          <w:tcPr>
            <w:tcW w:type="dxa" w:w="2358"/>
            <w:shd w:val="clear" w:color="auto" w:fill="DCE4F2"/>
          </w:tcPr>
          <w:p>
            <w:pPr>
              <w:pStyle w:val="Compact"/>
              <w:spacing w:after="0" w:before="0" w:line="240" w:lineRule="auto"/>
              <w:jc w:val="left"/>
            </w:pPr>
            <w:r>
              <w:rPr>
                <w:bCs/>
                <w:rFonts w:ascii="Arial" w:hAnsi="Arial"/>
                <w:b/>
                <w:sz w:val="15"/>
              </w:rPr>
              <w:t xml:space="preserve">Group OP</w:t>
            </w:r>
          </w:p>
        </w:tc>
        <w:tc>
          <w:tcPr>
            <w:tcW w:type="dxa" w:w="1551"/>
            <w:shd w:val="clear" w:color="auto" w:fill="DCE4F2"/>
          </w:tcPr>
          <w:p>
            <w:pPr>
              <w:pStyle w:val="Compact"/>
              <w:spacing w:after="0" w:before="0" w:line="240" w:lineRule="auto"/>
              <w:jc w:val="right"/>
            </w:pPr>
            <w:r>
              <w:rPr>
                <w:bCs/>
                <w:rFonts w:ascii="Arial" w:hAnsi="Arial"/>
                <w:b/>
                <w:sz w:val="15"/>
              </w:rPr>
              <w:t xml:space="preserve">162.5</w:t>
            </w:r>
          </w:p>
        </w:tc>
        <w:tc>
          <w:tcPr>
            <w:tcW w:type="dxa" w:w="1591"/>
            <w:shd w:val="clear" w:color="auto" w:fill="DCE4F2"/>
          </w:tcPr>
          <w:p>
            <w:pPr>
              <w:pStyle w:val="Compact"/>
              <w:spacing w:after="0" w:before="0" w:line="240" w:lineRule="auto"/>
              <w:jc w:val="right"/>
            </w:pPr>
            <w:r>
              <w:rPr>
                <w:bCs/>
                <w:rFonts w:ascii="Arial" w:hAnsi="Arial"/>
                <w:b/>
                <w:sz w:val="15"/>
              </w:rPr>
              <w:t xml:space="preserve">97.1</w:t>
            </w:r>
          </w:p>
        </w:tc>
        <w:tc>
          <w:tcPr>
            <w:tcW w:type="dxa" w:w="1495"/>
            <w:shd w:val="clear" w:color="auto" w:fill="DCE4F2"/>
          </w:tcPr>
          <w:p>
            <w:pPr>
              <w:pStyle w:val="Compact"/>
              <w:spacing w:after="0" w:before="0" w:line="240" w:lineRule="auto"/>
              <w:jc w:val="right"/>
            </w:pPr>
            <w:r>
              <w:rPr>
                <w:bCs/>
                <w:rFonts w:ascii="Arial" w:hAnsi="Arial"/>
                <w:b/>
                <w:sz w:val="15"/>
              </w:rPr>
              <w:t xml:space="preserve">145.0</w:t>
            </w:r>
          </w:p>
        </w:tc>
        <w:tc>
          <w:tcPr>
            <w:tcW w:type="dxa" w:w="1491"/>
            <w:shd w:val="clear" w:color="auto" w:fill="DCE4F2"/>
          </w:tcPr>
          <w:p>
            <w:pPr>
              <w:pStyle w:val="Compact"/>
              <w:spacing w:after="0" w:before="0" w:line="240" w:lineRule="auto"/>
              <w:jc w:val="right"/>
            </w:pPr>
            <w:r>
              <w:rPr>
                <w:bCs/>
                <w:rFonts w:ascii="Arial" w:hAnsi="Arial"/>
                <w:b/>
                <w:sz w:val="15"/>
              </w:rPr>
              <w:t xml:space="preserve">174.3</w:t>
            </w:r>
          </w:p>
        </w:tc>
        <w:tc>
          <w:tcPr>
            <w:tcW w:type="dxa" w:w="1491"/>
            <w:shd w:val="clear" w:color="auto" w:fill="DCE4F2"/>
          </w:tcPr>
          <w:p>
            <w:pPr>
              <w:pStyle w:val="Compact"/>
              <w:spacing w:after="0" w:before="0" w:line="240" w:lineRule="auto"/>
              <w:jc w:val="right"/>
            </w:pPr>
            <w:r>
              <w:rPr>
                <w:bCs/>
                <w:rFonts w:ascii="Arial" w:hAnsi="Arial"/>
                <w:b/>
                <w:sz w:val="15"/>
              </w:rPr>
              <w:t xml:space="preserve">200.2</w:t>
            </w:r>
          </w:p>
        </w:tc>
      </w:tr>
      <w:tr>
        <w:trPr>
          <w:cantSplit/>
        </w:trPr>
        <w:tc>
          <w:tcPr>
            <w:tcW w:type="dxa" w:w="2358"/>
          </w:tcPr>
          <w:p>
            <w:pPr>
              <w:pStyle w:val="Compact"/>
              <w:spacing w:after="0" w:before="0" w:line="240" w:lineRule="auto"/>
              <w:jc w:val="left"/>
            </w:pPr>
            <w:r>
              <w:rPr>
                <w:rFonts w:ascii="Arial" w:hAnsi="Arial"/>
                <w:sz w:val="15"/>
              </w:rPr>
              <w:t xml:space="preserve">Segment assets GIS / SIS</w:t>
            </w:r>
          </w:p>
        </w:tc>
        <w:tc>
          <w:tcPr>
            <w:tcW w:type="dxa" w:w="1551"/>
          </w:tcPr>
          <w:p>
            <w:pPr>
              <w:pStyle w:val="Compact"/>
              <w:spacing w:after="0" w:before="0" w:line="240" w:lineRule="auto"/>
              <w:jc w:val="right"/>
            </w:pPr>
            <w:r>
              <w:rPr>
                <w:rFonts w:ascii="Arial" w:hAnsi="Arial"/>
                <w:sz w:val="15"/>
              </w:rPr>
              <w:t xml:space="preserve">604.3 / 500.1</w:t>
            </w:r>
          </w:p>
        </w:tc>
        <w:tc>
          <w:tcPr>
            <w:tcW w:type="dxa" w:w="1591"/>
          </w:tcPr>
          <w:p>
            <w:pPr>
              <w:pStyle w:val="Compact"/>
              <w:spacing w:after="0" w:before="0" w:line="240" w:lineRule="auto"/>
              <w:jc w:val="right"/>
            </w:pPr>
            <w:r>
              <w:rPr>
                <w:rFonts w:ascii="Arial" w:hAnsi="Arial"/>
                <w:sz w:val="15"/>
              </w:rPr>
              <w:t xml:space="preserve">735.1 / 555.2</w:t>
            </w:r>
          </w:p>
        </w:tc>
        <w:tc>
          <w:tcPr>
            <w:tcW w:type="dxa" w:w="1495"/>
          </w:tcPr>
          <w:p>
            <w:pPr>
              <w:pStyle w:val="Compact"/>
              <w:spacing w:after="0" w:before="0" w:line="240" w:lineRule="auto"/>
              <w:jc w:val="right"/>
            </w:pPr>
            <w:r>
              <w:rPr>
                <w:rFonts w:ascii="Arial" w:hAnsi="Arial"/>
                <w:sz w:val="15"/>
              </w:rPr>
              <w:t xml:space="preserve">–</w:t>
            </w:r>
          </w:p>
        </w:tc>
        <w:tc>
          <w:tcPr>
            <w:tcW w:type="dxa" w:w="1491"/>
          </w:tcPr>
          <w:p>
            <w:pPr>
              <w:pStyle w:val="Compact"/>
              <w:spacing w:after="0" w:before="0" w:line="240" w:lineRule="auto"/>
              <w:jc w:val="right"/>
            </w:pPr>
            <w:r>
              <w:rPr>
                <w:rFonts w:ascii="Arial" w:hAnsi="Arial"/>
                <w:sz w:val="15"/>
              </w:rPr>
              <w:t xml:space="preserve">–</w:t>
            </w:r>
          </w:p>
        </w:tc>
        <w:tc>
          <w:tcPr>
            <w:tcW w:type="dxa" w:w="1491"/>
          </w:tcPr>
          <w:p>
            <w:pPr>
              <w:pStyle w:val="Compact"/>
              <w:spacing w:after="0" w:before="0" w:line="240" w:lineRule="auto"/>
              <w:jc w:val="right"/>
            </w:pPr>
            <w:r>
              <w:rPr>
                <w:rFonts w:ascii="Arial" w:hAnsi="Arial"/>
                <w:sz w:val="15"/>
              </w:rPr>
              <w:t xml:space="preserve">–</w:t>
            </w:r>
          </w:p>
        </w:tc>
      </w:tr>
    </w:tbl>
    <w:p>
      <w:pPr>
        <w:pStyle w:val="BodyText"/>
      </w:pPr>
      <w:r>
        <w:rPr>
          <w:iCs/>
          <w:i/>
        </w:rPr>
        <w:t xml:space="preserve">Segment OP is IFRS OP including allocated other income and expenses. Net income by division is not disclosed; we do not allocate tax and finance costs. Forecasts are ours [e].</w:t>
      </w:r>
    </w:p>
    <w:p>
      <w:pPr>
        <w:pStyle w:val="BodyText"/>
      </w:pPr>
      <w:r>
        <w:rPr>
          <w:bCs/>
          <w:b/>
        </w:rPr>
        <w:t xml:space="preserve">SIS has the assets of a major business and the returns of a failing one.</w:t>
      </w:r>
      <w:r>
        <w:t xml:space="preserve"> </w:t>
      </w:r>
      <w:r>
        <w:t xml:space="preserve">It earned a JPY15bn loss on JPY555bn of segment assets (pre-tax ROA about -2.7% [e]). GIS earned JPY136bn on JPY735bn (~18.6%). This gap is the quantitative core of the strategic-review thesis.</w:t>
      </w:r>
    </w:p>
    <w:p>
      <w:pPr>
        <w:pStyle w:val="CaptionedFigure"/>
      </w:pPr>
      <w:r>
        <w:drawing>
          <wp:inline>
            <wp:extent cx="6261100" cy="2481146"/>
            <wp:effectExtent b="0" l="0" r="0" t="0"/>
            <wp:docPr descr="Segment revenue and OP margin" title="" id="48" name="Picture"/>
            <a:graphic>
              <a:graphicData uri="http://schemas.openxmlformats.org/drawingml/2006/picture">
                <pic:pic>
                  <pic:nvPicPr>
                    <pic:cNvPr descr="../charts/segments.png" id="49" name="Picture"/>
                    <pic:cNvPicPr>
                      <a:picLocks noChangeArrowheads="1" noChangeAspect="1"/>
                    </pic:cNvPicPr>
                  </pic:nvPicPr>
                  <pic:blipFill>
                    <a:blip r:embed="rId47"/>
                    <a:stretch>
                      <a:fillRect/>
                    </a:stretch>
                  </pic:blipFill>
                  <pic:spPr bwMode="auto">
                    <a:xfrm>
                      <a:off x="0" y="0"/>
                      <a:ext cx="6261100" cy="2481146"/>
                    </a:xfrm>
                    <a:prstGeom prst="rect">
                      <a:avLst/>
                    </a:prstGeom>
                    <a:noFill/>
                    <a:ln w="9525">
                      <a:noFill/>
                      <a:headEnd/>
                      <a:tailEnd/>
                    </a:ln>
                  </pic:spPr>
                </pic:pic>
              </a:graphicData>
            </a:graphic>
          </wp:inline>
        </w:drawing>
      </w:r>
    </w:p>
    <w:p>
      <w:pPr>
        <w:pStyle w:val="ImageCaption"/>
      </w:pPr>
      <w:r>
        <w:t xml:space="preserve">Segment revenue and OP margin</w:t>
      </w:r>
    </w:p>
    <w:bookmarkEnd w:id="50"/>
    <w:bookmarkStart w:id="51" w:name="X460bf913bd2f6fad845ec651ac6afe86be45da9"/>
    <w:p>
      <w:pPr>
        <w:pStyle w:val="Heading2"/>
      </w:pPr>
      <w:r>
        <w:t xml:space="preserve">Geography: revenue by customer location (JPY bn)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726"/>
        <w:gridCol w:w="1266"/>
        <w:gridCol w:w="983"/>
        <w:gridCol w:w="1600"/>
        <w:gridCol w:w="979"/>
        <w:gridCol w:w="1100"/>
        <w:gridCol w:w="1120"/>
        <w:gridCol w:w="1200"/>
      </w:tblGrid>
      <w:tr>
        <w:trPr>
          <w:tblHeader w:val="true"/>
          <w:tblHeader w:val="true"/>
          <w:cantSplit/>
        </w:trPr>
        <w:tc>
          <w:tcPr>
            <w:tcW w:type="dxa" w:w="1727"/>
            <w:shd w:val="clear" w:color="auto" w:fill="13213F"/>
          </w:tcPr>
          <w:p>
            <w:pPr>
              <w:pStyle w:val="Compact"/>
              <w:spacing w:after="0" w:before="0" w:line="240" w:lineRule="auto"/>
              <w:jc w:val="left"/>
            </w:pPr>
            <w:r>
              <w:rPr>
                <w:rFonts w:ascii="Arial" w:hAnsi="Arial"/>
                <w:b/>
                <w:color w:val="FFFFFF"/>
                <w:sz w:val="15"/>
              </w:rPr>
              <w:t xml:space="preserve">Region</w:t>
            </w:r>
          </w:p>
        </w:tc>
        <w:tc>
          <w:tcPr>
            <w:tcW w:type="dxa" w:w="1266"/>
            <w:shd w:val="clear" w:color="auto" w:fill="13213F"/>
          </w:tcPr>
          <w:p>
            <w:pPr>
              <w:pStyle w:val="Compact"/>
              <w:spacing w:after="0" w:before="0" w:line="240" w:lineRule="auto"/>
              <w:jc w:val="right"/>
            </w:pPr>
            <w:r>
              <w:rPr>
                <w:rFonts w:ascii="Arial" w:hAnsi="Arial"/>
                <w:b/>
                <w:color w:val="FFFFFF"/>
                <w:sz w:val="15"/>
              </w:rPr>
              <w:t xml:space="preserve">FY3/22 (incl. SSD)</w:t>
            </w:r>
          </w:p>
        </w:tc>
        <w:tc>
          <w:tcPr>
            <w:tcW w:type="dxa" w:w="983"/>
            <w:shd w:val="clear" w:color="auto" w:fill="13213F"/>
          </w:tcPr>
          <w:p>
            <w:pPr>
              <w:pStyle w:val="Compact"/>
              <w:spacing w:after="0" w:before="0" w:line="240" w:lineRule="auto"/>
              <w:jc w:val="right"/>
            </w:pPr>
            <w:r>
              <w:rPr>
                <w:rFonts w:ascii="Arial" w:hAnsi="Arial"/>
                <w:b/>
                <w:color w:val="FFFFFF"/>
                <w:sz w:val="15"/>
              </w:rPr>
              <w:t xml:space="preserve">FY3/23</w:t>
            </w:r>
          </w:p>
        </w:tc>
        <w:tc>
          <w:tcPr>
            <w:tcW w:type="dxa" w:w="1601"/>
            <w:shd w:val="clear" w:color="auto" w:fill="13213F"/>
          </w:tcPr>
          <w:p>
            <w:pPr>
              <w:pStyle w:val="Compact"/>
              <w:spacing w:after="0" w:before="0" w:line="240" w:lineRule="auto"/>
              <w:jc w:val="right"/>
            </w:pPr>
            <w:r>
              <w:rPr>
                <w:rFonts w:ascii="Arial" w:hAnsi="Arial"/>
                <w:b/>
                <w:color w:val="FFFFFF"/>
                <w:sz w:val="15"/>
              </w:rPr>
              <w:t xml:space="preserve">FY3/24 (restated)</w:t>
            </w:r>
          </w:p>
        </w:tc>
        <w:tc>
          <w:tcPr>
            <w:tcW w:type="dxa" w:w="979"/>
            <w:shd w:val="clear" w:color="auto" w:fill="13213F"/>
          </w:tcPr>
          <w:p>
            <w:pPr>
              <w:pStyle w:val="Compact"/>
              <w:spacing w:after="0" w:before="0" w:line="240" w:lineRule="auto"/>
              <w:jc w:val="right"/>
            </w:pPr>
            <w:r>
              <w:rPr>
                <w:rFonts w:ascii="Arial" w:hAnsi="Arial"/>
                <w:b/>
                <w:color w:val="FFFFFF"/>
                <w:sz w:val="15"/>
              </w:rPr>
              <w:t xml:space="preserve">FY3/25</w:t>
            </w:r>
          </w:p>
        </w:tc>
        <w:tc>
          <w:tcPr>
            <w:tcW w:type="dxa" w:w="1100"/>
            <w:shd w:val="clear" w:color="auto" w:fill="13213F"/>
          </w:tcPr>
          <w:p>
            <w:pPr>
              <w:pStyle w:val="Compact"/>
              <w:spacing w:after="0" w:before="0" w:line="240" w:lineRule="auto"/>
              <w:jc w:val="right"/>
            </w:pPr>
            <w:r>
              <w:rPr>
                <w:rFonts w:ascii="Arial" w:hAnsi="Arial"/>
                <w:b/>
                <w:color w:val="FFFFFF"/>
                <w:sz w:val="15"/>
              </w:rPr>
              <w:t xml:space="preserve">FY3/26</w:t>
            </w:r>
          </w:p>
        </w:tc>
        <w:tc>
          <w:tcPr>
            <w:tcW w:type="dxa" w:w="1121"/>
            <w:shd w:val="clear" w:color="auto" w:fill="13213F"/>
          </w:tcPr>
          <w:p>
            <w:pPr>
              <w:pStyle w:val="Compact"/>
              <w:spacing w:after="0" w:before="0" w:line="240" w:lineRule="auto"/>
              <w:jc w:val="right"/>
            </w:pPr>
            <w:r>
              <w:rPr>
                <w:rFonts w:ascii="Arial" w:hAnsi="Arial"/>
                <w:b/>
                <w:color w:val="FFFFFF"/>
                <w:sz w:val="15"/>
              </w:rPr>
              <w:t xml:space="preserve">FY3/26 share</w:t>
            </w:r>
          </w:p>
        </w:tc>
        <w:tc>
          <w:tcPr>
            <w:tcW w:type="dxa" w:w="1200"/>
            <w:shd w:val="clear" w:color="auto" w:fill="13213F"/>
          </w:tcPr>
          <w:p>
            <w:pPr>
              <w:pStyle w:val="Compact"/>
              <w:spacing w:after="0" w:before="0" w:line="240" w:lineRule="auto"/>
              <w:jc w:val="right"/>
            </w:pPr>
            <w:r>
              <w:rPr>
                <w:rFonts w:ascii="Arial" w:hAnsi="Arial"/>
                <w:b/>
                <w:color w:val="FFFFFF"/>
                <w:sz w:val="15"/>
              </w:rPr>
              <w:t xml:space="preserve">Change vs FY3/23</w:t>
            </w:r>
          </w:p>
        </w:tc>
      </w:tr>
      <w:tr>
        <w:trPr>
          <w:cantSplit/>
        </w:trPr>
        <w:tc>
          <w:tcPr>
            <w:tcW w:type="dxa" w:w="1727"/>
          </w:tcPr>
          <w:p>
            <w:pPr>
              <w:pStyle w:val="Compact"/>
              <w:spacing w:after="0" w:before="0" w:line="240" w:lineRule="auto"/>
              <w:jc w:val="left"/>
            </w:pPr>
            <w:r>
              <w:rPr>
                <w:rFonts w:ascii="Arial" w:hAnsi="Arial"/>
                <w:sz w:val="15"/>
              </w:rPr>
              <w:t xml:space="preserve">North America</w:t>
            </w:r>
          </w:p>
        </w:tc>
        <w:tc>
          <w:tcPr>
            <w:tcW w:type="dxa" w:w="1266"/>
          </w:tcPr>
          <w:p>
            <w:pPr>
              <w:pStyle w:val="Compact"/>
              <w:spacing w:after="0" w:before="0" w:line="240" w:lineRule="auto"/>
              <w:jc w:val="right"/>
            </w:pPr>
            <w:r>
              <w:rPr>
                <w:rFonts w:ascii="Arial" w:hAnsi="Arial"/>
                <w:sz w:val="15"/>
              </w:rPr>
              <w:t xml:space="preserve">293.4</w:t>
            </w:r>
          </w:p>
        </w:tc>
        <w:tc>
          <w:tcPr>
            <w:tcW w:type="dxa" w:w="983"/>
          </w:tcPr>
          <w:p>
            <w:pPr>
              <w:pStyle w:val="Compact"/>
              <w:spacing w:after="0" w:before="0" w:line="240" w:lineRule="auto"/>
              <w:jc w:val="right"/>
            </w:pPr>
            <w:r>
              <w:rPr>
                <w:rFonts w:ascii="Arial" w:hAnsi="Arial"/>
                <w:sz w:val="15"/>
              </w:rPr>
              <w:t xml:space="preserve">322.2</w:t>
            </w:r>
          </w:p>
        </w:tc>
        <w:tc>
          <w:tcPr>
            <w:tcW w:type="dxa" w:w="1601"/>
          </w:tcPr>
          <w:p>
            <w:pPr>
              <w:pStyle w:val="Compact"/>
              <w:spacing w:after="0" w:before="0" w:line="240" w:lineRule="auto"/>
              <w:jc w:val="right"/>
            </w:pPr>
            <w:r>
              <w:rPr>
                <w:rFonts w:ascii="Arial" w:hAnsi="Arial"/>
                <w:sz w:val="15"/>
              </w:rPr>
              <w:t xml:space="preserve">351.2</w:t>
            </w:r>
          </w:p>
        </w:tc>
        <w:tc>
          <w:tcPr>
            <w:tcW w:type="dxa" w:w="979"/>
          </w:tcPr>
          <w:p>
            <w:pPr>
              <w:pStyle w:val="Compact"/>
              <w:spacing w:after="0" w:before="0" w:line="240" w:lineRule="auto"/>
              <w:jc w:val="right"/>
            </w:pPr>
            <w:r>
              <w:rPr>
                <w:rFonts w:ascii="Arial" w:hAnsi="Arial"/>
                <w:sz w:val="15"/>
              </w:rPr>
              <w:t xml:space="preserve">413.9</w:t>
            </w:r>
          </w:p>
        </w:tc>
        <w:tc>
          <w:tcPr>
            <w:tcW w:type="dxa" w:w="1100"/>
          </w:tcPr>
          <w:p>
            <w:pPr>
              <w:pStyle w:val="Compact"/>
              <w:spacing w:after="0" w:before="0" w:line="240" w:lineRule="auto"/>
              <w:jc w:val="right"/>
            </w:pPr>
            <w:r>
              <w:rPr>
                <w:rFonts w:ascii="Arial" w:hAnsi="Arial"/>
                <w:sz w:val="15"/>
              </w:rPr>
              <w:t xml:space="preserve">405.5</w:t>
            </w:r>
          </w:p>
        </w:tc>
        <w:tc>
          <w:tcPr>
            <w:tcW w:type="dxa" w:w="1121"/>
          </w:tcPr>
          <w:p>
            <w:pPr>
              <w:pStyle w:val="Compact"/>
              <w:spacing w:after="0" w:before="0" w:line="240" w:lineRule="auto"/>
              <w:jc w:val="right"/>
            </w:pPr>
            <w:r>
              <w:rPr>
                <w:rFonts w:ascii="Arial" w:hAnsi="Arial"/>
                <w:sz w:val="15"/>
              </w:rPr>
              <w:t xml:space="preserve">40.1%</w:t>
            </w:r>
          </w:p>
        </w:tc>
        <w:tc>
          <w:tcPr>
            <w:tcW w:type="dxa" w:w="1200"/>
          </w:tcPr>
          <w:p>
            <w:pPr>
              <w:pStyle w:val="Compact"/>
              <w:spacing w:after="0" w:before="0" w:line="240" w:lineRule="auto"/>
              <w:jc w:val="right"/>
            </w:pPr>
            <w:r>
              <w:rPr>
                <w:rFonts w:ascii="Arial" w:hAnsi="Arial"/>
                <w:sz w:val="15"/>
              </w:rPr>
              <w:t xml:space="preserve">+26%</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Europe</w:t>
            </w:r>
          </w:p>
        </w:tc>
        <w:tc>
          <w:tcPr>
            <w:tcW w:type="dxa" w:w="1266"/>
            <w:shd w:val="clear" w:color="auto" w:fill="F1F2F5"/>
          </w:tcPr>
          <w:p>
            <w:pPr>
              <w:pStyle w:val="Compact"/>
              <w:spacing w:after="0" w:before="0" w:line="240" w:lineRule="auto"/>
              <w:jc w:val="right"/>
            </w:pPr>
            <w:r>
              <w:rPr>
                <w:rFonts w:ascii="Arial" w:hAnsi="Arial"/>
                <w:sz w:val="15"/>
              </w:rPr>
              <w:t xml:space="preserve">217.9</w:t>
            </w:r>
          </w:p>
        </w:tc>
        <w:tc>
          <w:tcPr>
            <w:tcW w:type="dxa" w:w="983"/>
            <w:shd w:val="clear" w:color="auto" w:fill="F1F2F5"/>
          </w:tcPr>
          <w:p>
            <w:pPr>
              <w:pStyle w:val="Compact"/>
              <w:spacing w:after="0" w:before="0" w:line="240" w:lineRule="auto"/>
              <w:jc w:val="right"/>
            </w:pPr>
            <w:r>
              <w:rPr>
                <w:rFonts w:ascii="Arial" w:hAnsi="Arial"/>
                <w:sz w:val="15"/>
              </w:rPr>
              <w:t xml:space="preserve">222.2</w:t>
            </w:r>
          </w:p>
        </w:tc>
        <w:tc>
          <w:tcPr>
            <w:tcW w:type="dxa" w:w="1601"/>
            <w:shd w:val="clear" w:color="auto" w:fill="F1F2F5"/>
          </w:tcPr>
          <w:p>
            <w:pPr>
              <w:pStyle w:val="Compact"/>
              <w:spacing w:after="0" w:before="0" w:line="240" w:lineRule="auto"/>
              <w:jc w:val="right"/>
            </w:pPr>
            <w:r>
              <w:rPr>
                <w:rFonts w:ascii="Arial" w:hAnsi="Arial"/>
                <w:sz w:val="15"/>
              </w:rPr>
              <w:t xml:space="preserve">236.6</w:t>
            </w:r>
          </w:p>
        </w:tc>
        <w:tc>
          <w:tcPr>
            <w:tcW w:type="dxa" w:w="979"/>
            <w:shd w:val="clear" w:color="auto" w:fill="F1F2F5"/>
          </w:tcPr>
          <w:p>
            <w:pPr>
              <w:pStyle w:val="Compact"/>
              <w:spacing w:after="0" w:before="0" w:line="240" w:lineRule="auto"/>
              <w:jc w:val="right"/>
            </w:pPr>
            <w:r>
              <w:rPr>
                <w:rFonts w:ascii="Arial" w:hAnsi="Arial"/>
                <w:sz w:val="15"/>
              </w:rPr>
              <w:t xml:space="preserve">254.6</w:t>
            </w:r>
          </w:p>
        </w:tc>
        <w:tc>
          <w:tcPr>
            <w:tcW w:type="dxa" w:w="1100"/>
            <w:shd w:val="clear" w:color="auto" w:fill="F1F2F5"/>
          </w:tcPr>
          <w:p>
            <w:pPr>
              <w:pStyle w:val="Compact"/>
              <w:spacing w:after="0" w:before="0" w:line="240" w:lineRule="auto"/>
              <w:jc w:val="right"/>
            </w:pPr>
            <w:r>
              <w:rPr>
                <w:rFonts w:ascii="Arial" w:hAnsi="Arial"/>
                <w:sz w:val="15"/>
              </w:rPr>
              <w:t xml:space="preserve">281.1</w:t>
            </w:r>
          </w:p>
        </w:tc>
        <w:tc>
          <w:tcPr>
            <w:tcW w:type="dxa" w:w="1121"/>
            <w:shd w:val="clear" w:color="auto" w:fill="F1F2F5"/>
          </w:tcPr>
          <w:p>
            <w:pPr>
              <w:pStyle w:val="Compact"/>
              <w:spacing w:after="0" w:before="0" w:line="240" w:lineRule="auto"/>
              <w:jc w:val="right"/>
            </w:pPr>
            <w:r>
              <w:rPr>
                <w:rFonts w:ascii="Arial" w:hAnsi="Arial"/>
                <w:sz w:val="15"/>
              </w:rPr>
              <w:t xml:space="preserve">27.8%</w:t>
            </w:r>
          </w:p>
        </w:tc>
        <w:tc>
          <w:tcPr>
            <w:tcW w:type="dxa" w:w="1200"/>
            <w:shd w:val="clear" w:color="auto" w:fill="F1F2F5"/>
          </w:tcPr>
          <w:p>
            <w:pPr>
              <w:pStyle w:val="Compact"/>
              <w:spacing w:after="0" w:before="0" w:line="240" w:lineRule="auto"/>
              <w:jc w:val="right"/>
            </w:pPr>
            <w:r>
              <w:rPr>
                <w:rFonts w:ascii="Arial" w:hAnsi="Arial"/>
                <w:sz w:val="15"/>
              </w:rPr>
              <w:t xml:space="preserve">+27%</w:t>
            </w:r>
          </w:p>
        </w:tc>
      </w:tr>
      <w:tr>
        <w:trPr>
          <w:cantSplit/>
        </w:trPr>
        <w:tc>
          <w:tcPr>
            <w:tcW w:type="dxa" w:w="1727"/>
          </w:tcPr>
          <w:p>
            <w:pPr>
              <w:pStyle w:val="Compact"/>
              <w:spacing w:after="0" w:before="0" w:line="240" w:lineRule="auto"/>
              <w:jc w:val="left"/>
            </w:pPr>
            <w:r>
              <w:rPr>
                <w:rFonts w:ascii="Arial" w:hAnsi="Arial"/>
                <w:sz w:val="15"/>
              </w:rPr>
              <w:t xml:space="preserve">Japan</w:t>
            </w:r>
          </w:p>
        </w:tc>
        <w:tc>
          <w:tcPr>
            <w:tcW w:type="dxa" w:w="1266"/>
          </w:tcPr>
          <w:p>
            <w:pPr>
              <w:pStyle w:val="Compact"/>
              <w:spacing w:after="0" w:before="0" w:line="240" w:lineRule="auto"/>
              <w:jc w:val="right"/>
            </w:pPr>
            <w:r>
              <w:rPr>
                <w:rFonts w:ascii="Arial" w:hAnsi="Arial"/>
                <w:sz w:val="15"/>
              </w:rPr>
              <w:t xml:space="preserve">135.2</w:t>
            </w:r>
          </w:p>
        </w:tc>
        <w:tc>
          <w:tcPr>
            <w:tcW w:type="dxa" w:w="983"/>
          </w:tcPr>
          <w:p>
            <w:pPr>
              <w:pStyle w:val="Compact"/>
              <w:spacing w:after="0" w:before="0" w:line="240" w:lineRule="auto"/>
              <w:jc w:val="right"/>
            </w:pPr>
            <w:r>
              <w:rPr>
                <w:rFonts w:ascii="Arial" w:hAnsi="Arial"/>
                <w:sz w:val="15"/>
              </w:rPr>
              <w:t xml:space="preserve">122.5</w:t>
            </w:r>
          </w:p>
        </w:tc>
        <w:tc>
          <w:tcPr>
            <w:tcW w:type="dxa" w:w="1601"/>
          </w:tcPr>
          <w:p>
            <w:pPr>
              <w:pStyle w:val="Compact"/>
              <w:spacing w:after="0" w:before="0" w:line="240" w:lineRule="auto"/>
              <w:jc w:val="right"/>
            </w:pPr>
            <w:r>
              <w:rPr>
                <w:rFonts w:ascii="Arial" w:hAnsi="Arial"/>
                <w:sz w:val="15"/>
              </w:rPr>
              <w:t xml:space="preserve">116.4</w:t>
            </w:r>
          </w:p>
        </w:tc>
        <w:tc>
          <w:tcPr>
            <w:tcW w:type="dxa" w:w="979"/>
          </w:tcPr>
          <w:p>
            <w:pPr>
              <w:pStyle w:val="Compact"/>
              <w:spacing w:after="0" w:before="0" w:line="240" w:lineRule="auto"/>
              <w:jc w:val="right"/>
            </w:pPr>
            <w:r>
              <w:rPr>
                <w:rFonts w:ascii="Arial" w:hAnsi="Arial"/>
                <w:sz w:val="15"/>
              </w:rPr>
              <w:t xml:space="preserve">110.5</w:t>
            </w:r>
          </w:p>
        </w:tc>
        <w:tc>
          <w:tcPr>
            <w:tcW w:type="dxa" w:w="1100"/>
          </w:tcPr>
          <w:p>
            <w:pPr>
              <w:pStyle w:val="Compact"/>
              <w:spacing w:after="0" w:before="0" w:line="240" w:lineRule="auto"/>
              <w:jc w:val="right"/>
            </w:pPr>
            <w:r>
              <w:rPr>
                <w:rFonts w:ascii="Arial" w:hAnsi="Arial"/>
                <w:sz w:val="15"/>
              </w:rPr>
              <w:t xml:space="preserve">103.9</w:t>
            </w:r>
          </w:p>
        </w:tc>
        <w:tc>
          <w:tcPr>
            <w:tcW w:type="dxa" w:w="1121"/>
          </w:tcPr>
          <w:p>
            <w:pPr>
              <w:pStyle w:val="Compact"/>
              <w:spacing w:after="0" w:before="0" w:line="240" w:lineRule="auto"/>
              <w:jc w:val="right"/>
            </w:pPr>
            <w:r>
              <w:rPr>
                <w:rFonts w:ascii="Arial" w:hAnsi="Arial"/>
                <w:sz w:val="15"/>
              </w:rPr>
              <w:t xml:space="preserve">10.3%</w:t>
            </w:r>
          </w:p>
        </w:tc>
        <w:tc>
          <w:tcPr>
            <w:tcW w:type="dxa" w:w="1200"/>
          </w:tcPr>
          <w:p>
            <w:pPr>
              <w:pStyle w:val="Compact"/>
              <w:spacing w:after="0" w:before="0" w:line="240" w:lineRule="auto"/>
              <w:jc w:val="right"/>
            </w:pPr>
            <w:r>
              <w:rPr>
                <w:rFonts w:ascii="Arial" w:hAnsi="Arial"/>
                <w:sz w:val="15"/>
              </w:rPr>
              <w:t xml:space="preserve">-15%</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China</w:t>
            </w:r>
          </w:p>
        </w:tc>
        <w:tc>
          <w:tcPr>
            <w:tcW w:type="dxa" w:w="1266"/>
            <w:shd w:val="clear" w:color="auto" w:fill="F1F2F5"/>
          </w:tcPr>
          <w:p>
            <w:pPr>
              <w:pStyle w:val="Compact"/>
              <w:spacing w:after="0" w:before="0" w:line="240" w:lineRule="auto"/>
              <w:jc w:val="right"/>
            </w:pPr>
            <w:r>
              <w:rPr>
                <w:rFonts w:ascii="Arial" w:hAnsi="Arial"/>
                <w:sz w:val="15"/>
              </w:rPr>
              <w:t xml:space="preserve">125.4</w:t>
            </w:r>
          </w:p>
        </w:tc>
        <w:tc>
          <w:tcPr>
            <w:tcW w:type="dxa" w:w="983"/>
            <w:shd w:val="clear" w:color="auto" w:fill="F1F2F5"/>
          </w:tcPr>
          <w:p>
            <w:pPr>
              <w:pStyle w:val="Compact"/>
              <w:spacing w:after="0" w:before="0" w:line="240" w:lineRule="auto"/>
              <w:jc w:val="right"/>
            </w:pPr>
            <w:r>
              <w:rPr>
                <w:rFonts w:ascii="Arial" w:hAnsi="Arial"/>
                <w:sz w:val="15"/>
              </w:rPr>
              <w:t xml:space="preserve">117.1</w:t>
            </w:r>
          </w:p>
        </w:tc>
        <w:tc>
          <w:tcPr>
            <w:tcW w:type="dxa" w:w="1601"/>
            <w:shd w:val="clear" w:color="auto" w:fill="F1F2F5"/>
          </w:tcPr>
          <w:p>
            <w:pPr>
              <w:pStyle w:val="Compact"/>
              <w:spacing w:after="0" w:before="0" w:line="240" w:lineRule="auto"/>
              <w:jc w:val="right"/>
            </w:pPr>
            <w:r>
              <w:rPr>
                <w:rFonts w:ascii="Arial" w:hAnsi="Arial"/>
                <w:sz w:val="15"/>
              </w:rPr>
              <w:t xml:space="preserve">105.7</w:t>
            </w:r>
          </w:p>
        </w:tc>
        <w:tc>
          <w:tcPr>
            <w:tcW w:type="dxa" w:w="979"/>
            <w:shd w:val="clear" w:color="auto" w:fill="F1F2F5"/>
          </w:tcPr>
          <w:p>
            <w:pPr>
              <w:pStyle w:val="Compact"/>
              <w:spacing w:after="0" w:before="0" w:line="240" w:lineRule="auto"/>
              <w:jc w:val="right"/>
            </w:pPr>
            <w:r>
              <w:rPr>
                <w:rFonts w:ascii="Arial" w:hAnsi="Arial"/>
                <w:sz w:val="15"/>
              </w:rPr>
              <w:t xml:space="preserve">95.7</w:t>
            </w:r>
          </w:p>
        </w:tc>
        <w:tc>
          <w:tcPr>
            <w:tcW w:type="dxa" w:w="1100"/>
            <w:shd w:val="clear" w:color="auto" w:fill="F1F2F5"/>
          </w:tcPr>
          <w:p>
            <w:pPr>
              <w:pStyle w:val="Compact"/>
              <w:spacing w:after="0" w:before="0" w:line="240" w:lineRule="auto"/>
              <w:jc w:val="right"/>
            </w:pPr>
            <w:r>
              <w:rPr>
                <w:rFonts w:ascii="Arial" w:hAnsi="Arial"/>
                <w:sz w:val="15"/>
              </w:rPr>
              <w:t xml:space="preserve">82.5</w:t>
            </w:r>
          </w:p>
        </w:tc>
        <w:tc>
          <w:tcPr>
            <w:tcW w:type="dxa" w:w="1121"/>
            <w:shd w:val="clear" w:color="auto" w:fill="F1F2F5"/>
          </w:tcPr>
          <w:p>
            <w:pPr>
              <w:pStyle w:val="Compact"/>
              <w:spacing w:after="0" w:before="0" w:line="240" w:lineRule="auto"/>
              <w:jc w:val="right"/>
            </w:pPr>
            <w:r>
              <w:rPr>
                <w:rFonts w:ascii="Arial" w:hAnsi="Arial"/>
                <w:sz w:val="15"/>
              </w:rPr>
              <w:t xml:space="preserve">8.2%</w:t>
            </w:r>
          </w:p>
        </w:tc>
        <w:tc>
          <w:tcPr>
            <w:tcW w:type="dxa" w:w="1200"/>
            <w:shd w:val="clear" w:color="auto" w:fill="F1F2F5"/>
          </w:tcPr>
          <w:p>
            <w:pPr>
              <w:pStyle w:val="Compact"/>
              <w:spacing w:after="0" w:before="0" w:line="240" w:lineRule="auto"/>
              <w:jc w:val="right"/>
            </w:pPr>
            <w:r>
              <w:rPr>
                <w:rFonts w:ascii="Arial" w:hAnsi="Arial"/>
                <w:sz w:val="15"/>
              </w:rPr>
              <w:t xml:space="preserve">-30%</w:t>
            </w:r>
          </w:p>
        </w:tc>
      </w:tr>
      <w:tr>
        <w:trPr>
          <w:cantSplit/>
        </w:trPr>
        <w:tc>
          <w:tcPr>
            <w:tcW w:type="dxa" w:w="1727"/>
          </w:tcPr>
          <w:p>
            <w:pPr>
              <w:pStyle w:val="Compact"/>
              <w:spacing w:after="0" w:before="0" w:line="240" w:lineRule="auto"/>
              <w:jc w:val="left"/>
            </w:pPr>
            <w:r>
              <w:rPr>
                <w:rFonts w:ascii="Arial" w:hAnsi="Arial"/>
                <w:sz w:val="15"/>
              </w:rPr>
              <w:t xml:space="preserve">Asia/Oceania</w:t>
            </w:r>
          </w:p>
        </w:tc>
        <w:tc>
          <w:tcPr>
            <w:tcW w:type="dxa" w:w="1266"/>
          </w:tcPr>
          <w:p>
            <w:pPr>
              <w:pStyle w:val="Compact"/>
              <w:spacing w:after="0" w:before="0" w:line="240" w:lineRule="auto"/>
              <w:jc w:val="right"/>
            </w:pPr>
            <w:r>
              <w:rPr>
                <w:rFonts w:ascii="Arial" w:hAnsi="Arial"/>
                <w:sz w:val="15"/>
              </w:rPr>
              <w:t xml:space="preserve">77.5</w:t>
            </w:r>
          </w:p>
        </w:tc>
        <w:tc>
          <w:tcPr>
            <w:tcW w:type="dxa" w:w="983"/>
          </w:tcPr>
          <w:p>
            <w:pPr>
              <w:pStyle w:val="Compact"/>
              <w:spacing w:after="0" w:before="0" w:line="240" w:lineRule="auto"/>
              <w:jc w:val="right"/>
            </w:pPr>
            <w:r>
              <w:rPr>
                <w:rFonts w:ascii="Arial" w:hAnsi="Arial"/>
                <w:sz w:val="15"/>
              </w:rPr>
              <w:t xml:space="preserve">77.8</w:t>
            </w:r>
          </w:p>
        </w:tc>
        <w:tc>
          <w:tcPr>
            <w:tcW w:type="dxa" w:w="1601"/>
          </w:tcPr>
          <w:p>
            <w:pPr>
              <w:pStyle w:val="Compact"/>
              <w:spacing w:after="0" w:before="0" w:line="240" w:lineRule="auto"/>
              <w:jc w:val="right"/>
            </w:pPr>
            <w:r>
              <w:rPr>
                <w:rFonts w:ascii="Arial" w:hAnsi="Arial"/>
                <w:sz w:val="15"/>
              </w:rPr>
              <w:t xml:space="preserve">87.9</w:t>
            </w:r>
          </w:p>
        </w:tc>
        <w:tc>
          <w:tcPr>
            <w:tcW w:type="dxa" w:w="979"/>
          </w:tcPr>
          <w:p>
            <w:pPr>
              <w:pStyle w:val="Compact"/>
              <w:spacing w:after="0" w:before="0" w:line="240" w:lineRule="auto"/>
              <w:jc w:val="right"/>
            </w:pPr>
            <w:r>
              <w:rPr>
                <w:rFonts w:ascii="Arial" w:hAnsi="Arial"/>
                <w:sz w:val="15"/>
              </w:rPr>
              <w:t xml:space="preserve">93.7</w:t>
            </w:r>
          </w:p>
        </w:tc>
        <w:tc>
          <w:tcPr>
            <w:tcW w:type="dxa" w:w="1100"/>
          </w:tcPr>
          <w:p>
            <w:pPr>
              <w:pStyle w:val="Compact"/>
              <w:spacing w:after="0" w:before="0" w:line="240" w:lineRule="auto"/>
              <w:jc w:val="right"/>
            </w:pPr>
            <w:r>
              <w:rPr>
                <w:rFonts w:ascii="Arial" w:hAnsi="Arial"/>
                <w:sz w:val="15"/>
              </w:rPr>
              <w:t xml:space="preserve">102.6</w:t>
            </w:r>
          </w:p>
        </w:tc>
        <w:tc>
          <w:tcPr>
            <w:tcW w:type="dxa" w:w="1121"/>
          </w:tcPr>
          <w:p>
            <w:pPr>
              <w:pStyle w:val="Compact"/>
              <w:spacing w:after="0" w:before="0" w:line="240" w:lineRule="auto"/>
              <w:jc w:val="right"/>
            </w:pPr>
            <w:r>
              <w:rPr>
                <w:rFonts w:ascii="Arial" w:hAnsi="Arial"/>
                <w:sz w:val="15"/>
              </w:rPr>
              <w:t xml:space="preserve">10.2%</w:t>
            </w:r>
          </w:p>
        </w:tc>
        <w:tc>
          <w:tcPr>
            <w:tcW w:type="dxa" w:w="1200"/>
          </w:tcPr>
          <w:p>
            <w:pPr>
              <w:pStyle w:val="Compact"/>
              <w:spacing w:after="0" w:before="0" w:line="240" w:lineRule="auto"/>
              <w:jc w:val="right"/>
            </w:pPr>
            <w:r>
              <w:rPr>
                <w:rFonts w:ascii="Arial" w:hAnsi="Arial"/>
                <w:sz w:val="15"/>
              </w:rPr>
              <w:t xml:space="preserve">+32%</w:t>
            </w:r>
          </w:p>
        </w:tc>
      </w:tr>
      <w:tr>
        <w:trPr>
          <w:cantSplit/>
        </w:trPr>
        <w:tc>
          <w:tcPr>
            <w:tcW w:type="dxa" w:w="1727"/>
            <w:shd w:val="clear" w:color="auto" w:fill="F1F2F5"/>
          </w:tcPr>
          <w:p>
            <w:pPr>
              <w:pStyle w:val="Compact"/>
              <w:spacing w:after="0" w:before="0" w:line="240" w:lineRule="auto"/>
              <w:jc w:val="left"/>
            </w:pPr>
            <w:r>
              <w:rPr>
                <w:rFonts w:ascii="Arial" w:hAnsi="Arial"/>
                <w:sz w:val="15"/>
              </w:rPr>
              <w:t xml:space="preserve">Other</w:t>
            </w:r>
          </w:p>
        </w:tc>
        <w:tc>
          <w:tcPr>
            <w:tcW w:type="dxa" w:w="1266"/>
            <w:shd w:val="clear" w:color="auto" w:fill="F1F2F5"/>
          </w:tcPr>
          <w:p>
            <w:pPr>
              <w:pStyle w:val="Compact"/>
              <w:spacing w:after="0" w:before="0" w:line="240" w:lineRule="auto"/>
              <w:jc w:val="right"/>
            </w:pPr>
            <w:r>
              <w:rPr>
                <w:rFonts w:ascii="Arial" w:hAnsi="Arial"/>
                <w:sz w:val="15"/>
              </w:rPr>
              <w:t xml:space="preserve">19.5</w:t>
            </w:r>
          </w:p>
        </w:tc>
        <w:tc>
          <w:tcPr>
            <w:tcW w:type="dxa" w:w="983"/>
            <w:shd w:val="clear" w:color="auto" w:fill="F1F2F5"/>
          </w:tcPr>
          <w:p>
            <w:pPr>
              <w:pStyle w:val="Compact"/>
              <w:spacing w:after="0" w:before="0" w:line="240" w:lineRule="auto"/>
              <w:jc w:val="right"/>
            </w:pPr>
            <w:r>
              <w:rPr>
                <w:rFonts w:ascii="Arial" w:hAnsi="Arial"/>
                <w:sz w:val="15"/>
              </w:rPr>
              <w:t xml:space="preserve">20.2</w:t>
            </w:r>
          </w:p>
        </w:tc>
        <w:tc>
          <w:tcPr>
            <w:tcW w:type="dxa" w:w="1601"/>
            <w:shd w:val="clear" w:color="auto" w:fill="F1F2F5"/>
          </w:tcPr>
          <w:p>
            <w:pPr>
              <w:pStyle w:val="Compact"/>
              <w:spacing w:after="0" w:before="0" w:line="240" w:lineRule="auto"/>
              <w:jc w:val="right"/>
            </w:pPr>
            <w:r>
              <w:rPr>
                <w:rFonts w:ascii="Arial" w:hAnsi="Arial"/>
                <w:sz w:val="15"/>
              </w:rPr>
              <w:t xml:space="preserve">26.1</w:t>
            </w:r>
          </w:p>
        </w:tc>
        <w:tc>
          <w:tcPr>
            <w:tcW w:type="dxa" w:w="979"/>
            <w:shd w:val="clear" w:color="auto" w:fill="F1F2F5"/>
          </w:tcPr>
          <w:p>
            <w:pPr>
              <w:pStyle w:val="Compact"/>
              <w:spacing w:after="0" w:before="0" w:line="240" w:lineRule="auto"/>
              <w:jc w:val="right"/>
            </w:pPr>
            <w:r>
              <w:rPr>
                <w:rFonts w:ascii="Arial" w:hAnsi="Arial"/>
                <w:sz w:val="15"/>
              </w:rPr>
              <w:t xml:space="preserve">28.8</w:t>
            </w:r>
          </w:p>
        </w:tc>
        <w:tc>
          <w:tcPr>
            <w:tcW w:type="dxa" w:w="1100"/>
            <w:shd w:val="clear" w:color="auto" w:fill="F1F2F5"/>
          </w:tcPr>
          <w:p>
            <w:pPr>
              <w:pStyle w:val="Compact"/>
              <w:spacing w:after="0" w:before="0" w:line="240" w:lineRule="auto"/>
              <w:jc w:val="right"/>
            </w:pPr>
            <w:r>
              <w:rPr>
                <w:rFonts w:ascii="Arial" w:hAnsi="Arial"/>
                <w:sz w:val="15"/>
              </w:rPr>
              <w:t xml:space="preserve">35.2</w:t>
            </w:r>
          </w:p>
        </w:tc>
        <w:tc>
          <w:tcPr>
            <w:tcW w:type="dxa" w:w="1121"/>
            <w:shd w:val="clear" w:color="auto" w:fill="F1F2F5"/>
          </w:tcPr>
          <w:p>
            <w:pPr>
              <w:pStyle w:val="Compact"/>
              <w:spacing w:after="0" w:before="0" w:line="240" w:lineRule="auto"/>
              <w:jc w:val="right"/>
            </w:pPr>
            <w:r>
              <w:rPr>
                <w:rFonts w:ascii="Arial" w:hAnsi="Arial"/>
                <w:sz w:val="15"/>
              </w:rPr>
              <w:t xml:space="preserve">3.5%</w:t>
            </w:r>
          </w:p>
        </w:tc>
        <w:tc>
          <w:tcPr>
            <w:tcW w:type="dxa" w:w="1200"/>
            <w:shd w:val="clear" w:color="auto" w:fill="F1F2F5"/>
          </w:tcPr>
          <w:p>
            <w:pPr>
              <w:pStyle w:val="Compact"/>
              <w:spacing w:after="0" w:before="0" w:line="240" w:lineRule="auto"/>
              <w:jc w:val="right"/>
            </w:pPr>
            <w:r>
              <w:rPr>
                <w:rFonts w:ascii="Arial" w:hAnsi="Arial"/>
                <w:sz w:val="15"/>
              </w:rPr>
              <w:t xml:space="preserve">+74%</w:t>
            </w:r>
          </w:p>
        </w:tc>
      </w:tr>
      <w:tr>
        <w:trPr>
          <w:cantSplit/>
        </w:trPr>
        <w:tc>
          <w:tcPr>
            <w:tcW w:type="dxa" w:w="1727"/>
            <w:shd w:val="clear" w:color="auto" w:fill="DCE4F2"/>
          </w:tcPr>
          <w:p>
            <w:pPr>
              <w:pStyle w:val="Compact"/>
              <w:spacing w:after="0" w:before="0" w:line="240" w:lineRule="auto"/>
              <w:jc w:val="left"/>
            </w:pPr>
            <w:r>
              <w:rPr>
                <w:bCs/>
                <w:rFonts w:ascii="Arial" w:hAnsi="Arial"/>
                <w:b/>
                <w:sz w:val="15"/>
              </w:rPr>
              <w:t xml:space="preserve">Total</w:t>
            </w:r>
          </w:p>
        </w:tc>
        <w:tc>
          <w:tcPr>
            <w:tcW w:type="dxa" w:w="1266"/>
            <w:shd w:val="clear" w:color="auto" w:fill="DCE4F2"/>
          </w:tcPr>
          <w:p>
            <w:pPr>
              <w:pStyle w:val="Compact"/>
              <w:spacing w:after="0" w:before="0" w:line="240" w:lineRule="auto"/>
              <w:jc w:val="right"/>
            </w:pPr>
            <w:r>
              <w:rPr>
                <w:rFonts w:ascii="Arial" w:hAnsi="Arial"/>
                <w:b/>
                <w:sz w:val="15"/>
              </w:rPr>
              <w:t xml:space="preserve">868.9</w:t>
            </w:r>
          </w:p>
        </w:tc>
        <w:tc>
          <w:tcPr>
            <w:tcW w:type="dxa" w:w="983"/>
            <w:shd w:val="clear" w:color="auto" w:fill="DCE4F2"/>
          </w:tcPr>
          <w:p>
            <w:pPr>
              <w:pStyle w:val="Compact"/>
              <w:spacing w:after="0" w:before="0" w:line="240" w:lineRule="auto"/>
              <w:jc w:val="right"/>
            </w:pPr>
            <w:r>
              <w:rPr>
                <w:rFonts w:ascii="Arial" w:hAnsi="Arial"/>
                <w:b/>
                <w:sz w:val="15"/>
              </w:rPr>
              <w:t xml:space="preserve">881.9</w:t>
            </w:r>
          </w:p>
        </w:tc>
        <w:tc>
          <w:tcPr>
            <w:tcW w:type="dxa" w:w="1601"/>
            <w:shd w:val="clear" w:color="auto" w:fill="DCE4F2"/>
          </w:tcPr>
          <w:p>
            <w:pPr>
              <w:pStyle w:val="Compact"/>
              <w:spacing w:after="0" w:before="0" w:line="240" w:lineRule="auto"/>
              <w:jc w:val="right"/>
            </w:pPr>
            <w:r>
              <w:rPr>
                <w:rFonts w:ascii="Arial" w:hAnsi="Arial"/>
                <w:b/>
                <w:sz w:val="15"/>
              </w:rPr>
              <w:t xml:space="preserve">925.8</w:t>
            </w:r>
          </w:p>
        </w:tc>
        <w:tc>
          <w:tcPr>
            <w:tcW w:type="dxa" w:w="979"/>
            <w:shd w:val="clear" w:color="auto" w:fill="DCE4F2"/>
          </w:tcPr>
          <w:p>
            <w:pPr>
              <w:pStyle w:val="Compact"/>
              <w:spacing w:after="0" w:before="0" w:line="240" w:lineRule="auto"/>
              <w:jc w:val="right"/>
            </w:pPr>
            <w:r>
              <w:rPr>
                <w:rFonts w:ascii="Arial" w:hAnsi="Arial"/>
                <w:b/>
                <w:sz w:val="15"/>
              </w:rPr>
              <w:t xml:space="preserve">997.3</w:t>
            </w:r>
          </w:p>
        </w:tc>
        <w:tc>
          <w:tcPr>
            <w:tcW w:type="dxa" w:w="1100"/>
            <w:shd w:val="clear" w:color="auto" w:fill="DCE4F2"/>
          </w:tcPr>
          <w:p>
            <w:pPr>
              <w:pStyle w:val="Compact"/>
              <w:spacing w:after="0" w:before="0" w:line="240" w:lineRule="auto"/>
              <w:jc w:val="right"/>
            </w:pPr>
            <w:r>
              <w:rPr>
                <w:rFonts w:ascii="Arial" w:hAnsi="Arial"/>
                <w:b/>
                <w:sz w:val="15"/>
              </w:rPr>
              <w:t xml:space="preserve">1,010.7</w:t>
            </w:r>
          </w:p>
        </w:tc>
        <w:tc>
          <w:tcPr>
            <w:tcW w:type="dxa" w:w="1121"/>
            <w:shd w:val="clear" w:color="auto" w:fill="DCE4F2"/>
          </w:tcPr>
          <w:p>
            <w:pPr>
              <w:pStyle w:val="Compact"/>
              <w:spacing w:after="0" w:before="0" w:line="240" w:lineRule="auto"/>
              <w:jc w:val="right"/>
            </w:pPr>
            <w:r>
              <w:rPr>
                <w:rFonts w:ascii="Arial" w:hAnsi="Arial"/>
                <w:b/>
                <w:sz w:val="15"/>
              </w:rPr>
              <w:t xml:space="preserve">100%</w:t>
            </w:r>
          </w:p>
        </w:tc>
        <w:tc>
          <w:tcPr>
            <w:tcW w:type="dxa" w:w="1200"/>
            <w:shd w:val="clear" w:color="auto" w:fill="DCE4F2"/>
          </w:tcPr>
          <w:p>
            <w:pPr>
              <w:pStyle w:val="Compact"/>
              <w:spacing w:after="0" w:before="0" w:line="240" w:lineRule="auto"/>
              <w:jc w:val="right"/>
            </w:pPr>
            <w:r>
              <w:rPr>
                <w:rFonts w:ascii="Arial" w:hAnsi="Arial"/>
                <w:b/>
                <w:sz w:val="15"/>
              </w:rPr>
              <w:t xml:space="preserve">+15%</w:t>
            </w:r>
          </w:p>
        </w:tc>
      </w:tr>
    </w:tbl>
    <w:p>
      <w:pPr>
        <w:pStyle w:val="BodyText"/>
      </w:pPr>
      <w:r>
        <w:rPr>
          <w:iCs/>
          <w:i/>
        </w:rPr>
        <w:t xml:space="preserve">Source: CIQ geographic segments and tanshin note 12. FY3/22 includes Scientific Solutions, so FY3/23 is the comparable base. Operating profit by geography is not disclosed. By segment in FY3/26: GIS NA 264.9 / EU 192.0 / JP 79.3 / CN 63.5; SIS NA 140.6 / EU 89.0 / JP 24.4 / CN 18.9.</w:t>
      </w:r>
    </w:p>
    <w:bookmarkEnd w:id="51"/>
    <w:bookmarkStart w:id="55" w:name="quarterly-trend-company-basis"/>
    <w:p>
      <w:pPr>
        <w:pStyle w:val="Heading2"/>
      </w:pPr>
      <w:r>
        <w:t xml:space="preserve">Quarterly trend (company basis)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689"/>
        <w:gridCol w:w="1353"/>
        <w:gridCol w:w="1418"/>
        <w:gridCol w:w="1389"/>
        <w:gridCol w:w="1389"/>
        <w:gridCol w:w="1737"/>
      </w:tblGrid>
      <w:tr>
        <w:trPr>
          <w:tblHeader w:val="true"/>
          <w:tblHeader w:val="true"/>
          <w:cantSplit/>
        </w:trPr>
        <w:tc>
          <w:tcPr>
            <w:tcW w:type="dxa" w:w="2690"/>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353"/>
            <w:shd w:val="clear" w:color="auto" w:fill="13213F"/>
          </w:tcPr>
          <w:p>
            <w:pPr>
              <w:pStyle w:val="Compact"/>
              <w:spacing w:after="0" w:before="0" w:line="240" w:lineRule="auto"/>
              <w:jc w:val="right"/>
            </w:pPr>
            <w:r>
              <w:rPr>
                <w:rFonts w:ascii="Arial" w:hAnsi="Arial"/>
                <w:b/>
                <w:color w:val="FFFFFF"/>
                <w:sz w:val="15"/>
              </w:rPr>
              <w:t xml:space="preserve">1Q FY3/26</w:t>
            </w:r>
          </w:p>
        </w:tc>
        <w:tc>
          <w:tcPr>
            <w:tcW w:type="dxa" w:w="1418"/>
            <w:shd w:val="clear" w:color="auto" w:fill="13213F"/>
          </w:tcPr>
          <w:p>
            <w:pPr>
              <w:pStyle w:val="Compact"/>
              <w:spacing w:after="0" w:before="0" w:line="240" w:lineRule="auto"/>
              <w:jc w:val="right"/>
            </w:pPr>
            <w:r>
              <w:rPr>
                <w:rFonts w:ascii="Arial" w:hAnsi="Arial"/>
                <w:b/>
                <w:color w:val="FFFFFF"/>
                <w:sz w:val="15"/>
              </w:rPr>
              <w:t xml:space="preserve">2Q FY3/26</w:t>
            </w:r>
          </w:p>
        </w:tc>
        <w:tc>
          <w:tcPr>
            <w:tcW w:type="dxa" w:w="1389"/>
            <w:shd w:val="clear" w:color="auto" w:fill="13213F"/>
          </w:tcPr>
          <w:p>
            <w:pPr>
              <w:pStyle w:val="Compact"/>
              <w:spacing w:after="0" w:before="0" w:line="240" w:lineRule="auto"/>
              <w:jc w:val="right"/>
            </w:pPr>
            <w:r>
              <w:rPr>
                <w:rFonts w:ascii="Arial" w:hAnsi="Arial"/>
                <w:b/>
                <w:color w:val="FFFFFF"/>
                <w:sz w:val="15"/>
              </w:rPr>
              <w:t xml:space="preserve">3Q FY3/26</w:t>
            </w:r>
          </w:p>
        </w:tc>
        <w:tc>
          <w:tcPr>
            <w:tcW w:type="dxa" w:w="1389"/>
            <w:shd w:val="clear" w:color="auto" w:fill="13213F"/>
          </w:tcPr>
          <w:p>
            <w:pPr>
              <w:pStyle w:val="Compact"/>
              <w:spacing w:after="0" w:before="0" w:line="240" w:lineRule="auto"/>
              <w:jc w:val="right"/>
            </w:pPr>
            <w:r>
              <w:rPr>
                <w:rFonts w:ascii="Arial" w:hAnsi="Arial"/>
                <w:b/>
                <w:color w:val="FFFFFF"/>
                <w:sz w:val="15"/>
              </w:rPr>
              <w:t xml:space="preserve">4Q FY3/26</w:t>
            </w:r>
          </w:p>
        </w:tc>
        <w:tc>
          <w:tcPr>
            <w:tcW w:type="dxa" w:w="1738"/>
            <w:shd w:val="clear" w:color="auto" w:fill="13213F"/>
          </w:tcPr>
          <w:p>
            <w:pPr>
              <w:pStyle w:val="Compact"/>
              <w:spacing w:after="0" w:before="0" w:line="240" w:lineRule="auto"/>
              <w:jc w:val="right"/>
            </w:pPr>
            <w:r>
              <w:rPr>
                <w:rFonts w:ascii="Arial" w:hAnsi="Arial"/>
                <w:b/>
                <w:color w:val="FFFFFF"/>
                <w:sz w:val="15"/>
              </w:rPr>
              <w:t xml:space="preserve">1Q FY3/27</w:t>
            </w:r>
          </w:p>
        </w:tc>
      </w:tr>
      <w:tr>
        <w:trPr>
          <w:cantSplit/>
        </w:trPr>
        <w:tc>
          <w:tcPr>
            <w:tcW w:type="dxa" w:w="2690"/>
          </w:tcPr>
          <w:p>
            <w:pPr>
              <w:pStyle w:val="Compact"/>
              <w:spacing w:after="0" w:before="0" w:line="240" w:lineRule="auto"/>
              <w:jc w:val="left"/>
            </w:pPr>
            <w:r>
              <w:rPr>
                <w:rFonts w:ascii="Arial" w:hAnsi="Arial"/>
                <w:sz w:val="15"/>
              </w:rPr>
              <w:t xml:space="preserve">Revenue</w:t>
            </w:r>
          </w:p>
        </w:tc>
        <w:tc>
          <w:tcPr>
            <w:tcW w:type="dxa" w:w="1353"/>
          </w:tcPr>
          <w:p>
            <w:pPr>
              <w:pStyle w:val="Compact"/>
              <w:spacing w:after="0" w:before="0" w:line="240" w:lineRule="auto"/>
              <w:jc w:val="right"/>
            </w:pPr>
            <w:r>
              <w:rPr>
                <w:rFonts w:ascii="Arial" w:hAnsi="Arial"/>
                <w:sz w:val="15"/>
              </w:rPr>
              <w:t xml:space="preserve">206.5</w:t>
            </w:r>
          </w:p>
        </w:tc>
        <w:tc>
          <w:tcPr>
            <w:tcW w:type="dxa" w:w="1418"/>
          </w:tcPr>
          <w:p>
            <w:pPr>
              <w:pStyle w:val="Compact"/>
              <w:spacing w:after="0" w:before="0" w:line="240" w:lineRule="auto"/>
              <w:jc w:val="right"/>
            </w:pPr>
            <w:r>
              <w:rPr>
                <w:rFonts w:ascii="Arial" w:hAnsi="Arial"/>
                <w:sz w:val="15"/>
              </w:rPr>
              <w:t xml:space="preserve">247.8</w:t>
            </w:r>
          </w:p>
        </w:tc>
        <w:tc>
          <w:tcPr>
            <w:tcW w:type="dxa" w:w="1389"/>
          </w:tcPr>
          <w:p>
            <w:pPr>
              <w:pStyle w:val="Compact"/>
              <w:spacing w:after="0" w:before="0" w:line="240" w:lineRule="auto"/>
              <w:jc w:val="right"/>
            </w:pPr>
            <w:r>
              <w:rPr>
                <w:rFonts w:ascii="Arial" w:hAnsi="Arial"/>
                <w:sz w:val="15"/>
              </w:rPr>
              <w:t xml:space="preserve">261.0</w:t>
            </w:r>
          </w:p>
        </w:tc>
        <w:tc>
          <w:tcPr>
            <w:tcW w:type="dxa" w:w="1389"/>
          </w:tcPr>
          <w:p>
            <w:pPr>
              <w:pStyle w:val="Compact"/>
              <w:spacing w:after="0" w:before="0" w:line="240" w:lineRule="auto"/>
              <w:jc w:val="right"/>
            </w:pPr>
            <w:r>
              <w:rPr>
                <w:rFonts w:ascii="Arial" w:hAnsi="Arial"/>
                <w:sz w:val="15"/>
              </w:rPr>
              <w:t xml:space="preserve">295.3</w:t>
            </w:r>
          </w:p>
        </w:tc>
        <w:tc>
          <w:tcPr>
            <w:tcW w:type="dxa" w:w="1738"/>
          </w:tcPr>
          <w:p>
            <w:pPr>
              <w:pStyle w:val="Compact"/>
              <w:spacing w:after="0" w:before="0" w:line="240" w:lineRule="auto"/>
              <w:jc w:val="right"/>
            </w:pPr>
            <w:r>
              <w:rPr>
                <w:rFonts w:ascii="Arial" w:hAnsi="Arial"/>
                <w:sz w:val="15"/>
              </w:rPr>
              <w:t xml:space="preserve">240.4</w:t>
            </w:r>
          </w:p>
        </w:tc>
      </w:tr>
      <w:tr>
        <w:trPr>
          <w:cantSplit/>
        </w:trPr>
        <w:tc>
          <w:tcPr>
            <w:tcW w:type="dxa" w:w="2690"/>
            <w:shd w:val="clear" w:color="auto" w:fill="F1F2F5"/>
          </w:tcPr>
          <w:p>
            <w:pPr>
              <w:pStyle w:val="Compact"/>
              <w:spacing w:after="0" w:before="0" w:line="240" w:lineRule="auto"/>
              <w:jc w:val="left"/>
            </w:pPr>
            <w:r>
              <w:rPr>
                <w:rFonts w:ascii="Arial" w:hAnsi="Arial"/>
                <w:sz w:val="15"/>
              </w:rPr>
              <w:t xml:space="preserve">YoY (reported)</w:t>
            </w:r>
          </w:p>
        </w:tc>
        <w:tc>
          <w:tcPr>
            <w:tcW w:type="dxa" w:w="1353"/>
            <w:shd w:val="clear" w:color="auto" w:fill="F1F2F5"/>
          </w:tcPr>
          <w:p>
            <w:pPr>
              <w:pStyle w:val="Compact"/>
              <w:spacing w:after="0" w:before="0" w:line="240" w:lineRule="auto"/>
              <w:jc w:val="right"/>
            </w:pPr>
            <w:r>
              <w:rPr>
                <w:rFonts w:ascii="Arial" w:hAnsi="Arial"/>
                <w:sz w:val="15"/>
              </w:rPr>
              <w:t xml:space="preserve">-12.1%</w:t>
            </w:r>
          </w:p>
        </w:tc>
        <w:tc>
          <w:tcPr>
            <w:tcW w:type="dxa" w:w="1418"/>
            <w:shd w:val="clear" w:color="auto" w:fill="F1F2F5"/>
          </w:tcPr>
          <w:p>
            <w:pPr>
              <w:pStyle w:val="Compact"/>
              <w:spacing w:after="0" w:before="0" w:line="240" w:lineRule="auto"/>
              <w:jc w:val="right"/>
            </w:pPr>
            <w:r>
              <w:rPr>
                <w:rFonts w:ascii="Arial" w:hAnsi="Arial"/>
                <w:sz w:val="15"/>
              </w:rPr>
              <w:t xml:space="preserve">+3.6%</w:t>
            </w:r>
          </w:p>
        </w:tc>
        <w:tc>
          <w:tcPr>
            <w:tcW w:type="dxa" w:w="1389"/>
            <w:shd w:val="clear" w:color="auto" w:fill="F1F2F5"/>
          </w:tcPr>
          <w:p>
            <w:pPr>
              <w:pStyle w:val="Compact"/>
              <w:spacing w:after="0" w:before="0" w:line="240" w:lineRule="auto"/>
              <w:jc w:val="right"/>
            </w:pPr>
            <w:r>
              <w:rPr>
                <w:rFonts w:ascii="Arial" w:hAnsi="Arial"/>
                <w:sz w:val="15"/>
              </w:rPr>
              <w:t xml:space="preserve">+3.9%</w:t>
            </w:r>
          </w:p>
        </w:tc>
        <w:tc>
          <w:tcPr>
            <w:tcW w:type="dxa" w:w="1389"/>
            <w:shd w:val="clear" w:color="auto" w:fill="F1F2F5"/>
          </w:tcPr>
          <w:p>
            <w:pPr>
              <w:pStyle w:val="Compact"/>
              <w:spacing w:after="0" w:before="0" w:line="240" w:lineRule="auto"/>
              <w:jc w:val="right"/>
            </w:pPr>
            <w:r>
              <w:rPr>
                <w:rFonts w:ascii="Arial" w:hAnsi="Arial"/>
                <w:sz w:val="15"/>
              </w:rPr>
              <w:t xml:space="preserve">+8.5%</w:t>
            </w:r>
          </w:p>
        </w:tc>
        <w:tc>
          <w:tcPr>
            <w:tcW w:type="dxa" w:w="1738"/>
            <w:shd w:val="clear" w:color="auto" w:fill="F1F2F5"/>
          </w:tcPr>
          <w:p>
            <w:pPr>
              <w:pStyle w:val="Compact"/>
              <w:spacing w:after="0" w:before="0" w:line="240" w:lineRule="auto"/>
              <w:jc w:val="right"/>
            </w:pPr>
            <w:r>
              <w:rPr>
                <w:rFonts w:ascii="Arial" w:hAnsi="Arial"/>
                <w:sz w:val="15"/>
              </w:rPr>
              <w:t xml:space="preserve">+16.4% (~+5% cc)</w:t>
            </w:r>
          </w:p>
        </w:tc>
      </w:tr>
      <w:tr>
        <w:trPr>
          <w:cantSplit/>
        </w:trPr>
        <w:tc>
          <w:tcPr>
            <w:tcW w:type="dxa" w:w="2690"/>
          </w:tcPr>
          <w:p>
            <w:pPr>
              <w:pStyle w:val="Compact"/>
              <w:spacing w:after="0" w:before="0" w:line="240" w:lineRule="auto"/>
              <w:jc w:val="left"/>
            </w:pPr>
            <w:r>
              <w:rPr>
                <w:rFonts w:ascii="Arial" w:hAnsi="Arial"/>
                <w:sz w:val="15"/>
              </w:rPr>
              <w:t xml:space="preserve">Gross margin</w:t>
            </w:r>
          </w:p>
        </w:tc>
        <w:tc>
          <w:tcPr>
            <w:tcW w:type="dxa" w:w="1353"/>
          </w:tcPr>
          <w:p>
            <w:pPr>
              <w:pStyle w:val="Compact"/>
              <w:spacing w:after="0" w:before="0" w:line="240" w:lineRule="auto"/>
              <w:jc w:val="right"/>
            </w:pPr>
            <w:r>
              <w:rPr>
                <w:rFonts w:ascii="Arial" w:hAnsi="Arial"/>
                <w:sz w:val="15"/>
              </w:rPr>
              <w:t xml:space="preserve">65.4%</w:t>
            </w:r>
          </w:p>
        </w:tc>
        <w:tc>
          <w:tcPr>
            <w:tcW w:type="dxa" w:w="1418"/>
          </w:tcPr>
          <w:p>
            <w:pPr>
              <w:pStyle w:val="Compact"/>
              <w:spacing w:after="0" w:before="0" w:line="240" w:lineRule="auto"/>
              <w:jc w:val="right"/>
            </w:pPr>
            <w:r>
              <w:rPr>
                <w:rFonts w:ascii="Arial" w:hAnsi="Arial"/>
                <w:sz w:val="15"/>
              </w:rPr>
              <w:t xml:space="preserve">65.1%</w:t>
            </w:r>
          </w:p>
        </w:tc>
        <w:tc>
          <w:tcPr>
            <w:tcW w:type="dxa" w:w="1389"/>
          </w:tcPr>
          <w:p>
            <w:pPr>
              <w:pStyle w:val="Compact"/>
              <w:spacing w:after="0" w:before="0" w:line="240" w:lineRule="auto"/>
              <w:jc w:val="right"/>
            </w:pPr>
            <w:r>
              <w:rPr>
                <w:rFonts w:ascii="Arial" w:hAnsi="Arial"/>
                <w:sz w:val="15"/>
              </w:rPr>
              <w:t xml:space="preserve">63.2%</w:t>
            </w:r>
          </w:p>
        </w:tc>
        <w:tc>
          <w:tcPr>
            <w:tcW w:type="dxa" w:w="1389"/>
          </w:tcPr>
          <w:p>
            <w:pPr>
              <w:pStyle w:val="Compact"/>
              <w:spacing w:after="0" w:before="0" w:line="240" w:lineRule="auto"/>
              <w:jc w:val="right"/>
            </w:pPr>
            <w:r>
              <w:rPr>
                <w:rFonts w:ascii="Arial" w:hAnsi="Arial"/>
                <w:sz w:val="15"/>
              </w:rPr>
              <w:t xml:space="preserve">65.3%</w:t>
            </w:r>
          </w:p>
        </w:tc>
        <w:tc>
          <w:tcPr>
            <w:tcW w:type="dxa" w:w="1738"/>
          </w:tcPr>
          <w:p>
            <w:pPr>
              <w:pStyle w:val="Compact"/>
              <w:spacing w:after="0" w:before="0" w:line="240" w:lineRule="auto"/>
              <w:jc w:val="right"/>
            </w:pPr>
            <w:r>
              <w:rPr>
                <w:rFonts w:ascii="Arial" w:hAnsi="Arial"/>
                <w:sz w:val="15"/>
              </w:rPr>
              <w:t xml:space="preserve">65.2%</w:t>
            </w:r>
          </w:p>
        </w:tc>
      </w:tr>
      <w:tr>
        <w:trPr>
          <w:cantSplit/>
        </w:trPr>
        <w:tc>
          <w:tcPr>
            <w:tcW w:type="dxa" w:w="2690"/>
            <w:shd w:val="clear" w:color="auto" w:fill="F1F2F5"/>
          </w:tcPr>
          <w:p>
            <w:pPr>
              <w:pStyle w:val="Compact"/>
              <w:spacing w:after="0" w:before="0" w:line="240" w:lineRule="auto"/>
              <w:jc w:val="left"/>
            </w:pPr>
            <w:r>
              <w:rPr>
                <w:rFonts w:ascii="Arial" w:hAnsi="Arial"/>
                <w:sz w:val="15"/>
              </w:rPr>
              <w:t xml:space="preserve">Adjusted OP</w:t>
            </w:r>
          </w:p>
        </w:tc>
        <w:tc>
          <w:tcPr>
            <w:tcW w:type="dxa" w:w="1353"/>
            <w:shd w:val="clear" w:color="auto" w:fill="F1F2F5"/>
          </w:tcPr>
          <w:p>
            <w:pPr>
              <w:pStyle w:val="Compact"/>
              <w:spacing w:after="0" w:before="0" w:line="240" w:lineRule="auto"/>
              <w:jc w:val="right"/>
            </w:pPr>
            <w:r>
              <w:rPr>
                <w:rFonts w:ascii="Arial" w:hAnsi="Arial"/>
                <w:sz w:val="15"/>
              </w:rPr>
              <w:t xml:space="preserve">13.2</w:t>
            </w:r>
          </w:p>
        </w:tc>
        <w:tc>
          <w:tcPr>
            <w:tcW w:type="dxa" w:w="1418"/>
            <w:shd w:val="clear" w:color="auto" w:fill="F1F2F5"/>
          </w:tcPr>
          <w:p>
            <w:pPr>
              <w:pStyle w:val="Compact"/>
              <w:spacing w:after="0" w:before="0" w:line="240" w:lineRule="auto"/>
              <w:jc w:val="right"/>
            </w:pPr>
            <w:r>
              <w:rPr>
                <w:rFonts w:ascii="Arial" w:hAnsi="Arial"/>
                <w:sz w:val="15"/>
              </w:rPr>
              <w:t xml:space="preserve">37.4 [e]</w:t>
            </w:r>
          </w:p>
        </w:tc>
        <w:tc>
          <w:tcPr>
            <w:tcW w:type="dxa" w:w="1389"/>
            <w:shd w:val="clear" w:color="auto" w:fill="F1F2F5"/>
          </w:tcPr>
          <w:p>
            <w:pPr>
              <w:pStyle w:val="Compact"/>
              <w:spacing w:after="0" w:before="0" w:line="240" w:lineRule="auto"/>
              <w:jc w:val="right"/>
            </w:pPr>
            <w:r>
              <w:rPr>
                <w:rFonts w:ascii="Arial" w:hAnsi="Arial"/>
                <w:sz w:val="15"/>
              </w:rPr>
              <w:t xml:space="preserve">39.3 [e]</w:t>
            </w:r>
          </w:p>
        </w:tc>
        <w:tc>
          <w:tcPr>
            <w:tcW w:type="dxa" w:w="1389"/>
            <w:shd w:val="clear" w:color="auto" w:fill="F1F2F5"/>
          </w:tcPr>
          <w:p>
            <w:pPr>
              <w:pStyle w:val="Compact"/>
              <w:spacing w:after="0" w:before="0" w:line="240" w:lineRule="auto"/>
              <w:jc w:val="right"/>
            </w:pPr>
            <w:r>
              <w:rPr>
                <w:rFonts w:ascii="Arial" w:hAnsi="Arial"/>
                <w:sz w:val="15"/>
              </w:rPr>
              <w:t xml:space="preserve">53.4 [e]</w:t>
            </w:r>
          </w:p>
        </w:tc>
        <w:tc>
          <w:tcPr>
            <w:tcW w:type="dxa" w:w="1738"/>
            <w:shd w:val="clear" w:color="auto" w:fill="F1F2F5"/>
          </w:tcPr>
          <w:p>
            <w:pPr>
              <w:pStyle w:val="Compact"/>
              <w:spacing w:after="0" w:before="0" w:line="240" w:lineRule="auto"/>
              <w:jc w:val="right"/>
            </w:pPr>
            <w:r>
              <w:rPr>
                <w:rFonts w:ascii="Arial" w:hAnsi="Arial"/>
                <w:sz w:val="15"/>
              </w:rPr>
              <w:t xml:space="preserve">30.7 [u]</w:t>
            </w:r>
          </w:p>
        </w:tc>
      </w:tr>
      <w:tr>
        <w:trPr>
          <w:cantSplit/>
        </w:trPr>
        <w:tc>
          <w:tcPr>
            <w:tcW w:type="dxa" w:w="2690"/>
          </w:tcPr>
          <w:p>
            <w:pPr>
              <w:pStyle w:val="Compact"/>
              <w:spacing w:after="0" w:before="0" w:line="240" w:lineRule="auto"/>
              <w:jc w:val="left"/>
            </w:pPr>
            <w:r>
              <w:rPr>
                <w:rFonts w:ascii="Arial" w:hAnsi="Arial"/>
                <w:sz w:val="15"/>
              </w:rPr>
              <w:t xml:space="preserve">Adjusted OP margin</w:t>
            </w:r>
          </w:p>
        </w:tc>
        <w:tc>
          <w:tcPr>
            <w:tcW w:type="dxa" w:w="1353"/>
          </w:tcPr>
          <w:p>
            <w:pPr>
              <w:pStyle w:val="Compact"/>
              <w:spacing w:after="0" w:before="0" w:line="240" w:lineRule="auto"/>
              <w:jc w:val="right"/>
            </w:pPr>
            <w:r>
              <w:rPr>
                <w:rFonts w:ascii="Arial" w:hAnsi="Arial"/>
                <w:sz w:val="15"/>
              </w:rPr>
              <w:t xml:space="preserve">6.4%</w:t>
            </w:r>
          </w:p>
        </w:tc>
        <w:tc>
          <w:tcPr>
            <w:tcW w:type="dxa" w:w="1418"/>
          </w:tcPr>
          <w:p>
            <w:pPr>
              <w:pStyle w:val="Compact"/>
              <w:spacing w:after="0" w:before="0" w:line="240" w:lineRule="auto"/>
              <w:jc w:val="right"/>
            </w:pPr>
            <w:r>
              <w:rPr>
                <w:rFonts w:ascii="Arial" w:hAnsi="Arial"/>
                <w:sz w:val="15"/>
              </w:rPr>
              <w:t xml:space="preserve">15.1%</w:t>
            </w:r>
          </w:p>
        </w:tc>
        <w:tc>
          <w:tcPr>
            <w:tcW w:type="dxa" w:w="1389"/>
          </w:tcPr>
          <w:p>
            <w:pPr>
              <w:pStyle w:val="Compact"/>
              <w:spacing w:after="0" w:before="0" w:line="240" w:lineRule="auto"/>
              <w:jc w:val="right"/>
            </w:pPr>
            <w:r>
              <w:rPr>
                <w:rFonts w:ascii="Arial" w:hAnsi="Arial"/>
                <w:sz w:val="15"/>
              </w:rPr>
              <w:t xml:space="preserve">15.1%</w:t>
            </w:r>
          </w:p>
        </w:tc>
        <w:tc>
          <w:tcPr>
            <w:tcW w:type="dxa" w:w="1389"/>
          </w:tcPr>
          <w:p>
            <w:pPr>
              <w:pStyle w:val="Compact"/>
              <w:spacing w:after="0" w:before="0" w:line="240" w:lineRule="auto"/>
              <w:jc w:val="right"/>
            </w:pPr>
            <w:r>
              <w:rPr>
                <w:rFonts w:ascii="Arial" w:hAnsi="Arial"/>
                <w:sz w:val="15"/>
              </w:rPr>
              <w:t xml:space="preserve">18.1%</w:t>
            </w:r>
          </w:p>
        </w:tc>
        <w:tc>
          <w:tcPr>
            <w:tcW w:type="dxa" w:w="1738"/>
          </w:tcPr>
          <w:p>
            <w:pPr>
              <w:pStyle w:val="Compact"/>
              <w:spacing w:after="0" w:before="0" w:line="240" w:lineRule="auto"/>
              <w:jc w:val="right"/>
            </w:pPr>
            <w:r>
              <w:rPr>
                <w:rFonts w:ascii="Arial" w:hAnsi="Arial"/>
                <w:sz w:val="15"/>
              </w:rPr>
              <w:t xml:space="preserve">12.8%</w:t>
            </w:r>
          </w:p>
        </w:tc>
      </w:tr>
      <w:tr>
        <w:trPr>
          <w:cantSplit/>
        </w:trPr>
        <w:tc>
          <w:tcPr>
            <w:tcW w:type="dxa" w:w="2690"/>
            <w:shd w:val="clear" w:color="auto" w:fill="F1F2F5"/>
          </w:tcPr>
          <w:p>
            <w:pPr>
              <w:pStyle w:val="Compact"/>
              <w:spacing w:after="0" w:before="0" w:line="240" w:lineRule="auto"/>
              <w:jc w:val="left"/>
            </w:pPr>
            <w:r>
              <w:rPr>
                <w:rFonts w:ascii="Arial" w:hAnsi="Arial"/>
                <w:sz w:val="15"/>
              </w:rPr>
              <w:t xml:space="preserve">Operating profit (IFRS)</w:t>
            </w:r>
          </w:p>
        </w:tc>
        <w:tc>
          <w:tcPr>
            <w:tcW w:type="dxa" w:w="1353"/>
            <w:shd w:val="clear" w:color="auto" w:fill="F1F2F5"/>
          </w:tcPr>
          <w:p>
            <w:pPr>
              <w:pStyle w:val="Compact"/>
              <w:spacing w:after="0" w:before="0" w:line="240" w:lineRule="auto"/>
              <w:jc w:val="right"/>
            </w:pPr>
            <w:r>
              <w:rPr>
                <w:rFonts w:ascii="Arial" w:hAnsi="Arial"/>
                <w:sz w:val="15"/>
              </w:rPr>
              <w:t xml:space="preserve">16.6</w:t>
            </w:r>
          </w:p>
        </w:tc>
        <w:tc>
          <w:tcPr>
            <w:tcW w:type="dxa" w:w="1418"/>
            <w:shd w:val="clear" w:color="auto" w:fill="F1F2F5"/>
          </w:tcPr>
          <w:p>
            <w:pPr>
              <w:pStyle w:val="Compact"/>
              <w:spacing w:after="0" w:before="0" w:line="240" w:lineRule="auto"/>
              <w:jc w:val="right"/>
            </w:pPr>
            <w:r>
              <w:rPr>
                <w:rFonts w:ascii="Arial" w:hAnsi="Arial"/>
                <w:sz w:val="15"/>
              </w:rPr>
              <w:t xml:space="preserve">29.5 [e]</w:t>
            </w:r>
          </w:p>
        </w:tc>
        <w:tc>
          <w:tcPr>
            <w:tcW w:type="dxa" w:w="1389"/>
            <w:shd w:val="clear" w:color="auto" w:fill="F1F2F5"/>
          </w:tcPr>
          <w:p>
            <w:pPr>
              <w:pStyle w:val="Compact"/>
              <w:spacing w:after="0" w:before="0" w:line="240" w:lineRule="auto"/>
              <w:jc w:val="right"/>
            </w:pPr>
            <w:r>
              <w:rPr>
                <w:rFonts w:ascii="Arial" w:hAnsi="Arial"/>
                <w:sz w:val="15"/>
              </w:rPr>
              <w:t xml:space="preserve">24.1</w:t>
            </w:r>
          </w:p>
        </w:tc>
        <w:tc>
          <w:tcPr>
            <w:tcW w:type="dxa" w:w="1389"/>
            <w:shd w:val="clear" w:color="auto" w:fill="F1F2F5"/>
          </w:tcPr>
          <w:p>
            <w:pPr>
              <w:pStyle w:val="Compact"/>
              <w:spacing w:after="0" w:before="0" w:line="240" w:lineRule="auto"/>
              <w:jc w:val="right"/>
            </w:pPr>
            <w:r>
              <w:rPr>
                <w:rFonts w:ascii="Arial" w:hAnsi="Arial"/>
                <w:sz w:val="15"/>
              </w:rPr>
              <w:t xml:space="preserve">26.9</w:t>
            </w:r>
          </w:p>
        </w:tc>
        <w:tc>
          <w:tcPr>
            <w:tcW w:type="dxa" w:w="1738"/>
            <w:shd w:val="clear" w:color="auto" w:fill="F1F2F5"/>
          </w:tcPr>
          <w:p>
            <w:pPr>
              <w:pStyle w:val="Compact"/>
              <w:spacing w:after="0" w:before="0" w:line="240" w:lineRule="auto"/>
              <w:jc w:val="right"/>
            </w:pPr>
            <w:r>
              <w:rPr>
                <w:rFonts w:ascii="Arial" w:hAnsi="Arial"/>
                <w:sz w:val="15"/>
              </w:rPr>
              <w:t xml:space="preserve">29.0</w:t>
            </w:r>
          </w:p>
        </w:tc>
      </w:tr>
      <w:tr>
        <w:trPr>
          <w:cantSplit/>
        </w:trPr>
        <w:tc>
          <w:tcPr>
            <w:tcW w:type="dxa" w:w="2690"/>
          </w:tcPr>
          <w:p>
            <w:pPr>
              <w:pStyle w:val="Compact"/>
              <w:spacing w:after="0" w:before="0" w:line="240" w:lineRule="auto"/>
              <w:jc w:val="left"/>
            </w:pPr>
            <w:r>
              <w:rPr>
                <w:rFonts w:ascii="Arial" w:hAnsi="Arial"/>
                <w:sz w:val="15"/>
              </w:rPr>
              <w:t xml:space="preserve">Net income</w:t>
            </w:r>
          </w:p>
        </w:tc>
        <w:tc>
          <w:tcPr>
            <w:tcW w:type="dxa" w:w="1353"/>
          </w:tcPr>
          <w:p>
            <w:pPr>
              <w:pStyle w:val="Compact"/>
              <w:spacing w:after="0" w:before="0" w:line="240" w:lineRule="auto"/>
              <w:jc w:val="right"/>
            </w:pPr>
            <w:r>
              <w:rPr>
                <w:rFonts w:ascii="Arial" w:hAnsi="Arial"/>
                <w:sz w:val="15"/>
              </w:rPr>
              <w:t xml:space="preserve">9.0</w:t>
            </w:r>
          </w:p>
        </w:tc>
        <w:tc>
          <w:tcPr>
            <w:tcW w:type="dxa" w:w="1418"/>
          </w:tcPr>
          <w:p>
            <w:pPr>
              <w:pStyle w:val="Compact"/>
              <w:spacing w:after="0" w:before="0" w:line="240" w:lineRule="auto"/>
              <w:jc w:val="right"/>
            </w:pPr>
            <w:r>
              <w:rPr>
                <w:rFonts w:ascii="Arial" w:hAnsi="Arial"/>
                <w:sz w:val="15"/>
              </w:rPr>
              <w:t xml:space="preserve">20.2</w:t>
            </w:r>
          </w:p>
        </w:tc>
        <w:tc>
          <w:tcPr>
            <w:tcW w:type="dxa" w:w="1389"/>
          </w:tcPr>
          <w:p>
            <w:pPr>
              <w:pStyle w:val="Compact"/>
              <w:spacing w:after="0" w:before="0" w:line="240" w:lineRule="auto"/>
              <w:jc w:val="right"/>
            </w:pPr>
            <w:r>
              <w:rPr>
                <w:rFonts w:ascii="Arial" w:hAnsi="Arial"/>
                <w:sz w:val="15"/>
              </w:rPr>
              <w:t xml:space="preserve">14.2</w:t>
            </w:r>
          </w:p>
        </w:tc>
        <w:tc>
          <w:tcPr>
            <w:tcW w:type="dxa" w:w="1389"/>
          </w:tcPr>
          <w:p>
            <w:pPr>
              <w:pStyle w:val="Compact"/>
              <w:spacing w:after="0" w:before="0" w:line="240" w:lineRule="auto"/>
              <w:jc w:val="right"/>
            </w:pPr>
            <w:r>
              <w:rPr>
                <w:rFonts w:ascii="Arial" w:hAnsi="Arial"/>
                <w:sz w:val="15"/>
              </w:rPr>
              <w:t xml:space="preserve">24.8</w:t>
            </w:r>
          </w:p>
        </w:tc>
        <w:tc>
          <w:tcPr>
            <w:tcW w:type="dxa" w:w="1738"/>
          </w:tcPr>
          <w:p>
            <w:pPr>
              <w:pStyle w:val="Compact"/>
              <w:spacing w:after="0" w:before="0" w:line="240" w:lineRule="auto"/>
              <w:jc w:val="right"/>
            </w:pPr>
            <w:r>
              <w:rPr>
                <w:rFonts w:ascii="Arial" w:hAnsi="Arial"/>
                <w:sz w:val="15"/>
              </w:rPr>
              <w:t xml:space="preserve">19.1</w:t>
            </w:r>
          </w:p>
        </w:tc>
      </w:tr>
    </w:tbl>
    <w:p>
      <w:pPr>
        <w:pStyle w:val="BodyText"/>
      </w:pPr>
      <w:r>
        <w:rPr>
          <w:iCs/>
          <w:i/>
        </w:rPr>
        <w:t xml:space="preserve">2Q–4Q are derived from cumulative disclosures [e]. 1Q FY3/27 adjusted OP is from Quartr and reconciles with CIQ gross profit, SG&amp;A and equity-method lines.</w:t>
      </w:r>
    </w:p>
    <w:p>
      <w:pPr>
        <w:pStyle w:val="CaptionedFigure"/>
      </w:pPr>
      <w:r>
        <w:drawing>
          <wp:inline>
            <wp:extent cx="6261100" cy="2396267"/>
            <wp:effectExtent b="0" l="0" r="0" t="0"/>
            <wp:docPr descr="Quarterly revenue and operating profit" title="" id="53" name="Picture"/>
            <a:graphic>
              <a:graphicData uri="http://schemas.openxmlformats.org/drawingml/2006/picture">
                <pic:pic>
                  <pic:nvPicPr>
                    <pic:cNvPr descr="../charts/quarterly.png" id="54" name="Picture"/>
                    <pic:cNvPicPr>
                      <a:picLocks noChangeArrowheads="1" noChangeAspect="1"/>
                    </pic:cNvPicPr>
                  </pic:nvPicPr>
                  <pic:blipFill>
                    <a:blip r:embed="rId52"/>
                    <a:stretch>
                      <a:fillRect/>
                    </a:stretch>
                  </pic:blipFill>
                  <pic:spPr bwMode="auto">
                    <a:xfrm>
                      <a:off x="0" y="0"/>
                      <a:ext cx="6261100" cy="2396267"/>
                    </a:xfrm>
                    <a:prstGeom prst="rect">
                      <a:avLst/>
                    </a:prstGeom>
                    <a:noFill/>
                    <a:ln w="9525">
                      <a:noFill/>
                      <a:headEnd/>
                      <a:tailEnd/>
                    </a:ln>
                  </pic:spPr>
                </pic:pic>
              </a:graphicData>
            </a:graphic>
          </wp:inline>
        </w:drawing>
      </w:r>
    </w:p>
    <w:p>
      <w:pPr>
        <w:pStyle w:val="ImageCaption"/>
      </w:pPr>
      <w:r>
        <w:t xml:space="preserve">Quarterly revenue and operating profit</w:t>
      </w:r>
    </w:p>
    <w:bookmarkEnd w:id="55"/>
    <w:bookmarkStart w:id="56" w:name="operational-kpis"/>
    <w:p>
      <w:pPr>
        <w:pStyle w:val="Heading2"/>
      </w:pPr>
      <w:r>
        <w:t xml:space="preserve">Operational KPIs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56"/>
        <w:gridCol w:w="900"/>
        <w:gridCol w:w="1039"/>
        <w:gridCol w:w="982"/>
        <w:gridCol w:w="1145"/>
        <w:gridCol w:w="1903"/>
        <w:gridCol w:w="2150"/>
      </w:tblGrid>
      <w:tr>
        <w:trPr>
          <w:tblHeader w:val="true"/>
          <w:tblHeader w:val="true"/>
          <w:cantSplit/>
        </w:trPr>
        <w:tc>
          <w:tcPr>
            <w:tcW w:type="dxa" w:w="1856"/>
            <w:shd w:val="clear" w:color="auto" w:fill="13213F"/>
          </w:tcPr>
          <w:p>
            <w:pPr>
              <w:pStyle w:val="Compact"/>
              <w:spacing w:after="0" w:before="0" w:line="240" w:lineRule="auto"/>
              <w:jc w:val="left"/>
            </w:pPr>
            <w:r>
              <w:rPr>
                <w:rFonts w:ascii="Arial" w:hAnsi="Arial"/>
                <w:b/>
                <w:color w:val="FFFFFF"/>
                <w:sz w:val="15"/>
              </w:rPr>
              <w:t xml:space="preserve">KPI</w:t>
            </w:r>
          </w:p>
        </w:tc>
        <w:tc>
          <w:tcPr>
            <w:tcW w:type="dxa" w:w="901"/>
            <w:shd w:val="clear" w:color="auto" w:fill="13213F"/>
          </w:tcPr>
          <w:p>
            <w:pPr>
              <w:pStyle w:val="Compact"/>
              <w:spacing w:after="0" w:before="0" w:line="240" w:lineRule="auto"/>
              <w:jc w:val="right"/>
            </w:pPr>
            <w:r>
              <w:rPr>
                <w:rFonts w:ascii="Arial" w:hAnsi="Arial"/>
                <w:b/>
                <w:color w:val="FFFFFF"/>
                <w:sz w:val="15"/>
              </w:rPr>
              <w:t xml:space="preserve">FY3/22</w:t>
            </w:r>
          </w:p>
        </w:tc>
        <w:tc>
          <w:tcPr>
            <w:tcW w:type="dxa" w:w="1039"/>
            <w:shd w:val="clear" w:color="auto" w:fill="13213F"/>
          </w:tcPr>
          <w:p>
            <w:pPr>
              <w:pStyle w:val="Compact"/>
              <w:spacing w:after="0" w:before="0" w:line="240" w:lineRule="auto"/>
              <w:jc w:val="right"/>
            </w:pPr>
            <w:r>
              <w:rPr>
                <w:rFonts w:ascii="Arial" w:hAnsi="Arial"/>
                <w:b/>
                <w:color w:val="FFFFFF"/>
                <w:sz w:val="15"/>
              </w:rPr>
              <w:t xml:space="preserve">FY3/23</w:t>
            </w:r>
          </w:p>
        </w:tc>
        <w:tc>
          <w:tcPr>
            <w:tcW w:type="dxa" w:w="983"/>
            <w:shd w:val="clear" w:color="auto" w:fill="13213F"/>
          </w:tcPr>
          <w:p>
            <w:pPr>
              <w:pStyle w:val="Compact"/>
              <w:spacing w:after="0" w:before="0" w:line="240" w:lineRule="auto"/>
              <w:jc w:val="right"/>
            </w:pPr>
            <w:r>
              <w:rPr>
                <w:rFonts w:ascii="Arial" w:hAnsi="Arial"/>
                <w:b/>
                <w:color w:val="FFFFFF"/>
                <w:sz w:val="15"/>
              </w:rPr>
              <w:t xml:space="preserve">FY3/24</w:t>
            </w:r>
          </w:p>
        </w:tc>
        <w:tc>
          <w:tcPr>
            <w:tcW w:type="dxa" w:w="1145"/>
            <w:shd w:val="clear" w:color="auto" w:fill="13213F"/>
          </w:tcPr>
          <w:p>
            <w:pPr>
              <w:pStyle w:val="Compact"/>
              <w:spacing w:after="0" w:before="0" w:line="240" w:lineRule="auto"/>
              <w:jc w:val="right"/>
            </w:pPr>
            <w:r>
              <w:rPr>
                <w:rFonts w:ascii="Arial" w:hAnsi="Arial"/>
                <w:b/>
                <w:color w:val="FFFFFF"/>
                <w:sz w:val="15"/>
              </w:rPr>
              <w:t xml:space="preserve">FY3/25</w:t>
            </w:r>
          </w:p>
        </w:tc>
        <w:tc>
          <w:tcPr>
            <w:tcW w:type="dxa" w:w="1903"/>
            <w:shd w:val="clear" w:color="auto" w:fill="13213F"/>
          </w:tcPr>
          <w:p>
            <w:pPr>
              <w:pStyle w:val="Compact"/>
              <w:spacing w:after="0" w:before="0" w:line="240" w:lineRule="auto"/>
              <w:jc w:val="right"/>
            </w:pPr>
            <w:r>
              <w:rPr>
                <w:rFonts w:ascii="Arial" w:hAnsi="Arial"/>
                <w:b/>
                <w:color w:val="FFFFFF"/>
                <w:sz w:val="15"/>
              </w:rPr>
              <w:t xml:space="preserve">FY3/26</w:t>
            </w:r>
          </w:p>
        </w:tc>
        <w:tc>
          <w:tcPr>
            <w:tcW w:type="dxa" w:w="2151"/>
            <w:shd w:val="clear" w:color="auto" w:fill="13213F"/>
          </w:tcPr>
          <w:p>
            <w:pPr>
              <w:pStyle w:val="Compact"/>
              <w:spacing w:after="0" w:before="0" w:line="240" w:lineRule="auto"/>
              <w:jc w:val="left"/>
            </w:pPr>
            <w:r>
              <w:rPr>
                <w:rFonts w:ascii="Arial" w:hAnsi="Arial"/>
                <w:b/>
                <w:color w:val="FFFFFF"/>
                <w:sz w:val="15"/>
              </w:rPr>
              <w:t xml:space="preserve">Latest / comment</w:t>
            </w:r>
          </w:p>
        </w:tc>
      </w:tr>
      <w:tr>
        <w:trPr>
          <w:cantSplit/>
        </w:trPr>
        <w:tc>
          <w:tcPr>
            <w:tcW w:type="dxa" w:w="1856"/>
          </w:tcPr>
          <w:p>
            <w:pPr>
              <w:pStyle w:val="Compact"/>
              <w:spacing w:after="0" w:before="0" w:line="240" w:lineRule="auto"/>
              <w:jc w:val="left"/>
            </w:pPr>
            <w:r>
              <w:rPr>
                <w:rFonts w:ascii="Arial" w:hAnsi="Arial"/>
                <w:sz w:val="15"/>
              </w:rPr>
              <w:t xml:space="preserve">Revenue growth, cc</w:t>
            </w:r>
          </w:p>
        </w:tc>
        <w:tc>
          <w:tcPr>
            <w:tcW w:type="dxa" w:w="901"/>
          </w:tcPr>
          <w:p>
            <w:pPr>
              <w:pStyle w:val="Compact"/>
              <w:spacing w:after="0" w:before="0" w:line="240" w:lineRule="auto"/>
              <w:jc w:val="right"/>
            </w:pPr>
            <w:r>
              <w:rPr>
                <w:rFonts w:ascii="Arial" w:hAnsi="Arial"/>
                <w:sz w:val="15"/>
              </w:rPr>
              <w:t xml:space="preserve">n/d</w:t>
            </w:r>
          </w:p>
        </w:tc>
        <w:tc>
          <w:tcPr>
            <w:tcW w:type="dxa" w:w="1039"/>
          </w:tcPr>
          <w:p>
            <w:pPr>
              <w:pStyle w:val="Compact"/>
              <w:spacing w:after="0" w:before="0" w:line="240" w:lineRule="auto"/>
              <w:jc w:val="right"/>
            </w:pPr>
            <w:r>
              <w:rPr>
                <w:rFonts w:ascii="Arial" w:hAnsi="Arial"/>
                <w:sz w:val="15"/>
              </w:rPr>
              <w:t xml:space="preserve">+4.5%</w:t>
            </w:r>
          </w:p>
        </w:tc>
        <w:tc>
          <w:tcPr>
            <w:tcW w:type="dxa" w:w="983"/>
          </w:tcPr>
          <w:p>
            <w:pPr>
              <w:pStyle w:val="Compact"/>
              <w:spacing w:after="0" w:before="0" w:line="240" w:lineRule="auto"/>
              <w:jc w:val="right"/>
            </w:pPr>
            <w:r>
              <w:rPr>
                <w:rFonts w:ascii="Arial" w:hAnsi="Arial"/>
                <w:sz w:val="15"/>
              </w:rPr>
              <w:t xml:space="preserve">+0.3%</w:t>
            </w:r>
          </w:p>
        </w:tc>
        <w:tc>
          <w:tcPr>
            <w:tcW w:type="dxa" w:w="1145"/>
          </w:tcPr>
          <w:p>
            <w:pPr>
              <w:pStyle w:val="Compact"/>
              <w:spacing w:after="0" w:before="0" w:line="240" w:lineRule="auto"/>
              <w:jc w:val="right"/>
            </w:pPr>
            <w:r>
              <w:rPr>
                <w:rFonts w:ascii="Arial" w:hAnsi="Arial"/>
                <w:sz w:val="15"/>
              </w:rPr>
              <w:t xml:space="preserve">+3.4%</w:t>
            </w:r>
          </w:p>
        </w:tc>
        <w:tc>
          <w:tcPr>
            <w:tcW w:type="dxa" w:w="1903"/>
          </w:tcPr>
          <w:p>
            <w:pPr>
              <w:pStyle w:val="Compact"/>
              <w:spacing w:after="0" w:before="0" w:line="240" w:lineRule="auto"/>
              <w:jc w:val="right"/>
            </w:pPr>
            <w:r>
              <w:rPr>
                <w:rFonts w:ascii="Arial" w:hAnsi="Arial"/>
                <w:sz w:val="15"/>
              </w:rPr>
              <w:t xml:space="preserve">~0%</w:t>
            </w:r>
          </w:p>
        </w:tc>
        <w:tc>
          <w:tcPr>
            <w:tcW w:type="dxa" w:w="2151"/>
          </w:tcPr>
          <w:p>
            <w:pPr>
              <w:pStyle w:val="Compact"/>
              <w:spacing w:after="0" w:before="0" w:line="240" w:lineRule="auto"/>
              <w:jc w:val="left"/>
            </w:pPr>
            <w:r>
              <w:rPr>
                <w:rFonts w:ascii="Arial" w:hAnsi="Arial"/>
                <w:sz w:val="15"/>
              </w:rPr>
              <w:t xml:space="preserve">~+5% 1Q FY3/27; FY3/27 guide ~3%</w:t>
            </w:r>
          </w:p>
        </w:tc>
      </w:tr>
      <w:tr>
        <w:trPr>
          <w:cantSplit/>
        </w:trPr>
        <w:tc>
          <w:tcPr>
            <w:tcW w:type="dxa" w:w="1856"/>
            <w:shd w:val="clear" w:color="auto" w:fill="F1F2F5"/>
          </w:tcPr>
          <w:p>
            <w:pPr>
              <w:pStyle w:val="Compact"/>
              <w:spacing w:after="0" w:before="0" w:line="240" w:lineRule="auto"/>
              <w:jc w:val="left"/>
            </w:pPr>
            <w:r>
              <w:rPr>
                <w:rFonts w:ascii="Arial" w:hAnsi="Arial"/>
                <w:sz w:val="15"/>
              </w:rPr>
              <w:t xml:space="preserve">Gross margin</w:t>
            </w:r>
          </w:p>
        </w:tc>
        <w:tc>
          <w:tcPr>
            <w:tcW w:type="dxa" w:w="901"/>
            <w:shd w:val="clear" w:color="auto" w:fill="F1F2F5"/>
          </w:tcPr>
          <w:p>
            <w:pPr>
              <w:pStyle w:val="Compact"/>
              <w:spacing w:after="0" w:before="0" w:line="240" w:lineRule="auto"/>
              <w:jc w:val="right"/>
            </w:pPr>
            <w:r>
              <w:rPr>
                <w:rFonts w:ascii="Arial" w:hAnsi="Arial"/>
                <w:sz w:val="15"/>
              </w:rPr>
              <w:t xml:space="preserve">67.5%</w:t>
            </w:r>
          </w:p>
        </w:tc>
        <w:tc>
          <w:tcPr>
            <w:tcW w:type="dxa" w:w="1039"/>
            <w:shd w:val="clear" w:color="auto" w:fill="F1F2F5"/>
          </w:tcPr>
          <w:p>
            <w:pPr>
              <w:pStyle w:val="Compact"/>
              <w:spacing w:after="0" w:before="0" w:line="240" w:lineRule="auto"/>
              <w:jc w:val="right"/>
            </w:pPr>
            <w:r>
              <w:rPr>
                <w:rFonts w:ascii="Arial" w:hAnsi="Arial"/>
                <w:sz w:val="15"/>
              </w:rPr>
              <w:t xml:space="preserve">67.7%</w:t>
            </w:r>
          </w:p>
        </w:tc>
        <w:tc>
          <w:tcPr>
            <w:tcW w:type="dxa" w:w="983"/>
            <w:shd w:val="clear" w:color="auto" w:fill="F1F2F5"/>
          </w:tcPr>
          <w:p>
            <w:pPr>
              <w:pStyle w:val="Compact"/>
              <w:spacing w:after="0" w:before="0" w:line="240" w:lineRule="auto"/>
              <w:jc w:val="right"/>
            </w:pPr>
            <w:r>
              <w:rPr>
                <w:rFonts w:ascii="Arial" w:hAnsi="Arial"/>
                <w:sz w:val="15"/>
              </w:rPr>
              <w:t xml:space="preserve">66.8%</w:t>
            </w:r>
          </w:p>
        </w:tc>
        <w:tc>
          <w:tcPr>
            <w:tcW w:type="dxa" w:w="1145"/>
            <w:shd w:val="clear" w:color="auto" w:fill="F1F2F5"/>
          </w:tcPr>
          <w:p>
            <w:pPr>
              <w:pStyle w:val="Compact"/>
              <w:spacing w:after="0" w:before="0" w:line="240" w:lineRule="auto"/>
              <w:jc w:val="right"/>
            </w:pPr>
            <w:r>
              <w:rPr>
                <w:rFonts w:ascii="Arial" w:hAnsi="Arial"/>
                <w:sz w:val="15"/>
              </w:rPr>
              <w:t xml:space="preserve">68.6%</w:t>
            </w:r>
          </w:p>
        </w:tc>
        <w:tc>
          <w:tcPr>
            <w:tcW w:type="dxa" w:w="1903"/>
            <w:shd w:val="clear" w:color="auto" w:fill="F1F2F5"/>
          </w:tcPr>
          <w:p>
            <w:pPr>
              <w:pStyle w:val="Compact"/>
              <w:spacing w:after="0" w:before="0" w:line="240" w:lineRule="auto"/>
              <w:jc w:val="right"/>
            </w:pPr>
            <w:r>
              <w:rPr>
                <w:rFonts w:ascii="Arial" w:hAnsi="Arial"/>
                <w:sz w:val="15"/>
              </w:rPr>
              <w:t xml:space="preserve">64.7%</w:t>
            </w:r>
          </w:p>
        </w:tc>
        <w:tc>
          <w:tcPr>
            <w:tcW w:type="dxa" w:w="2151"/>
            <w:shd w:val="clear" w:color="auto" w:fill="F1F2F5"/>
          </w:tcPr>
          <w:p>
            <w:pPr>
              <w:pStyle w:val="Compact"/>
              <w:spacing w:after="0" w:before="0" w:line="240" w:lineRule="auto"/>
              <w:jc w:val="left"/>
            </w:pPr>
            <w:r>
              <w:rPr>
                <w:rFonts w:ascii="Arial" w:hAnsi="Arial"/>
                <w:sz w:val="15"/>
              </w:rPr>
              <w:t xml:space="preserve">65.2% 1Q FY3/27</w:t>
            </w:r>
          </w:p>
        </w:tc>
      </w:tr>
      <w:tr>
        <w:trPr>
          <w:cantSplit/>
        </w:trPr>
        <w:tc>
          <w:tcPr>
            <w:tcW w:type="dxa" w:w="1856"/>
          </w:tcPr>
          <w:p>
            <w:pPr>
              <w:pStyle w:val="Compact"/>
              <w:spacing w:after="0" w:before="0" w:line="240" w:lineRule="auto"/>
              <w:jc w:val="left"/>
            </w:pPr>
            <w:r>
              <w:rPr>
                <w:rFonts w:ascii="Arial" w:hAnsi="Arial"/>
                <w:sz w:val="15"/>
              </w:rPr>
              <w:t xml:space="preserve">R&amp;D / sales</w:t>
            </w:r>
          </w:p>
        </w:tc>
        <w:tc>
          <w:tcPr>
            <w:tcW w:type="dxa" w:w="901"/>
          </w:tcPr>
          <w:p>
            <w:pPr>
              <w:pStyle w:val="Compact"/>
              <w:spacing w:after="0" w:before="0" w:line="240" w:lineRule="auto"/>
              <w:jc w:val="right"/>
            </w:pPr>
            <w:r>
              <w:rPr>
                <w:rFonts w:ascii="Arial" w:hAnsi="Arial"/>
                <w:sz w:val="15"/>
              </w:rPr>
              <w:t xml:space="preserve">n/d</w:t>
            </w:r>
          </w:p>
        </w:tc>
        <w:tc>
          <w:tcPr>
            <w:tcW w:type="dxa" w:w="1039"/>
          </w:tcPr>
          <w:p>
            <w:pPr>
              <w:pStyle w:val="Compact"/>
              <w:spacing w:after="0" w:before="0" w:line="240" w:lineRule="auto"/>
              <w:jc w:val="right"/>
            </w:pPr>
            <w:r>
              <w:rPr>
                <w:rFonts w:ascii="Arial" w:hAnsi="Arial"/>
                <w:sz w:val="15"/>
              </w:rPr>
              <w:t xml:space="preserve">8.7%</w:t>
            </w:r>
          </w:p>
        </w:tc>
        <w:tc>
          <w:tcPr>
            <w:tcW w:type="dxa" w:w="983"/>
          </w:tcPr>
          <w:p>
            <w:pPr>
              <w:pStyle w:val="Compact"/>
              <w:spacing w:after="0" w:before="0" w:line="240" w:lineRule="auto"/>
              <w:jc w:val="right"/>
            </w:pPr>
            <w:r>
              <w:rPr>
                <w:rFonts w:ascii="Arial" w:hAnsi="Arial"/>
                <w:sz w:val="15"/>
              </w:rPr>
              <w:t xml:space="preserve">9.3%</w:t>
            </w:r>
          </w:p>
        </w:tc>
        <w:tc>
          <w:tcPr>
            <w:tcW w:type="dxa" w:w="1145"/>
          </w:tcPr>
          <w:p>
            <w:pPr>
              <w:pStyle w:val="Compact"/>
              <w:spacing w:after="0" w:before="0" w:line="240" w:lineRule="auto"/>
              <w:jc w:val="right"/>
            </w:pPr>
            <w:r>
              <w:rPr>
                <w:rFonts w:ascii="Arial" w:hAnsi="Arial"/>
                <w:sz w:val="15"/>
              </w:rPr>
              <w:t xml:space="preserve">10.4%</w:t>
            </w:r>
          </w:p>
        </w:tc>
        <w:tc>
          <w:tcPr>
            <w:tcW w:type="dxa" w:w="1903"/>
          </w:tcPr>
          <w:p>
            <w:pPr>
              <w:pStyle w:val="Compact"/>
              <w:spacing w:after="0" w:before="0" w:line="240" w:lineRule="auto"/>
              <w:jc w:val="right"/>
            </w:pPr>
            <w:r>
              <w:rPr>
                <w:rFonts w:ascii="Arial" w:hAnsi="Arial"/>
                <w:sz w:val="15"/>
              </w:rPr>
              <w:t xml:space="preserve">10.9%</w:t>
            </w:r>
          </w:p>
        </w:tc>
        <w:tc>
          <w:tcPr>
            <w:tcW w:type="dxa" w:w="2151"/>
          </w:tcPr>
          <w:p>
            <w:pPr>
              <w:pStyle w:val="Compact"/>
              <w:spacing w:after="0" w:before="0" w:line="240" w:lineRule="auto"/>
              <w:jc w:val="left"/>
            </w:pPr>
            <w:r>
              <w:rPr>
                <w:rFonts w:ascii="Arial" w:hAnsi="Arial"/>
                <w:sz w:val="15"/>
              </w:rPr>
              <w:t xml:space="preserve">FY3/27 guide JPY119bn</w:t>
            </w:r>
          </w:p>
        </w:tc>
      </w:tr>
      <w:tr>
        <w:trPr>
          <w:cantSplit/>
        </w:trPr>
        <w:tc>
          <w:tcPr>
            <w:tcW w:type="dxa" w:w="1856"/>
            <w:shd w:val="clear" w:color="auto" w:fill="F1F2F5"/>
          </w:tcPr>
          <w:p>
            <w:pPr>
              <w:pStyle w:val="Compact"/>
              <w:spacing w:after="0" w:before="0" w:line="240" w:lineRule="auto"/>
              <w:jc w:val="left"/>
            </w:pPr>
            <w:r>
              <w:rPr>
                <w:rFonts w:ascii="Arial" w:hAnsi="Arial"/>
                <w:sz w:val="15"/>
              </w:rPr>
              <w:t xml:space="preserve">Capital investment / sales</w:t>
            </w:r>
          </w:p>
        </w:tc>
        <w:tc>
          <w:tcPr>
            <w:tcW w:type="dxa" w:w="901"/>
            <w:shd w:val="clear" w:color="auto" w:fill="F1F2F5"/>
          </w:tcPr>
          <w:p>
            <w:pPr>
              <w:pStyle w:val="Compact"/>
              <w:spacing w:after="0" w:before="0" w:line="240" w:lineRule="auto"/>
              <w:jc w:val="right"/>
            </w:pPr>
            <w:r>
              <w:rPr>
                <w:rFonts w:ascii="Arial" w:hAnsi="Arial"/>
                <w:sz w:val="15"/>
              </w:rPr>
              <w:t xml:space="preserve">8.8%</w:t>
            </w:r>
          </w:p>
        </w:tc>
        <w:tc>
          <w:tcPr>
            <w:tcW w:type="dxa" w:w="1039"/>
            <w:shd w:val="clear" w:color="auto" w:fill="F1F2F5"/>
          </w:tcPr>
          <w:p>
            <w:pPr>
              <w:pStyle w:val="Compact"/>
              <w:spacing w:after="0" w:before="0" w:line="240" w:lineRule="auto"/>
              <w:jc w:val="right"/>
            </w:pPr>
            <w:r>
              <w:rPr>
                <w:rFonts w:ascii="Arial" w:hAnsi="Arial"/>
                <w:sz w:val="15"/>
              </w:rPr>
              <w:t xml:space="preserve">8.2%</w:t>
            </w:r>
          </w:p>
        </w:tc>
        <w:tc>
          <w:tcPr>
            <w:tcW w:type="dxa" w:w="983"/>
            <w:shd w:val="clear" w:color="auto" w:fill="F1F2F5"/>
          </w:tcPr>
          <w:p>
            <w:pPr>
              <w:pStyle w:val="Compact"/>
              <w:spacing w:after="0" w:before="0" w:line="240" w:lineRule="auto"/>
              <w:jc w:val="right"/>
            </w:pPr>
            <w:r>
              <w:rPr>
                <w:rFonts w:ascii="Arial" w:hAnsi="Arial"/>
                <w:sz w:val="15"/>
              </w:rPr>
              <w:t xml:space="preserve">8.6%</w:t>
            </w:r>
          </w:p>
        </w:tc>
        <w:tc>
          <w:tcPr>
            <w:tcW w:type="dxa" w:w="1145"/>
            <w:shd w:val="clear" w:color="auto" w:fill="F1F2F5"/>
          </w:tcPr>
          <w:p>
            <w:pPr>
              <w:pStyle w:val="Compact"/>
              <w:spacing w:after="0" w:before="0" w:line="240" w:lineRule="auto"/>
              <w:jc w:val="right"/>
            </w:pPr>
            <w:r>
              <w:rPr>
                <w:rFonts w:ascii="Arial" w:hAnsi="Arial"/>
                <w:sz w:val="15"/>
              </w:rPr>
              <w:t xml:space="preserve">8.5%</w:t>
            </w:r>
          </w:p>
        </w:tc>
        <w:tc>
          <w:tcPr>
            <w:tcW w:type="dxa" w:w="1903"/>
            <w:shd w:val="clear" w:color="auto" w:fill="F1F2F5"/>
          </w:tcPr>
          <w:p>
            <w:pPr>
              <w:pStyle w:val="Compact"/>
              <w:spacing w:after="0" w:before="0" w:line="240" w:lineRule="auto"/>
              <w:jc w:val="right"/>
            </w:pPr>
            <w:r>
              <w:rPr>
                <w:rFonts w:ascii="Arial" w:hAnsi="Arial"/>
                <w:sz w:val="15"/>
              </w:rPr>
              <w:t xml:space="preserve">9.1%</w:t>
            </w:r>
          </w:p>
        </w:tc>
        <w:tc>
          <w:tcPr>
            <w:tcW w:type="dxa" w:w="2151"/>
            <w:shd w:val="clear" w:color="auto" w:fill="F1F2F5"/>
          </w:tcPr>
          <w:p>
            <w:pPr>
              <w:pStyle w:val="Compact"/>
              <w:spacing w:after="0" w:before="0" w:line="240" w:lineRule="auto"/>
              <w:jc w:val="left"/>
            </w:pPr>
            <w:r>
              <w:rPr>
                <w:rFonts w:ascii="Arial" w:hAnsi="Arial"/>
                <w:sz w:val="15"/>
              </w:rPr>
              <w:t xml:space="preserve">FY3/27 capex guide JPY95bn</w:t>
            </w:r>
          </w:p>
        </w:tc>
      </w:tr>
      <w:tr>
        <w:trPr>
          <w:cantSplit/>
        </w:trPr>
        <w:tc>
          <w:tcPr>
            <w:tcW w:type="dxa" w:w="1856"/>
          </w:tcPr>
          <w:p>
            <w:pPr>
              <w:pStyle w:val="Compact"/>
              <w:spacing w:after="0" w:before="0" w:line="240" w:lineRule="auto"/>
              <w:jc w:val="left"/>
            </w:pPr>
            <w:r>
              <w:rPr>
                <w:rFonts w:ascii="Arial" w:hAnsi="Arial"/>
                <w:sz w:val="15"/>
              </w:rPr>
              <w:t xml:space="preserve">Inventory days (on COGS) [e]</w:t>
            </w:r>
          </w:p>
        </w:tc>
        <w:tc>
          <w:tcPr>
            <w:tcW w:type="dxa" w:w="901"/>
          </w:tcPr>
          <w:p>
            <w:pPr>
              <w:pStyle w:val="Compact"/>
              <w:spacing w:after="0" w:before="0" w:line="240" w:lineRule="auto"/>
              <w:jc w:val="right"/>
            </w:pPr>
            <w:r>
              <w:rPr>
                <w:rFonts w:ascii="Arial" w:hAnsi="Arial"/>
                <w:sz w:val="15"/>
              </w:rPr>
              <w:t xml:space="preserve">206</w:t>
            </w:r>
          </w:p>
        </w:tc>
        <w:tc>
          <w:tcPr>
            <w:tcW w:type="dxa" w:w="1039"/>
          </w:tcPr>
          <w:p>
            <w:pPr>
              <w:pStyle w:val="Compact"/>
              <w:spacing w:after="0" w:before="0" w:line="240" w:lineRule="auto"/>
              <w:jc w:val="right"/>
            </w:pPr>
            <w:r>
              <w:rPr>
                <w:rFonts w:ascii="Arial" w:hAnsi="Arial"/>
                <w:sz w:val="15"/>
              </w:rPr>
              <w:t xml:space="preserve">209</w:t>
            </w:r>
          </w:p>
        </w:tc>
        <w:tc>
          <w:tcPr>
            <w:tcW w:type="dxa" w:w="983"/>
          </w:tcPr>
          <w:p>
            <w:pPr>
              <w:pStyle w:val="Compact"/>
              <w:spacing w:after="0" w:before="0" w:line="240" w:lineRule="auto"/>
              <w:jc w:val="right"/>
            </w:pPr>
            <w:r>
              <w:rPr>
                <w:rFonts w:ascii="Arial" w:hAnsi="Arial"/>
                <w:sz w:val="15"/>
              </w:rPr>
              <w:t xml:space="preserve">223</w:t>
            </w:r>
          </w:p>
        </w:tc>
        <w:tc>
          <w:tcPr>
            <w:tcW w:type="dxa" w:w="1145"/>
          </w:tcPr>
          <w:p>
            <w:pPr>
              <w:pStyle w:val="Compact"/>
              <w:spacing w:after="0" w:before="0" w:line="240" w:lineRule="auto"/>
              <w:jc w:val="right"/>
            </w:pPr>
            <w:r>
              <w:rPr>
                <w:rFonts w:ascii="Arial" w:hAnsi="Arial"/>
                <w:sz w:val="15"/>
              </w:rPr>
              <w:t xml:space="preserve">218</w:t>
            </w:r>
          </w:p>
        </w:tc>
        <w:tc>
          <w:tcPr>
            <w:tcW w:type="dxa" w:w="1903"/>
          </w:tcPr>
          <w:p>
            <w:pPr>
              <w:pStyle w:val="Compact"/>
              <w:spacing w:after="0" w:before="0" w:line="240" w:lineRule="auto"/>
              <w:jc w:val="right"/>
            </w:pPr>
            <w:r>
              <w:rPr>
                <w:rFonts w:ascii="Arial" w:hAnsi="Arial"/>
                <w:sz w:val="15"/>
              </w:rPr>
              <w:t xml:space="preserve">212</w:t>
            </w:r>
          </w:p>
        </w:tc>
        <w:tc>
          <w:tcPr>
            <w:tcW w:type="dxa" w:w="2151"/>
          </w:tcPr>
          <w:p>
            <w:pPr>
              <w:pStyle w:val="Compact"/>
              <w:spacing w:after="0" w:before="0" w:line="240" w:lineRule="auto"/>
              <w:jc w:val="left"/>
            </w:pPr>
            <w:r>
              <w:rPr>
                <w:rFonts w:ascii="Arial" w:hAnsi="Arial"/>
                <w:sz w:val="15"/>
              </w:rPr>
              <w:t xml:space="preserve">~242 at Jun-26 (inventory JPY221bn)</w:t>
            </w:r>
          </w:p>
        </w:tc>
      </w:tr>
      <w:tr>
        <w:trPr>
          <w:cantSplit/>
        </w:trPr>
        <w:tc>
          <w:tcPr>
            <w:tcW w:type="dxa" w:w="1856"/>
            <w:shd w:val="clear" w:color="auto" w:fill="F1F2F5"/>
          </w:tcPr>
          <w:p>
            <w:pPr>
              <w:pStyle w:val="Compact"/>
              <w:spacing w:after="0" w:before="0" w:line="240" w:lineRule="auto"/>
              <w:jc w:val="left"/>
            </w:pPr>
            <w:r>
              <w:rPr>
                <w:rFonts w:ascii="Arial" w:hAnsi="Arial"/>
                <w:sz w:val="15"/>
              </w:rPr>
              <w:t xml:space="preserve">Trade receivable days [e]</w:t>
            </w:r>
          </w:p>
        </w:tc>
        <w:tc>
          <w:tcPr>
            <w:tcW w:type="dxa" w:w="901"/>
            <w:shd w:val="clear" w:color="auto" w:fill="F1F2F5"/>
          </w:tcPr>
          <w:p>
            <w:pPr>
              <w:pStyle w:val="Compact"/>
              <w:spacing w:after="0" w:before="0" w:line="240" w:lineRule="auto"/>
              <w:jc w:val="right"/>
            </w:pPr>
            <w:r>
              <w:rPr>
                <w:rFonts w:ascii="Arial" w:hAnsi="Arial"/>
                <w:sz w:val="15"/>
              </w:rPr>
              <w:t xml:space="preserve">75</w:t>
            </w:r>
          </w:p>
        </w:tc>
        <w:tc>
          <w:tcPr>
            <w:tcW w:type="dxa" w:w="1039"/>
            <w:shd w:val="clear" w:color="auto" w:fill="F1F2F5"/>
          </w:tcPr>
          <w:p>
            <w:pPr>
              <w:pStyle w:val="Compact"/>
              <w:spacing w:after="0" w:before="0" w:line="240" w:lineRule="auto"/>
              <w:jc w:val="right"/>
            </w:pPr>
            <w:r>
              <w:rPr>
                <w:rFonts w:ascii="Arial" w:hAnsi="Arial"/>
                <w:sz w:val="15"/>
              </w:rPr>
              <w:t xml:space="preserve">72</w:t>
            </w:r>
          </w:p>
        </w:tc>
        <w:tc>
          <w:tcPr>
            <w:tcW w:type="dxa" w:w="983"/>
            <w:shd w:val="clear" w:color="auto" w:fill="F1F2F5"/>
          </w:tcPr>
          <w:p>
            <w:pPr>
              <w:pStyle w:val="Compact"/>
              <w:spacing w:after="0" w:before="0" w:line="240" w:lineRule="auto"/>
              <w:jc w:val="right"/>
            </w:pPr>
            <w:r>
              <w:rPr>
                <w:rFonts w:ascii="Arial" w:hAnsi="Arial"/>
                <w:sz w:val="15"/>
              </w:rPr>
              <w:t xml:space="preserve">77</w:t>
            </w:r>
          </w:p>
        </w:tc>
        <w:tc>
          <w:tcPr>
            <w:tcW w:type="dxa" w:w="1145"/>
            <w:shd w:val="clear" w:color="auto" w:fill="F1F2F5"/>
          </w:tcPr>
          <w:p>
            <w:pPr>
              <w:pStyle w:val="Compact"/>
              <w:spacing w:after="0" w:before="0" w:line="240" w:lineRule="auto"/>
              <w:jc w:val="right"/>
            </w:pPr>
            <w:r>
              <w:rPr>
                <w:rFonts w:ascii="Arial" w:hAnsi="Arial"/>
                <w:sz w:val="15"/>
              </w:rPr>
              <w:t xml:space="preserve">75</w:t>
            </w:r>
          </w:p>
        </w:tc>
        <w:tc>
          <w:tcPr>
            <w:tcW w:type="dxa" w:w="1903"/>
            <w:shd w:val="clear" w:color="auto" w:fill="F1F2F5"/>
          </w:tcPr>
          <w:p>
            <w:pPr>
              <w:pStyle w:val="Compact"/>
              <w:spacing w:after="0" w:before="0" w:line="240" w:lineRule="auto"/>
              <w:jc w:val="right"/>
            </w:pPr>
            <w:r>
              <w:rPr>
                <w:rFonts w:ascii="Arial" w:hAnsi="Arial"/>
                <w:sz w:val="15"/>
              </w:rPr>
              <w:t xml:space="preserve">86</w:t>
            </w:r>
          </w:p>
        </w:tc>
        <w:tc>
          <w:tcPr>
            <w:tcW w:type="dxa" w:w="2151"/>
            <w:shd w:val="clear" w:color="auto" w:fill="F1F2F5"/>
          </w:tcPr>
          <w:p>
            <w:pPr>
              <w:pStyle w:val="Compact"/>
              <w:spacing w:after="0" w:before="0" w:line="240" w:lineRule="auto"/>
              <w:jc w:val="left"/>
            </w:pPr>
            <w:r>
              <w:rPr>
                <w:rFonts w:ascii="Arial" w:hAnsi="Arial"/>
                <w:sz w:val="15"/>
              </w:rPr>
              <w:t xml:space="preserve">Plus JPY84bn non-current receivables</w:t>
            </w:r>
          </w:p>
        </w:tc>
      </w:tr>
      <w:tr>
        <w:trPr>
          <w:cantSplit/>
        </w:trPr>
        <w:tc>
          <w:tcPr>
            <w:tcW w:type="dxa" w:w="1856"/>
          </w:tcPr>
          <w:p>
            <w:pPr>
              <w:pStyle w:val="Compact"/>
              <w:spacing w:after="0" w:before="0" w:line="240" w:lineRule="auto"/>
              <w:jc w:val="left"/>
            </w:pPr>
            <w:r>
              <w:rPr>
                <w:rFonts w:ascii="Arial" w:hAnsi="Arial"/>
                <w:sz w:val="15"/>
              </w:rPr>
              <w:t xml:space="preserve">Lease receivables (JPY bn)</w:t>
            </w:r>
          </w:p>
        </w:tc>
        <w:tc>
          <w:tcPr>
            <w:tcW w:type="dxa" w:w="901"/>
          </w:tcPr>
          <w:p>
            <w:pPr>
              <w:pStyle w:val="Compact"/>
              <w:spacing w:after="0" w:before="0" w:line="240" w:lineRule="auto"/>
              <w:jc w:val="right"/>
            </w:pPr>
            <w:r>
              <w:rPr>
                <w:rFonts w:ascii="Arial" w:hAnsi="Arial"/>
                <w:sz w:val="15"/>
              </w:rPr>
              <w:t xml:space="preserve">n/d</w:t>
            </w:r>
          </w:p>
        </w:tc>
        <w:tc>
          <w:tcPr>
            <w:tcW w:type="dxa" w:w="1039"/>
          </w:tcPr>
          <w:p>
            <w:pPr>
              <w:pStyle w:val="Compact"/>
              <w:spacing w:after="0" w:before="0" w:line="240" w:lineRule="auto"/>
              <w:jc w:val="right"/>
            </w:pPr>
            <w:r>
              <w:rPr>
                <w:rFonts w:ascii="Arial" w:hAnsi="Arial"/>
                <w:sz w:val="15"/>
              </w:rPr>
              <w:t xml:space="preserve">n/d</w:t>
            </w:r>
          </w:p>
        </w:tc>
        <w:tc>
          <w:tcPr>
            <w:tcW w:type="dxa" w:w="983"/>
          </w:tcPr>
          <w:p>
            <w:pPr>
              <w:pStyle w:val="Compact"/>
              <w:spacing w:after="0" w:before="0" w:line="240" w:lineRule="auto"/>
              <w:jc w:val="right"/>
            </w:pPr>
            <w:r>
              <w:rPr>
                <w:rFonts w:ascii="Arial" w:hAnsi="Arial"/>
                <w:sz w:val="15"/>
              </w:rPr>
              <w:t xml:space="preserve">86.2</w:t>
            </w:r>
          </w:p>
        </w:tc>
        <w:tc>
          <w:tcPr>
            <w:tcW w:type="dxa" w:w="1145"/>
          </w:tcPr>
          <w:p>
            <w:pPr>
              <w:pStyle w:val="Compact"/>
              <w:spacing w:after="0" w:before="0" w:line="240" w:lineRule="auto"/>
              <w:jc w:val="right"/>
            </w:pPr>
            <w:r>
              <w:rPr>
                <w:rFonts w:ascii="Arial" w:hAnsi="Arial"/>
                <w:sz w:val="15"/>
              </w:rPr>
              <w:t xml:space="preserve">105.4</w:t>
            </w:r>
          </w:p>
        </w:tc>
        <w:tc>
          <w:tcPr>
            <w:tcW w:type="dxa" w:w="1903"/>
          </w:tcPr>
          <w:p>
            <w:pPr>
              <w:pStyle w:val="Compact"/>
              <w:spacing w:after="0" w:before="0" w:line="240" w:lineRule="auto"/>
              <w:jc w:val="right"/>
            </w:pPr>
            <w:r>
              <w:rPr>
                <w:rFonts w:ascii="Arial" w:hAnsi="Arial"/>
                <w:sz w:val="15"/>
              </w:rPr>
              <w:t xml:space="preserve">136.7</w:t>
            </w:r>
          </w:p>
        </w:tc>
        <w:tc>
          <w:tcPr>
            <w:tcW w:type="dxa" w:w="2151"/>
          </w:tcPr>
          <w:p>
            <w:pPr>
              <w:pStyle w:val="Compact"/>
              <w:spacing w:after="0" w:before="0" w:line="240" w:lineRule="auto"/>
              <w:jc w:val="left"/>
            </w:pPr>
            <w:r>
              <w:rPr>
                <w:rFonts w:ascii="Arial" w:hAnsi="Arial"/>
                <w:sz w:val="15"/>
              </w:rPr>
              <w:t xml:space="preserve">+59% in two years</w:t>
            </w:r>
          </w:p>
        </w:tc>
      </w:tr>
      <w:tr>
        <w:trPr>
          <w:cantSplit/>
        </w:trPr>
        <w:tc>
          <w:tcPr>
            <w:tcW w:type="dxa" w:w="1856"/>
            <w:shd w:val="clear" w:color="auto" w:fill="F1F2F5"/>
          </w:tcPr>
          <w:p>
            <w:pPr>
              <w:pStyle w:val="Compact"/>
              <w:spacing w:after="0" w:before="0" w:line="240" w:lineRule="auto"/>
              <w:jc w:val="left"/>
            </w:pPr>
            <w:r>
              <w:rPr>
                <w:rFonts w:ascii="Arial" w:hAnsi="Arial"/>
                <w:sz w:val="15"/>
              </w:rPr>
              <w:t xml:space="preserve">Employees</w:t>
            </w:r>
          </w:p>
        </w:tc>
        <w:tc>
          <w:tcPr>
            <w:tcW w:type="dxa" w:w="901"/>
            <w:shd w:val="clear" w:color="auto" w:fill="F1F2F5"/>
          </w:tcPr>
          <w:p>
            <w:pPr>
              <w:pStyle w:val="Compact"/>
              <w:spacing w:after="0" w:before="0" w:line="240" w:lineRule="auto"/>
              <w:jc w:val="right"/>
            </w:pPr>
            <w:r>
              <w:rPr>
                <w:rFonts w:ascii="Arial" w:hAnsi="Arial"/>
                <w:sz w:val="15"/>
              </w:rPr>
              <w:t xml:space="preserve">n/d</w:t>
            </w:r>
          </w:p>
        </w:tc>
        <w:tc>
          <w:tcPr>
            <w:tcW w:type="dxa" w:w="1039"/>
            <w:shd w:val="clear" w:color="auto" w:fill="F1F2F5"/>
          </w:tcPr>
          <w:p>
            <w:pPr>
              <w:pStyle w:val="Compact"/>
              <w:spacing w:after="0" w:before="0" w:line="240" w:lineRule="auto"/>
              <w:jc w:val="right"/>
            </w:pPr>
            <w:r>
              <w:rPr>
                <w:rFonts w:ascii="Arial" w:hAnsi="Arial"/>
                <w:sz w:val="15"/>
              </w:rPr>
              <w:t xml:space="preserve">n/d</w:t>
            </w:r>
          </w:p>
        </w:tc>
        <w:tc>
          <w:tcPr>
            <w:tcW w:type="dxa" w:w="983"/>
            <w:shd w:val="clear" w:color="auto" w:fill="F1F2F5"/>
          </w:tcPr>
          <w:p>
            <w:pPr>
              <w:pStyle w:val="Compact"/>
              <w:spacing w:after="0" w:before="0" w:line="240" w:lineRule="auto"/>
              <w:jc w:val="right"/>
            </w:pPr>
            <w:r>
              <w:rPr>
                <w:rFonts w:ascii="Arial" w:hAnsi="Arial"/>
                <w:sz w:val="15"/>
              </w:rPr>
              <w:t xml:space="preserve">n/d</w:t>
            </w:r>
          </w:p>
        </w:tc>
        <w:tc>
          <w:tcPr>
            <w:tcW w:type="dxa" w:w="1145"/>
            <w:shd w:val="clear" w:color="auto" w:fill="F1F2F5"/>
          </w:tcPr>
          <w:p>
            <w:pPr>
              <w:pStyle w:val="Compact"/>
              <w:spacing w:after="0" w:before="0" w:line="240" w:lineRule="auto"/>
              <w:jc w:val="right"/>
            </w:pPr>
            <w:r>
              <w:rPr>
                <w:rFonts w:ascii="Arial" w:hAnsi="Arial"/>
                <w:sz w:val="15"/>
              </w:rPr>
              <w:t xml:space="preserve">n/d</w:t>
            </w:r>
          </w:p>
        </w:tc>
        <w:tc>
          <w:tcPr>
            <w:tcW w:type="dxa" w:w="1903"/>
            <w:shd w:val="clear" w:color="auto" w:fill="F1F2F5"/>
          </w:tcPr>
          <w:p>
            <w:pPr>
              <w:pStyle w:val="Compact"/>
              <w:spacing w:after="0" w:before="0" w:line="240" w:lineRule="auto"/>
              <w:jc w:val="right"/>
            </w:pPr>
            <w:r>
              <w:rPr>
                <w:rFonts w:ascii="Arial" w:hAnsi="Arial"/>
                <w:sz w:val="15"/>
              </w:rPr>
              <w:t xml:space="preserve">~28,100</w:t>
            </w:r>
          </w:p>
        </w:tc>
        <w:tc>
          <w:tcPr>
            <w:tcW w:type="dxa" w:w="2151"/>
            <w:shd w:val="clear" w:color="auto" w:fill="F1F2F5"/>
          </w:tcPr>
          <w:p>
            <w:pPr>
              <w:pStyle w:val="Compact"/>
              <w:spacing w:after="0" w:before="0" w:line="240" w:lineRule="auto"/>
              <w:jc w:val="left"/>
            </w:pPr>
            <w:r>
              <w:rPr>
                <w:rFonts w:ascii="Arial" w:hAnsi="Arial"/>
                <w:sz w:val="15"/>
              </w:rPr>
              <w:t xml:space="preserve">~2,000 roles cut (1,687 by Apr-26)</w:t>
            </w:r>
          </w:p>
        </w:tc>
      </w:tr>
      <w:tr>
        <w:trPr>
          <w:cantSplit/>
        </w:trPr>
        <w:tc>
          <w:tcPr>
            <w:tcW w:type="dxa" w:w="1856"/>
          </w:tcPr>
          <w:p>
            <w:pPr>
              <w:pStyle w:val="Compact"/>
              <w:spacing w:after="0" w:before="0" w:line="240" w:lineRule="auto"/>
              <w:jc w:val="left"/>
            </w:pPr>
            <w:r>
              <w:rPr>
                <w:rFonts w:ascii="Arial" w:hAnsi="Arial"/>
                <w:sz w:val="15"/>
              </w:rPr>
              <w:t xml:space="preserve">FDA status</w:t>
            </w:r>
          </w:p>
        </w:tc>
        <w:tc>
          <w:tcPr>
            <w:tcW w:type="dxa" w:w="901"/>
          </w:tcPr>
          <w:p>
            <w:pPr>
              <w:pStyle w:val="Compact"/>
              <w:spacing w:after="0" w:before="0" w:line="240" w:lineRule="auto"/>
              <w:jc w:val="right"/>
            </w:pPr>
            <w:r>
              <w:rPr>
                <w:rFonts w:ascii="Arial" w:hAnsi="Arial"/>
                <w:sz w:val="15"/>
              </w:rPr>
              <w:t xml:space="preserve">WLs 2022</w:t>
            </w:r>
          </w:p>
        </w:tc>
        <w:tc>
          <w:tcPr>
            <w:tcW w:type="dxa" w:w="1039"/>
          </w:tcPr>
          <w:p>
            <w:pPr>
              <w:pStyle w:val="Compact"/>
              <w:spacing w:after="0" w:before="0" w:line="240" w:lineRule="auto"/>
              <w:jc w:val="right"/>
            </w:pPr>
            <w:r>
              <w:rPr>
                <w:rFonts w:ascii="Arial" w:hAnsi="Arial"/>
                <w:sz w:val="15"/>
              </w:rPr>
              <w:t xml:space="preserve">WLs 2022–23</w:t>
            </w:r>
          </w:p>
        </w:tc>
        <w:tc>
          <w:tcPr>
            <w:tcW w:type="dxa" w:w="983"/>
          </w:tcPr>
          <w:p>
            <w:pPr>
              <w:pStyle w:val="Compact"/>
              <w:spacing w:after="0" w:before="0" w:line="240" w:lineRule="auto"/>
              <w:jc w:val="right"/>
            </w:pPr>
            <w:r>
              <w:rPr>
                <w:rFonts w:ascii="Arial" w:hAnsi="Arial"/>
                <w:sz w:val="15"/>
              </w:rPr>
              <w:t xml:space="preserve">Elevate</w:t>
            </w:r>
          </w:p>
        </w:tc>
        <w:tc>
          <w:tcPr>
            <w:tcW w:type="dxa" w:w="1145"/>
          </w:tcPr>
          <w:p>
            <w:pPr>
              <w:pStyle w:val="Compact"/>
              <w:spacing w:after="0" w:before="0" w:line="240" w:lineRule="auto"/>
              <w:jc w:val="right"/>
            </w:pPr>
            <w:r>
              <w:rPr>
                <w:rFonts w:ascii="Arial" w:hAnsi="Arial"/>
                <w:sz w:val="15"/>
              </w:rPr>
              <w:t xml:space="preserve">Elevate (96% done)</w:t>
            </w:r>
          </w:p>
        </w:tc>
        <w:tc>
          <w:tcPr>
            <w:tcW w:type="dxa" w:w="1903"/>
          </w:tcPr>
          <w:p>
            <w:pPr>
              <w:pStyle w:val="Compact"/>
              <w:spacing w:after="0" w:before="0" w:line="240" w:lineRule="auto"/>
              <w:jc w:val="right"/>
            </w:pPr>
            <w:r>
              <w:rPr>
                <w:rFonts w:ascii="Arial" w:hAnsi="Arial"/>
                <w:sz w:val="15"/>
              </w:rPr>
              <w:t xml:space="preserve">Import alert; 8 inspections; ship-holds</w:t>
            </w:r>
          </w:p>
        </w:tc>
        <w:tc>
          <w:tcPr>
            <w:tcW w:type="dxa" w:w="2151"/>
          </w:tcPr>
          <w:p>
            <w:pPr>
              <w:pStyle w:val="Compact"/>
              <w:spacing w:after="0" w:before="0" w:line="240" w:lineRule="auto"/>
              <w:jc w:val="left"/>
            </w:pPr>
            <w:r>
              <w:rPr>
                <w:bCs/>
                <w:rFonts w:ascii="Arial" w:hAnsi="Arial"/>
                <w:b/>
                <w:sz w:val="15"/>
              </w:rPr>
              <w:t xml:space="preserve">New six-site Warning Letter, Oct-2026</w:t>
            </w:r>
          </w:p>
        </w:tc>
      </w:tr>
      <w:tr>
        <w:trPr>
          <w:cantSplit/>
        </w:trPr>
        <w:tc>
          <w:tcPr>
            <w:tcW w:type="dxa" w:w="1856"/>
            <w:shd w:val="clear" w:color="auto" w:fill="F1F2F5"/>
          </w:tcPr>
          <w:p>
            <w:pPr>
              <w:pStyle w:val="Compact"/>
              <w:spacing w:after="0" w:before="0" w:line="240" w:lineRule="auto"/>
              <w:jc w:val="left"/>
            </w:pPr>
            <w:r>
              <w:rPr>
                <w:rFonts w:ascii="Arial" w:hAnsi="Arial"/>
                <w:sz w:val="15"/>
              </w:rPr>
              <w:t xml:space="preserve">China share of sales</w:t>
            </w:r>
          </w:p>
        </w:tc>
        <w:tc>
          <w:tcPr>
            <w:tcW w:type="dxa" w:w="901"/>
            <w:shd w:val="clear" w:color="auto" w:fill="F1F2F5"/>
          </w:tcPr>
          <w:p>
            <w:pPr>
              <w:pStyle w:val="Compact"/>
              <w:spacing w:after="0" w:before="0" w:line="240" w:lineRule="auto"/>
              <w:jc w:val="right"/>
            </w:pPr>
            <w:r>
              <w:rPr>
                <w:rFonts w:ascii="Arial" w:hAnsi="Arial"/>
                <w:sz w:val="15"/>
              </w:rPr>
              <w:t xml:space="preserve">14.4%</w:t>
            </w:r>
          </w:p>
        </w:tc>
        <w:tc>
          <w:tcPr>
            <w:tcW w:type="dxa" w:w="1039"/>
            <w:shd w:val="clear" w:color="auto" w:fill="F1F2F5"/>
          </w:tcPr>
          <w:p>
            <w:pPr>
              <w:pStyle w:val="Compact"/>
              <w:spacing w:after="0" w:before="0" w:line="240" w:lineRule="auto"/>
              <w:jc w:val="right"/>
            </w:pPr>
            <w:r>
              <w:rPr>
                <w:rFonts w:ascii="Arial" w:hAnsi="Arial"/>
                <w:sz w:val="15"/>
              </w:rPr>
              <w:t xml:space="preserve">13.3%</w:t>
            </w:r>
          </w:p>
        </w:tc>
        <w:tc>
          <w:tcPr>
            <w:tcW w:type="dxa" w:w="983"/>
            <w:shd w:val="clear" w:color="auto" w:fill="F1F2F5"/>
          </w:tcPr>
          <w:p>
            <w:pPr>
              <w:pStyle w:val="Compact"/>
              <w:spacing w:after="0" w:before="0" w:line="240" w:lineRule="auto"/>
              <w:jc w:val="right"/>
            </w:pPr>
            <w:r>
              <w:rPr>
                <w:rFonts w:ascii="Arial" w:hAnsi="Arial"/>
                <w:sz w:val="15"/>
              </w:rPr>
              <w:t xml:space="preserve">11.4%</w:t>
            </w:r>
          </w:p>
        </w:tc>
        <w:tc>
          <w:tcPr>
            <w:tcW w:type="dxa" w:w="1145"/>
            <w:shd w:val="clear" w:color="auto" w:fill="F1F2F5"/>
          </w:tcPr>
          <w:p>
            <w:pPr>
              <w:pStyle w:val="Compact"/>
              <w:spacing w:after="0" w:before="0" w:line="240" w:lineRule="auto"/>
              <w:jc w:val="right"/>
            </w:pPr>
            <w:r>
              <w:rPr>
                <w:rFonts w:ascii="Arial" w:hAnsi="Arial"/>
                <w:sz w:val="15"/>
              </w:rPr>
              <w:t xml:space="preserve">9.6%</w:t>
            </w:r>
          </w:p>
        </w:tc>
        <w:tc>
          <w:tcPr>
            <w:tcW w:type="dxa" w:w="1903"/>
            <w:shd w:val="clear" w:color="auto" w:fill="F1F2F5"/>
          </w:tcPr>
          <w:p>
            <w:pPr>
              <w:pStyle w:val="Compact"/>
              <w:spacing w:after="0" w:before="0" w:line="240" w:lineRule="auto"/>
              <w:jc w:val="right"/>
            </w:pPr>
            <w:r>
              <w:rPr>
                <w:rFonts w:ascii="Arial" w:hAnsi="Arial"/>
                <w:sz w:val="15"/>
              </w:rPr>
              <w:t xml:space="preserve">8.2%</w:t>
            </w:r>
          </w:p>
        </w:tc>
        <w:tc>
          <w:tcPr>
            <w:tcW w:type="dxa" w:w="2151"/>
            <w:shd w:val="clear" w:color="auto" w:fill="F1F2F5"/>
          </w:tcPr>
          <w:p>
            <w:pPr>
              <w:pStyle w:val="Compact"/>
              <w:spacing w:after="0" w:before="0" w:line="240" w:lineRule="auto"/>
              <w:jc w:val="left"/>
            </w:pPr>
            <w:r>
              <w:rPr>
                <w:rFonts w:ascii="Arial" w:hAnsi="Arial"/>
                <w:sz w:val="15"/>
              </w:rPr>
              <w:t xml:space="preserve">-17% cc 1Q FY3/27 [u]</w:t>
            </w:r>
          </w:p>
        </w:tc>
      </w:tr>
    </w:tbl>
    <w:p>
      <w:pPr>
        <w:pStyle w:val="BodyText"/>
      </w:pPr>
      <w:r>
        <w:rPr>
          <w:bCs/>
          <w:b/>
        </w:rPr>
        <w:t xml:space="preserve">Trend commentary.</w:t>
      </w:r>
    </w:p>
    <w:p>
      <w:pPr>
        <w:numPr>
          <w:ilvl w:val="0"/>
          <w:numId w:val="1018"/>
        </w:numPr>
        <w:pStyle w:val="Compact"/>
      </w:pPr>
      <w:r>
        <w:t xml:space="preserve">Gross margin compressed ~390bp in FY3/26. The causes were tariffs, mix, and recall and ship-hold inventory costs. Management argues this is not a structural reset, and 1Q FY3/27 supports that view.</w:t>
      </w:r>
    </w:p>
    <w:p>
      <w:pPr>
        <w:numPr>
          <w:ilvl w:val="0"/>
          <w:numId w:val="1018"/>
        </w:numPr>
        <w:pStyle w:val="Compact"/>
      </w:pPr>
      <w:r>
        <w:t xml:space="preserve">SG&amp;A/sales crept from 47.7% to 50.2% as R&amp;D rose to 10.9% of sales. It is now being cut.</w:t>
      </w:r>
    </w:p>
    <w:p>
      <w:pPr>
        <w:numPr>
          <w:ilvl w:val="0"/>
          <w:numId w:val="1018"/>
        </w:numPr>
        <w:pStyle w:val="Compact"/>
      </w:pPr>
      <w:r>
        <w:rPr>
          <w:bCs/>
          <w:b/>
        </w:rPr>
        <w:t xml:space="preserve">Working capital is deteriorating.</w:t>
      </w:r>
      <w:r>
        <w:t xml:space="preserve"> </w:t>
      </w:r>
      <w:r>
        <w:t xml:space="preserve">Receivable days rose from 72 to 86, inventory days are ~240 and lease receivables are up ~60%. Growth is increasingly financed on the balance sheet.</w:t>
      </w:r>
    </w:p>
    <w:p>
      <w:pPr>
        <w:numPr>
          <w:ilvl w:val="0"/>
          <w:numId w:val="1018"/>
        </w:numPr>
        <w:pStyle w:val="Compact"/>
      </w:pPr>
      <w:r>
        <w:t xml:space="preserve">Cash conversion was poor in FY3/26. CFO was JPY100.6bn after ~JPY62bn of tax payments, and FCF was JPY13bn against a JPY57bn consensus.</w:t>
      </w:r>
    </w:p>
    <w:bookmarkEnd w:id="56"/>
    <w:bookmarkEnd w:id="57"/>
    <w:bookmarkStart w:id="64" w:name="Xced82d7e62871f54c56c77345f2bfc98db9728d"/>
    <w:p>
      <w:pPr>
        <w:pStyle w:val="Heading1"/>
      </w:pPr>
      <w:r>
        <w:t xml:space="preserve">Historical share-price catalysts (moves greater than 10%, last five years)</w:t>
      </w:r>
    </w:p>
    <w:p>
      <w:pPr>
        <w:pStyle w:val="CaptionedFigure"/>
      </w:pPr>
      <w:r>
        <w:drawing>
          <wp:inline>
            <wp:extent cx="6261100" cy="2989753"/>
            <wp:effectExtent b="0" l="0" r="0" t="0"/>
            <wp:docPr descr="Olympus share price, 10 years, with key events" title="" id="59" name="Picture"/>
            <a:graphic>
              <a:graphicData uri="http://schemas.openxmlformats.org/drawingml/2006/picture">
                <pic:pic>
                  <pic:nvPicPr>
                    <pic:cNvPr descr="../charts/price_10y.png" id="60" name="Picture"/>
                    <pic:cNvPicPr>
                      <a:picLocks noChangeArrowheads="1" noChangeAspect="1"/>
                    </pic:cNvPicPr>
                  </pic:nvPicPr>
                  <pic:blipFill>
                    <a:blip r:embed="rId58"/>
                    <a:stretch>
                      <a:fillRect/>
                    </a:stretch>
                  </pic:blipFill>
                  <pic:spPr bwMode="auto">
                    <a:xfrm>
                      <a:off x="0" y="0"/>
                      <a:ext cx="6261100" cy="2989753"/>
                    </a:xfrm>
                    <a:prstGeom prst="rect">
                      <a:avLst/>
                    </a:prstGeom>
                    <a:noFill/>
                    <a:ln w="9525">
                      <a:noFill/>
                      <a:headEnd/>
                      <a:tailEnd/>
                    </a:ln>
                  </pic:spPr>
                </pic:pic>
              </a:graphicData>
            </a:graphic>
          </wp:inline>
        </w:drawing>
      </w:r>
    </w:p>
    <w:p>
      <w:pPr>
        <w:pStyle w:val="ImageCaption"/>
      </w:pPr>
      <w:r>
        <w:t xml:space="preserve">Olympus share price, 10 years, with key events</w:t>
      </w:r>
    </w:p>
    <w:p>
      <w:pPr>
        <w:pStyle w:val="CaptionedFigure"/>
      </w:pPr>
      <w:r>
        <w:drawing>
          <wp:inline>
            <wp:extent cx="6261100" cy="2265482"/>
            <wp:effectExtent b="0" l="0" r="0" t="0"/>
            <wp:docPr descr="Olympus vs TOPIX (1306 ETF), rebased" title="" id="62" name="Picture"/>
            <a:graphic>
              <a:graphicData uri="http://schemas.openxmlformats.org/drawingml/2006/picture">
                <pic:pic>
                  <pic:nvPicPr>
                    <pic:cNvPr descr="../charts/price_rel.png" id="63" name="Picture"/>
                    <pic:cNvPicPr>
                      <a:picLocks noChangeArrowheads="1" noChangeAspect="1"/>
                    </pic:cNvPicPr>
                  </pic:nvPicPr>
                  <pic:blipFill>
                    <a:blip r:embed="rId61"/>
                    <a:stretch>
                      <a:fillRect/>
                    </a:stretch>
                  </pic:blipFill>
                  <pic:spPr bwMode="auto">
                    <a:xfrm>
                      <a:off x="0" y="0"/>
                      <a:ext cx="6261100" cy="2265482"/>
                    </a:xfrm>
                    <a:prstGeom prst="rect">
                      <a:avLst/>
                    </a:prstGeom>
                    <a:noFill/>
                    <a:ln w="9525">
                      <a:noFill/>
                      <a:headEnd/>
                      <a:tailEnd/>
                    </a:ln>
                  </pic:spPr>
                </pic:pic>
              </a:graphicData>
            </a:graphic>
          </wp:inline>
        </w:drawing>
      </w:r>
    </w:p>
    <w:p>
      <w:pPr>
        <w:pStyle w:val="ImageCaption"/>
      </w:pPr>
      <w:r>
        <w:t xml:space="preserve">Olympus vs TOPIX (1306 ETF), rebased</w:t>
      </w:r>
    </w:p>
    <w:p>
      <w:pPr>
        <w:pStyle w:val="BodyText"/>
      </w:pPr>
      <w:r>
        <w:rPr>
          <w:bCs/>
          <w:b/>
        </w:rPr>
        <w:t xml:space="preserve">Context.</w:t>
      </w:r>
      <w:r>
        <w:t xml:space="preserve"> </w:t>
      </w:r>
      <w:r>
        <w:t xml:space="preserve">At JPY1,690 the stock is below its Oct-2021 level, while TOPIX has roughly doubled. Relative performance has been -137pt over five years and -94pt over three years, even though Olympus spent ~JPY470bn on buybacks. The 5-year closing range is JPY1,310 (13-Mar-2026) to JPY3,177 (12-Sep-2022).</w:t>
      </w:r>
    </w:p>
    <w:p>
      <w:pPr>
        <w:pStyle w:val="BodyText"/>
      </w:pPr>
      <w:r>
        <w:t xml:space="preserve">There have been 11 sessions with a move of 10% or more in five years:</w:t>
      </w:r>
    </w:p>
    <w:p>
      <w:pPr>
        <w:numPr>
          <w:ilvl w:val="0"/>
          <w:numId w:val="1019"/>
        </w:numPr>
        <w:pStyle w:val="Compact"/>
      </w:pPr>
      <w:r>
        <w:rPr>
          <w:bCs/>
          <w:b/>
        </w:rPr>
        <w:t xml:space="preserve">Eight followed results.</w:t>
      </w:r>
      <w:r>
        <w:t xml:space="preserve"> </w:t>
      </w:r>
      <w:r>
        <w:t xml:space="preserve">Olympus releases at 15:30 JST, so the reaction comes in the next session.</w:t>
      </w:r>
    </w:p>
    <w:p>
      <w:pPr>
        <w:numPr>
          <w:ilvl w:val="0"/>
          <w:numId w:val="1019"/>
        </w:numPr>
        <w:pStyle w:val="Compact"/>
      </w:pPr>
      <w:r>
        <w:rPr>
          <w:bCs/>
          <w:b/>
        </w:rPr>
        <w:t xml:space="preserve">Since Jun-2025, all three ≥10% down days were FDA-driven:</w:t>
      </w:r>
      <w:r>
        <w:t xml:space="preserve"> </w:t>
      </w:r>
      <w:r>
        <w:t xml:space="preserve">the import alert, the ship-hold guidance cut and the Warning Letter.</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408"/>
        <w:gridCol w:w="1689"/>
        <w:gridCol w:w="1275"/>
        <w:gridCol w:w="1114"/>
        <w:gridCol w:w="1010"/>
        <w:gridCol w:w="4480"/>
      </w:tblGrid>
      <w:tr>
        <w:trPr>
          <w:tblHeader w:val="true"/>
          <w:tblHeader w:val="true"/>
          <w:cantSplit/>
        </w:trPr>
        <w:tc>
          <w:tcPr>
            <w:tcW w:type="dxa" w:w="408"/>
            <w:shd w:val="clear" w:color="auto" w:fill="13213F"/>
          </w:tcPr>
          <w:p>
            <w:pPr>
              <w:pStyle w:val="Compact"/>
              <w:spacing w:after="0" w:before="0" w:line="240" w:lineRule="auto"/>
              <w:jc w:val="left"/>
            </w:pPr>
            <w:r>
              <w:rPr>
                <w:rFonts w:ascii="Arial" w:hAnsi="Arial"/>
                <w:b/>
                <w:color w:val="FFFFFF"/>
                <w:sz w:val="15"/>
              </w:rPr>
              <w:t xml:space="preserve">#</w:t>
            </w:r>
          </w:p>
        </w:tc>
        <w:tc>
          <w:tcPr>
            <w:tcW w:type="dxa" w:w="1690"/>
            <w:shd w:val="clear" w:color="auto" w:fill="13213F"/>
          </w:tcPr>
          <w:p>
            <w:pPr>
              <w:pStyle w:val="Compact"/>
              <w:spacing w:after="0" w:before="0" w:line="240" w:lineRule="auto"/>
              <w:jc w:val="left"/>
            </w:pPr>
            <w:r>
              <w:rPr>
                <w:rFonts w:ascii="Arial" w:hAnsi="Arial"/>
                <w:b/>
                <w:color w:val="FFFFFF"/>
                <w:sz w:val="15"/>
              </w:rPr>
              <w:t xml:space="preserve">Date(s)</w:t>
            </w:r>
          </w:p>
        </w:tc>
        <w:tc>
          <w:tcPr>
            <w:tcW w:type="dxa" w:w="1275"/>
            <w:shd w:val="clear" w:color="auto" w:fill="13213F"/>
          </w:tcPr>
          <w:p>
            <w:pPr>
              <w:pStyle w:val="Compact"/>
              <w:spacing w:after="0" w:before="0" w:line="240" w:lineRule="auto"/>
              <w:jc w:val="right"/>
            </w:pPr>
            <w:r>
              <w:rPr>
                <w:rFonts w:ascii="Arial" w:hAnsi="Arial"/>
                <w:b/>
                <w:color w:val="FFFFFF"/>
                <w:sz w:val="15"/>
              </w:rPr>
              <w:t xml:space="preserve">Move</w:t>
            </w:r>
          </w:p>
        </w:tc>
        <w:tc>
          <w:tcPr>
            <w:tcW w:type="dxa" w:w="1114"/>
            <w:shd w:val="clear" w:color="auto" w:fill="13213F"/>
          </w:tcPr>
          <w:p>
            <w:pPr>
              <w:pStyle w:val="Compact"/>
              <w:spacing w:after="0" w:before="0" w:line="240" w:lineRule="auto"/>
              <w:jc w:val="left"/>
            </w:pPr>
            <w:r>
              <w:rPr>
                <w:rFonts w:ascii="Arial" w:hAnsi="Arial"/>
                <w:b/>
                <w:color w:val="FFFFFF"/>
                <w:sz w:val="15"/>
              </w:rPr>
              <w:t xml:space="preserve">Price (JPY)</w:t>
            </w:r>
          </w:p>
        </w:tc>
        <w:tc>
          <w:tcPr>
            <w:tcW w:type="dxa" w:w="1011"/>
            <w:shd w:val="clear" w:color="auto" w:fill="13213F"/>
          </w:tcPr>
          <w:p>
            <w:pPr>
              <w:pStyle w:val="Compact"/>
              <w:spacing w:after="0" w:before="0" w:line="240" w:lineRule="auto"/>
              <w:jc w:val="left"/>
            </w:pPr>
            <w:r>
              <w:rPr>
                <w:rFonts w:ascii="Arial" w:hAnsi="Arial"/>
                <w:b/>
                <w:color w:val="FFFFFF"/>
                <w:sz w:val="15"/>
              </w:rPr>
              <w:t xml:space="preserve">TOPIX same window</w:t>
            </w:r>
          </w:p>
        </w:tc>
        <w:tc>
          <w:tcPr>
            <w:tcW w:type="dxa" w:w="4480"/>
            <w:shd w:val="clear" w:color="auto" w:fill="13213F"/>
          </w:tcPr>
          <w:p>
            <w:pPr>
              <w:pStyle w:val="Compact"/>
              <w:spacing w:after="0" w:before="0" w:line="240" w:lineRule="auto"/>
              <w:jc w:val="left"/>
            </w:pPr>
            <w:r>
              <w:rPr>
                <w:rFonts w:ascii="Arial" w:hAnsi="Arial"/>
                <w:b/>
                <w:color w:val="FFFFFF"/>
                <w:sz w:val="15"/>
              </w:rPr>
              <w:t xml:space="preserve">Driver</w:t>
            </w:r>
          </w:p>
        </w:tc>
      </w:tr>
      <w:tr>
        <w:trPr>
          <w:cantSplit/>
        </w:trPr>
        <w:tc>
          <w:tcPr>
            <w:tcW w:type="dxa" w:w="408"/>
          </w:tcPr>
          <w:p>
            <w:pPr>
              <w:pStyle w:val="Compact"/>
              <w:spacing w:after="0" w:before="0" w:line="240" w:lineRule="auto"/>
              <w:jc w:val="left"/>
            </w:pPr>
            <w:r>
              <w:rPr>
                <w:rFonts w:ascii="Arial" w:hAnsi="Arial"/>
                <w:sz w:val="15"/>
              </w:rPr>
              <w:t xml:space="preserve">1</w:t>
            </w:r>
          </w:p>
        </w:tc>
        <w:tc>
          <w:tcPr>
            <w:tcW w:type="dxa" w:w="1690"/>
          </w:tcPr>
          <w:p>
            <w:pPr>
              <w:pStyle w:val="Compact"/>
              <w:spacing w:after="0" w:before="0" w:line="240" w:lineRule="auto"/>
              <w:jc w:val="left"/>
            </w:pPr>
            <w:r>
              <w:rPr>
                <w:rFonts w:ascii="Arial" w:hAnsi="Arial"/>
                <w:sz w:val="15"/>
              </w:rPr>
              <w:t xml:space="preserve">4–8 Feb 2022</w:t>
            </w:r>
          </w:p>
        </w:tc>
        <w:tc>
          <w:tcPr>
            <w:tcW w:type="dxa" w:w="1275"/>
          </w:tcPr>
          <w:p>
            <w:pPr>
              <w:pStyle w:val="Compact"/>
              <w:spacing w:after="0" w:before="0" w:line="240" w:lineRule="auto"/>
              <w:jc w:val="right"/>
            </w:pPr>
            <w:r>
              <w:rPr>
                <w:rFonts w:ascii="Arial" w:hAnsi="Arial"/>
                <w:sz w:val="15"/>
              </w:rPr>
              <w:t xml:space="preserve">-18.5%</w:t>
            </w:r>
          </w:p>
        </w:tc>
        <w:tc>
          <w:tcPr>
            <w:tcW w:type="dxa" w:w="1114"/>
          </w:tcPr>
          <w:p>
            <w:pPr>
              <w:pStyle w:val="Compact"/>
              <w:spacing w:after="0" w:before="0" w:line="240" w:lineRule="auto"/>
              <w:jc w:val="left"/>
            </w:pPr>
            <w:r>
              <w:rPr>
                <w:rFonts w:ascii="Arial" w:hAnsi="Arial"/>
                <w:sz w:val="15"/>
              </w:rPr>
              <w:t xml:space="preserve">2,578 → 2,100</w:t>
            </w:r>
          </w:p>
        </w:tc>
        <w:tc>
          <w:tcPr>
            <w:tcW w:type="dxa" w:w="1011"/>
          </w:tcPr>
          <w:p>
            <w:pPr>
              <w:pStyle w:val="Compact"/>
              <w:spacing w:after="0" w:before="0" w:line="240" w:lineRule="auto"/>
              <w:jc w:val="left"/>
            </w:pPr>
            <w:r>
              <w:rPr>
                <w:rFonts w:ascii="Arial" w:hAnsi="Arial"/>
                <w:sz w:val="15"/>
              </w:rPr>
              <w:t xml:space="preserve">+0.5%</w:t>
            </w:r>
          </w:p>
        </w:tc>
        <w:tc>
          <w:tcPr>
            <w:tcW w:type="dxa" w:w="4480"/>
          </w:tcPr>
          <w:p>
            <w:pPr>
              <w:pStyle w:val="Compact"/>
              <w:spacing w:after="0" w:before="0" w:line="240" w:lineRule="auto"/>
              <w:jc w:val="left"/>
            </w:pPr>
            <w:r>
              <w:rPr>
                <w:rFonts w:ascii="Arial" w:hAnsi="Arial"/>
                <w:sz w:val="15"/>
              </w:rPr>
              <w:t xml:space="preserve">3Q FY3/22: revenue guide raised only marginally, OP guide held; read as an Endoscopic miss [u]</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2</w:t>
            </w:r>
          </w:p>
        </w:tc>
        <w:tc>
          <w:tcPr>
            <w:tcW w:type="dxa" w:w="1690"/>
            <w:shd w:val="clear" w:color="auto" w:fill="F1F2F5"/>
          </w:tcPr>
          <w:p>
            <w:pPr>
              <w:pStyle w:val="Compact"/>
              <w:spacing w:after="0" w:before="0" w:line="240" w:lineRule="auto"/>
              <w:jc w:val="left"/>
            </w:pPr>
            <w:r>
              <w:rPr>
                <w:rFonts w:ascii="Arial" w:hAnsi="Arial"/>
                <w:sz w:val="15"/>
              </w:rPr>
              <w:t xml:space="preserve">11–13 May 2022</w:t>
            </w:r>
          </w:p>
        </w:tc>
        <w:tc>
          <w:tcPr>
            <w:tcW w:type="dxa" w:w="1275"/>
            <w:shd w:val="clear" w:color="auto" w:fill="F1F2F5"/>
          </w:tcPr>
          <w:p>
            <w:pPr>
              <w:pStyle w:val="Compact"/>
              <w:spacing w:after="0" w:before="0" w:line="240" w:lineRule="auto"/>
              <w:jc w:val="right"/>
            </w:pPr>
            <w:r>
              <w:rPr>
                <w:rFonts w:ascii="Arial" w:hAnsi="Arial"/>
                <w:sz w:val="15"/>
              </w:rPr>
              <w:t xml:space="preserve">+20.7%</w:t>
            </w:r>
          </w:p>
        </w:tc>
        <w:tc>
          <w:tcPr>
            <w:tcW w:type="dxa" w:w="1114"/>
            <w:shd w:val="clear" w:color="auto" w:fill="F1F2F5"/>
          </w:tcPr>
          <w:p>
            <w:pPr>
              <w:pStyle w:val="Compact"/>
              <w:spacing w:after="0" w:before="0" w:line="240" w:lineRule="auto"/>
              <w:jc w:val="left"/>
            </w:pPr>
            <w:r>
              <w:rPr>
                <w:rFonts w:ascii="Arial" w:hAnsi="Arial"/>
                <w:sz w:val="15"/>
              </w:rPr>
              <w:t xml:space="preserve">2,283 → 2,755</w:t>
            </w:r>
          </w:p>
        </w:tc>
        <w:tc>
          <w:tcPr>
            <w:tcW w:type="dxa" w:w="1011"/>
            <w:shd w:val="clear" w:color="auto" w:fill="F1F2F5"/>
          </w:tcPr>
          <w:p>
            <w:pPr>
              <w:pStyle w:val="Compact"/>
              <w:spacing w:after="0" w:before="0" w:line="240" w:lineRule="auto"/>
              <w:jc w:val="left"/>
            </w:pPr>
            <w:r>
              <w:rPr>
                <w:rFonts w:ascii="Arial" w:hAnsi="Arial"/>
                <w:sz w:val="15"/>
              </w:rPr>
              <w:t xml:space="preserve">+1.0%</w:t>
            </w:r>
          </w:p>
        </w:tc>
        <w:tc>
          <w:tcPr>
            <w:tcW w:type="dxa" w:w="4480"/>
            <w:shd w:val="clear" w:color="auto" w:fill="F1F2F5"/>
          </w:tcPr>
          <w:p>
            <w:pPr>
              <w:pStyle w:val="Compact"/>
              <w:spacing w:after="0" w:before="0" w:line="240" w:lineRule="auto"/>
              <w:jc w:val="left"/>
            </w:pPr>
            <w:r>
              <w:rPr>
                <w:rFonts w:ascii="Arial" w:hAnsi="Arial"/>
                <w:sz w:val="15"/>
              </w:rPr>
              <w:t xml:space="preserve">FY3/23 guide: OP JPY206bn (FY3/22 guide JPY144bn); DPS JPY16</w:t>
            </w:r>
          </w:p>
        </w:tc>
      </w:tr>
      <w:tr>
        <w:trPr>
          <w:cantSplit/>
        </w:trPr>
        <w:tc>
          <w:tcPr>
            <w:tcW w:type="dxa" w:w="408"/>
          </w:tcPr>
          <w:p>
            <w:pPr>
              <w:pStyle w:val="Compact"/>
              <w:spacing w:after="0" w:before="0" w:line="240" w:lineRule="auto"/>
              <w:jc w:val="left"/>
            </w:pPr>
            <w:r>
              <w:rPr>
                <w:rFonts w:ascii="Arial" w:hAnsi="Arial"/>
                <w:sz w:val="15"/>
              </w:rPr>
              <w:t xml:space="preserve">3</w:t>
            </w:r>
          </w:p>
        </w:tc>
        <w:tc>
          <w:tcPr>
            <w:tcW w:type="dxa" w:w="1690"/>
          </w:tcPr>
          <w:p>
            <w:pPr>
              <w:pStyle w:val="Compact"/>
              <w:spacing w:after="0" w:before="0" w:line="240" w:lineRule="auto"/>
              <w:jc w:val="left"/>
            </w:pPr>
            <w:r>
              <w:rPr>
                <w:rFonts w:ascii="Arial" w:hAnsi="Arial"/>
                <w:sz w:val="15"/>
              </w:rPr>
              <w:t xml:space="preserve">Mar–Sep 2022</w:t>
            </w:r>
          </w:p>
        </w:tc>
        <w:tc>
          <w:tcPr>
            <w:tcW w:type="dxa" w:w="1275"/>
          </w:tcPr>
          <w:p>
            <w:pPr>
              <w:pStyle w:val="Compact"/>
              <w:spacing w:after="0" w:before="0" w:line="240" w:lineRule="auto"/>
              <w:jc w:val="right"/>
            </w:pPr>
            <w:r>
              <w:rPr>
                <w:rFonts w:ascii="Arial" w:hAnsi="Arial"/>
                <w:sz w:val="15"/>
              </w:rPr>
              <w:t xml:space="preserve">+56.7%</w:t>
            </w:r>
          </w:p>
        </w:tc>
        <w:tc>
          <w:tcPr>
            <w:tcW w:type="dxa" w:w="1114"/>
          </w:tcPr>
          <w:p>
            <w:pPr>
              <w:pStyle w:val="Compact"/>
              <w:spacing w:after="0" w:before="0" w:line="240" w:lineRule="auto"/>
              <w:jc w:val="left"/>
            </w:pPr>
            <w:r>
              <w:rPr>
                <w:rFonts w:ascii="Arial" w:hAnsi="Arial"/>
                <w:sz w:val="15"/>
              </w:rPr>
              <w:t xml:space="preserve">2,028 → 3,177</w:t>
            </w:r>
          </w:p>
        </w:tc>
        <w:tc>
          <w:tcPr>
            <w:tcW w:type="dxa" w:w="1011"/>
          </w:tcPr>
          <w:p>
            <w:pPr>
              <w:pStyle w:val="Compact"/>
              <w:spacing w:after="0" w:before="0" w:line="240" w:lineRule="auto"/>
              <w:jc w:val="left"/>
            </w:pPr>
            <w:r>
              <w:rPr>
                <w:rFonts w:ascii="Arial" w:hAnsi="Arial"/>
                <w:sz w:val="15"/>
              </w:rPr>
              <w:t xml:space="preserve">+6.4%</w:t>
            </w:r>
          </w:p>
        </w:tc>
        <w:tc>
          <w:tcPr>
            <w:tcW w:type="dxa" w:w="4480"/>
          </w:tcPr>
          <w:p>
            <w:pPr>
              <w:pStyle w:val="Compact"/>
              <w:spacing w:after="0" w:before="0" w:line="240" w:lineRule="auto"/>
              <w:jc w:val="left"/>
            </w:pPr>
            <w:r>
              <w:rPr>
                <w:rFonts w:ascii="Arial" w:hAnsi="Arial"/>
                <w:sz w:val="15"/>
              </w:rPr>
              <w:t xml:space="preserve">Guidance raises;</w:t>
            </w:r>
            <w:r>
              <w:rPr>
                <w:rFonts w:ascii="Arial" w:hAnsi="Arial"/>
                <w:sz w:val="15"/>
              </w:rPr>
              <w:t xml:space="preserve"> </w:t>
            </w:r>
            <w:r>
              <w:rPr>
                <w:bCs/>
                <w:rFonts w:ascii="Arial" w:hAnsi="Arial"/>
                <w:b/>
                <w:sz w:val="15"/>
              </w:rPr>
              <w:t xml:space="preserve">sale of Evident (Scientific Solutions) to Bain for ~JPY430bn</w:t>
            </w:r>
            <w:r>
              <w:rPr>
                <w:rFonts w:ascii="Arial" w:hAnsi="Arial"/>
                <w:sz w:val="15"/>
              </w:rPr>
              <w:t xml:space="preserve"> </w:t>
            </w:r>
            <w:r>
              <w:rPr>
                <w:rFonts w:ascii="Arial" w:hAnsi="Arial"/>
                <w:sz w:val="15"/>
              </w:rPr>
              <w:t xml:space="preserve">(29-Aug-22); weak yen</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4</w:t>
            </w:r>
          </w:p>
        </w:tc>
        <w:tc>
          <w:tcPr>
            <w:tcW w:type="dxa" w:w="1690"/>
            <w:shd w:val="clear" w:color="auto" w:fill="F1F2F5"/>
          </w:tcPr>
          <w:p>
            <w:pPr>
              <w:pStyle w:val="Compact"/>
              <w:spacing w:after="0" w:before="0" w:line="240" w:lineRule="auto"/>
              <w:jc w:val="left"/>
            </w:pPr>
            <w:r>
              <w:rPr>
                <w:rFonts w:ascii="Arial" w:hAnsi="Arial"/>
                <w:sz w:val="15"/>
              </w:rPr>
              <w:t xml:space="preserve">11–16 Nov 2022</w:t>
            </w:r>
          </w:p>
        </w:tc>
        <w:tc>
          <w:tcPr>
            <w:tcW w:type="dxa" w:w="1275"/>
            <w:shd w:val="clear" w:color="auto" w:fill="F1F2F5"/>
          </w:tcPr>
          <w:p>
            <w:pPr>
              <w:pStyle w:val="Compact"/>
              <w:spacing w:after="0" w:before="0" w:line="240" w:lineRule="auto"/>
              <w:jc w:val="right"/>
            </w:pPr>
            <w:r>
              <w:rPr>
                <w:rFonts w:ascii="Arial" w:hAnsi="Arial"/>
                <w:sz w:val="15"/>
              </w:rPr>
              <w:t xml:space="preserve">-12.6%</w:t>
            </w:r>
          </w:p>
        </w:tc>
        <w:tc>
          <w:tcPr>
            <w:tcW w:type="dxa" w:w="1114"/>
            <w:shd w:val="clear" w:color="auto" w:fill="F1F2F5"/>
          </w:tcPr>
          <w:p>
            <w:pPr>
              <w:pStyle w:val="Compact"/>
              <w:spacing w:after="0" w:before="0" w:line="240" w:lineRule="auto"/>
              <w:jc w:val="left"/>
            </w:pPr>
            <w:r>
              <w:rPr>
                <w:rFonts w:ascii="Arial" w:hAnsi="Arial"/>
                <w:sz w:val="15"/>
              </w:rPr>
              <w:t xml:space="preserve">3,093 → 2,704</w:t>
            </w:r>
          </w:p>
        </w:tc>
        <w:tc>
          <w:tcPr>
            <w:tcW w:type="dxa" w:w="1011"/>
            <w:shd w:val="clear" w:color="auto" w:fill="F1F2F5"/>
          </w:tcPr>
          <w:p>
            <w:pPr>
              <w:pStyle w:val="Compact"/>
              <w:spacing w:after="0" w:before="0" w:line="240" w:lineRule="auto"/>
              <w:jc w:val="left"/>
            </w:pPr>
            <w:r>
              <w:rPr>
                <w:rFonts w:ascii="Arial" w:hAnsi="Arial"/>
                <w:sz w:val="15"/>
              </w:rPr>
              <w:t xml:space="preserve">-0.5%</w:t>
            </w:r>
          </w:p>
        </w:tc>
        <w:tc>
          <w:tcPr>
            <w:tcW w:type="dxa" w:w="4480"/>
            <w:shd w:val="clear" w:color="auto" w:fill="F1F2F5"/>
          </w:tcPr>
          <w:p>
            <w:pPr>
              <w:pStyle w:val="Compact"/>
              <w:spacing w:after="0" w:before="0" w:line="240" w:lineRule="auto"/>
              <w:jc w:val="left"/>
            </w:pPr>
            <w:r>
              <w:rPr>
                <w:rFonts w:ascii="Arial" w:hAnsi="Arial"/>
                <w:sz w:val="15"/>
              </w:rPr>
              <w:t xml:space="preserve">2Q FY3/23: guide rebased ex-Evident; JPY50bn buyback; first FDA Warning Letter (Aizu, 2-Nov-22) in the background</w:t>
            </w:r>
          </w:p>
        </w:tc>
      </w:tr>
      <w:tr>
        <w:trPr>
          <w:cantSplit/>
        </w:trPr>
        <w:tc>
          <w:tcPr>
            <w:tcW w:type="dxa" w:w="408"/>
          </w:tcPr>
          <w:p>
            <w:pPr>
              <w:pStyle w:val="Compact"/>
              <w:spacing w:after="0" w:before="0" w:line="240" w:lineRule="auto"/>
              <w:jc w:val="left"/>
            </w:pPr>
            <w:r>
              <w:rPr>
                <w:rFonts w:ascii="Arial" w:hAnsi="Arial"/>
                <w:sz w:val="15"/>
              </w:rPr>
              <w:t xml:space="preserve">5</w:t>
            </w:r>
          </w:p>
        </w:tc>
        <w:tc>
          <w:tcPr>
            <w:tcW w:type="dxa" w:w="1690"/>
          </w:tcPr>
          <w:p>
            <w:pPr>
              <w:pStyle w:val="Compact"/>
              <w:spacing w:after="0" w:before="0" w:line="240" w:lineRule="auto"/>
              <w:jc w:val="left"/>
            </w:pPr>
            <w:r>
              <w:rPr>
                <w:rFonts w:ascii="Arial" w:hAnsi="Arial"/>
                <w:sz w:val="15"/>
              </w:rPr>
              <w:t xml:space="preserve">Nov-2022 to Mar-2023</w:t>
            </w:r>
          </w:p>
        </w:tc>
        <w:tc>
          <w:tcPr>
            <w:tcW w:type="dxa" w:w="1275"/>
          </w:tcPr>
          <w:p>
            <w:pPr>
              <w:pStyle w:val="Compact"/>
              <w:spacing w:after="0" w:before="0" w:line="240" w:lineRule="auto"/>
              <w:jc w:val="right"/>
            </w:pPr>
            <w:r>
              <w:rPr>
                <w:rFonts w:ascii="Arial" w:hAnsi="Arial"/>
                <w:sz w:val="15"/>
              </w:rPr>
              <w:t xml:space="preserve">-29.1%</w:t>
            </w:r>
          </w:p>
        </w:tc>
        <w:tc>
          <w:tcPr>
            <w:tcW w:type="dxa" w:w="1114"/>
          </w:tcPr>
          <w:p>
            <w:pPr>
              <w:pStyle w:val="Compact"/>
              <w:spacing w:after="0" w:before="0" w:line="240" w:lineRule="auto"/>
              <w:jc w:val="left"/>
            </w:pPr>
            <w:r>
              <w:rPr>
                <w:rFonts w:ascii="Arial" w:hAnsi="Arial"/>
                <w:sz w:val="15"/>
              </w:rPr>
              <w:t xml:space="preserve">3,140 → 2,225</w:t>
            </w:r>
          </w:p>
        </w:tc>
        <w:tc>
          <w:tcPr>
            <w:tcW w:type="dxa" w:w="1011"/>
          </w:tcPr>
          <w:p>
            <w:pPr>
              <w:pStyle w:val="Compact"/>
              <w:spacing w:after="0" w:before="0" w:line="240" w:lineRule="auto"/>
              <w:jc w:val="left"/>
            </w:pPr>
            <w:r>
              <w:rPr>
                <w:rFonts w:ascii="Arial" w:hAnsi="Arial"/>
                <w:sz w:val="15"/>
              </w:rPr>
              <w:t xml:space="preserve">+6.5%</w:t>
            </w:r>
          </w:p>
        </w:tc>
        <w:tc>
          <w:tcPr>
            <w:tcW w:type="dxa" w:w="4480"/>
          </w:tcPr>
          <w:p>
            <w:pPr>
              <w:pStyle w:val="Compact"/>
              <w:spacing w:after="0" w:before="0" w:line="240" w:lineRule="auto"/>
              <w:jc w:val="left"/>
            </w:pPr>
            <w:r>
              <w:rPr>
                <w:rFonts w:ascii="Arial" w:hAnsi="Arial"/>
                <w:sz w:val="15"/>
              </w:rPr>
              <w:t xml:space="preserve">FDA Warning Letters (Aizu, Hachioji) made public; BoJ YCC tweak; FY guide cut (OP JPY212bn → JPY198bn)</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6</w:t>
            </w:r>
          </w:p>
        </w:tc>
        <w:tc>
          <w:tcPr>
            <w:tcW w:type="dxa" w:w="1690"/>
            <w:shd w:val="clear" w:color="auto" w:fill="F1F2F5"/>
          </w:tcPr>
          <w:p>
            <w:pPr>
              <w:pStyle w:val="Compact"/>
              <w:spacing w:after="0" w:before="0" w:line="240" w:lineRule="auto"/>
              <w:jc w:val="left"/>
            </w:pPr>
            <w:r>
              <w:rPr>
                <w:rFonts w:ascii="Arial" w:hAnsi="Arial"/>
                <w:sz w:val="15"/>
              </w:rPr>
              <w:t xml:space="preserve">12–17 May 2023</w:t>
            </w:r>
          </w:p>
        </w:tc>
        <w:tc>
          <w:tcPr>
            <w:tcW w:type="dxa" w:w="1275"/>
            <w:shd w:val="clear" w:color="auto" w:fill="F1F2F5"/>
          </w:tcPr>
          <w:p>
            <w:pPr>
              <w:pStyle w:val="Compact"/>
              <w:spacing w:after="0" w:before="0" w:line="240" w:lineRule="auto"/>
              <w:jc w:val="right"/>
            </w:pPr>
            <w:r>
              <w:rPr>
                <w:rFonts w:ascii="Arial" w:hAnsi="Arial"/>
                <w:sz w:val="15"/>
              </w:rPr>
              <w:t xml:space="preserve">-12.2%</w:t>
            </w:r>
          </w:p>
        </w:tc>
        <w:tc>
          <w:tcPr>
            <w:tcW w:type="dxa" w:w="1114"/>
            <w:shd w:val="clear" w:color="auto" w:fill="F1F2F5"/>
          </w:tcPr>
          <w:p>
            <w:pPr>
              <w:pStyle w:val="Compact"/>
              <w:spacing w:after="0" w:before="0" w:line="240" w:lineRule="auto"/>
              <w:jc w:val="left"/>
            </w:pPr>
            <w:r>
              <w:rPr>
                <w:rFonts w:ascii="Arial" w:hAnsi="Arial"/>
                <w:sz w:val="15"/>
              </w:rPr>
              <w:t xml:space="preserve">2,438 → 2,140</w:t>
            </w:r>
          </w:p>
        </w:tc>
        <w:tc>
          <w:tcPr>
            <w:tcW w:type="dxa" w:w="1011"/>
            <w:shd w:val="clear" w:color="auto" w:fill="F1F2F5"/>
          </w:tcPr>
          <w:p>
            <w:pPr>
              <w:pStyle w:val="Compact"/>
              <w:spacing w:after="0" w:before="0" w:line="240" w:lineRule="auto"/>
              <w:jc w:val="left"/>
            </w:pPr>
            <w:r>
              <w:rPr>
                <w:rFonts w:ascii="Arial" w:hAnsi="Arial"/>
                <w:sz w:val="15"/>
              </w:rPr>
              <w:t xml:space="preserve">+1.8%</w:t>
            </w:r>
          </w:p>
        </w:tc>
        <w:tc>
          <w:tcPr>
            <w:tcW w:type="dxa" w:w="4480"/>
            <w:shd w:val="clear" w:color="auto" w:fill="F1F2F5"/>
          </w:tcPr>
          <w:p>
            <w:pPr>
              <w:pStyle w:val="Compact"/>
              <w:spacing w:after="0" w:before="0" w:line="240" w:lineRule="auto"/>
              <w:jc w:val="left"/>
            </w:pPr>
            <w:r>
              <w:rPr>
                <w:rFonts w:ascii="Arial" w:hAnsi="Arial"/>
                <w:sz w:val="15"/>
              </w:rPr>
              <w:t xml:space="preserve">FY3/24 guide OP JPY163bn (vs JPY198bn guided for FY3/23), despite a JPY100bn buyback</w:t>
            </w:r>
          </w:p>
        </w:tc>
      </w:tr>
      <w:tr>
        <w:trPr>
          <w:cantSplit/>
        </w:trPr>
        <w:tc>
          <w:tcPr>
            <w:tcW w:type="dxa" w:w="408"/>
          </w:tcPr>
          <w:p>
            <w:pPr>
              <w:pStyle w:val="Compact"/>
              <w:spacing w:after="0" w:before="0" w:line="240" w:lineRule="auto"/>
              <w:jc w:val="left"/>
            </w:pPr>
            <w:r>
              <w:rPr>
                <w:rFonts w:ascii="Arial" w:hAnsi="Arial"/>
                <w:sz w:val="15"/>
              </w:rPr>
              <w:t xml:space="preserve">7</w:t>
            </w:r>
          </w:p>
        </w:tc>
        <w:tc>
          <w:tcPr>
            <w:tcW w:type="dxa" w:w="1690"/>
          </w:tcPr>
          <w:p>
            <w:pPr>
              <w:pStyle w:val="Compact"/>
              <w:spacing w:after="0" w:before="0" w:line="240" w:lineRule="auto"/>
              <w:jc w:val="left"/>
            </w:pPr>
            <w:r>
              <w:rPr>
                <w:rFonts w:ascii="Arial" w:hAnsi="Arial"/>
                <w:sz w:val="15"/>
              </w:rPr>
              <w:t xml:space="preserve">10-Aug-2023 (Jun–Aug)</w:t>
            </w:r>
          </w:p>
        </w:tc>
        <w:tc>
          <w:tcPr>
            <w:tcW w:type="dxa" w:w="1275"/>
          </w:tcPr>
          <w:p>
            <w:pPr>
              <w:pStyle w:val="Compact"/>
              <w:spacing w:after="0" w:before="0" w:line="240" w:lineRule="auto"/>
              <w:jc w:val="right"/>
            </w:pPr>
            <w:r>
              <w:rPr>
                <w:rFonts w:ascii="Arial" w:hAnsi="Arial"/>
                <w:sz w:val="15"/>
              </w:rPr>
              <w:t xml:space="preserve">-12.0% (-23.4% window)</w:t>
            </w:r>
          </w:p>
        </w:tc>
        <w:tc>
          <w:tcPr>
            <w:tcW w:type="dxa" w:w="1114"/>
          </w:tcPr>
          <w:p>
            <w:pPr>
              <w:pStyle w:val="Compact"/>
              <w:spacing w:after="0" w:before="0" w:line="240" w:lineRule="auto"/>
              <w:jc w:val="left"/>
            </w:pPr>
            <w:r>
              <w:rPr>
                <w:rFonts w:ascii="Arial" w:hAnsi="Arial"/>
                <w:sz w:val="15"/>
              </w:rPr>
              <w:t xml:space="preserve">2,346 → 1,798</w:t>
            </w:r>
          </w:p>
        </w:tc>
        <w:tc>
          <w:tcPr>
            <w:tcW w:type="dxa" w:w="1011"/>
          </w:tcPr>
          <w:p>
            <w:pPr>
              <w:pStyle w:val="Compact"/>
              <w:spacing w:after="0" w:before="0" w:line="240" w:lineRule="auto"/>
              <w:jc w:val="left"/>
            </w:pPr>
            <w:r>
              <w:rPr>
                <w:rFonts w:ascii="Arial" w:hAnsi="Arial"/>
                <w:sz w:val="15"/>
              </w:rPr>
              <w:t xml:space="preserve">-1.7%</w:t>
            </w:r>
          </w:p>
        </w:tc>
        <w:tc>
          <w:tcPr>
            <w:tcW w:type="dxa" w:w="4480"/>
          </w:tcPr>
          <w:p>
            <w:pPr>
              <w:pStyle w:val="Compact"/>
              <w:spacing w:after="0" w:before="0" w:line="240" w:lineRule="auto"/>
              <w:jc w:val="left"/>
            </w:pPr>
            <w:r>
              <w:rPr>
                <w:rFonts w:ascii="Arial" w:hAnsi="Arial"/>
                <w:sz w:val="15"/>
              </w:rPr>
              <w:t xml:space="preserve">1Q FY3/24 OP fell (no repeat of the land gain; higher personnel costs); China anti-corruption campaign</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8</w:t>
            </w:r>
          </w:p>
        </w:tc>
        <w:tc>
          <w:tcPr>
            <w:tcW w:type="dxa" w:w="1690"/>
            <w:shd w:val="clear" w:color="auto" w:fill="F1F2F5"/>
          </w:tcPr>
          <w:p>
            <w:pPr>
              <w:pStyle w:val="Compact"/>
              <w:spacing w:after="0" w:before="0" w:line="240" w:lineRule="auto"/>
              <w:jc w:val="left"/>
            </w:pPr>
            <w:r>
              <w:rPr>
                <w:rFonts w:ascii="Arial" w:hAnsi="Arial"/>
                <w:sz w:val="15"/>
              </w:rPr>
              <w:t xml:space="preserve">Aug-2023 to Jul-2024</w:t>
            </w:r>
          </w:p>
        </w:tc>
        <w:tc>
          <w:tcPr>
            <w:tcW w:type="dxa" w:w="1275"/>
            <w:shd w:val="clear" w:color="auto" w:fill="F1F2F5"/>
          </w:tcPr>
          <w:p>
            <w:pPr>
              <w:pStyle w:val="Compact"/>
              <w:spacing w:after="0" w:before="0" w:line="240" w:lineRule="auto"/>
              <w:jc w:val="right"/>
            </w:pPr>
            <w:r>
              <w:rPr>
                <w:rFonts w:ascii="Arial" w:hAnsi="Arial"/>
                <w:sz w:val="15"/>
              </w:rPr>
              <w:t xml:space="preserve">+50.9%</w:t>
            </w:r>
          </w:p>
        </w:tc>
        <w:tc>
          <w:tcPr>
            <w:tcW w:type="dxa" w:w="1114"/>
            <w:shd w:val="clear" w:color="auto" w:fill="F1F2F5"/>
          </w:tcPr>
          <w:p>
            <w:pPr>
              <w:pStyle w:val="Compact"/>
              <w:spacing w:after="0" w:before="0" w:line="240" w:lineRule="auto"/>
              <w:jc w:val="left"/>
            </w:pPr>
            <w:r>
              <w:rPr>
                <w:rFonts w:ascii="Arial" w:hAnsi="Arial"/>
                <w:sz w:val="15"/>
              </w:rPr>
              <w:t xml:space="preserve">1,798 → 2,714</w:t>
            </w:r>
          </w:p>
        </w:tc>
        <w:tc>
          <w:tcPr>
            <w:tcW w:type="dxa" w:w="1011"/>
            <w:shd w:val="clear" w:color="auto" w:fill="F1F2F5"/>
          </w:tcPr>
          <w:p>
            <w:pPr>
              <w:pStyle w:val="Compact"/>
              <w:spacing w:after="0" w:before="0" w:line="240" w:lineRule="auto"/>
              <w:jc w:val="left"/>
            </w:pPr>
            <w:r>
              <w:rPr>
                <w:rFonts w:ascii="Arial" w:hAnsi="Arial"/>
                <w:sz w:val="15"/>
              </w:rPr>
              <w:t xml:space="preserve">+25.5%</w:t>
            </w:r>
          </w:p>
        </w:tc>
        <w:tc>
          <w:tcPr>
            <w:tcW w:type="dxa" w:w="4480"/>
            <w:shd w:val="clear" w:color="auto" w:fill="F1F2F5"/>
          </w:tcPr>
          <w:p>
            <w:pPr>
              <w:pStyle w:val="Compact"/>
              <w:spacing w:after="0" w:before="0" w:line="240" w:lineRule="auto"/>
              <w:jc w:val="left"/>
            </w:pPr>
            <w:r>
              <w:rPr>
                <w:rFonts w:ascii="Arial" w:hAnsi="Arial"/>
                <w:sz w:val="15"/>
              </w:rPr>
              <w:t xml:space="preserve">JPY100bn + JPY80bn buybacks (~7% of shares); Taewoong closing; FY3/24 results plus JPY100bn buyback (+9.7%)</w:t>
            </w:r>
          </w:p>
        </w:tc>
      </w:tr>
      <w:tr>
        <w:trPr>
          <w:cantSplit/>
        </w:trPr>
        <w:tc>
          <w:tcPr>
            <w:tcW w:type="dxa" w:w="408"/>
          </w:tcPr>
          <w:p>
            <w:pPr>
              <w:pStyle w:val="Compact"/>
              <w:spacing w:after="0" w:before="0" w:line="240" w:lineRule="auto"/>
              <w:jc w:val="left"/>
            </w:pPr>
            <w:r>
              <w:rPr>
                <w:rFonts w:ascii="Arial" w:hAnsi="Arial"/>
                <w:sz w:val="15"/>
              </w:rPr>
              <w:t xml:space="preserve">9</w:t>
            </w:r>
          </w:p>
        </w:tc>
        <w:tc>
          <w:tcPr>
            <w:tcW w:type="dxa" w:w="1690"/>
          </w:tcPr>
          <w:p>
            <w:pPr>
              <w:pStyle w:val="Compact"/>
              <w:spacing w:after="0" w:before="0" w:line="240" w:lineRule="auto"/>
              <w:jc w:val="left"/>
            </w:pPr>
            <w:r>
              <w:rPr>
                <w:rFonts w:ascii="Arial" w:hAnsi="Arial"/>
                <w:sz w:val="15"/>
              </w:rPr>
              <w:t xml:space="preserve">18-Jul to 5-Aug 2024</w:t>
            </w:r>
          </w:p>
        </w:tc>
        <w:tc>
          <w:tcPr>
            <w:tcW w:type="dxa" w:w="1275"/>
          </w:tcPr>
          <w:p>
            <w:pPr>
              <w:pStyle w:val="Compact"/>
              <w:spacing w:after="0" w:before="0" w:line="240" w:lineRule="auto"/>
              <w:jc w:val="right"/>
            </w:pPr>
            <w:r>
              <w:rPr>
                <w:rFonts w:ascii="Arial" w:hAnsi="Arial"/>
                <w:sz w:val="15"/>
              </w:rPr>
              <w:t xml:space="preserve">-19.4%</w:t>
            </w:r>
          </w:p>
        </w:tc>
        <w:tc>
          <w:tcPr>
            <w:tcW w:type="dxa" w:w="1114"/>
          </w:tcPr>
          <w:p>
            <w:pPr>
              <w:pStyle w:val="Compact"/>
              <w:spacing w:after="0" w:before="0" w:line="240" w:lineRule="auto"/>
              <w:jc w:val="left"/>
            </w:pPr>
            <w:r>
              <w:rPr>
                <w:rFonts w:ascii="Arial" w:hAnsi="Arial"/>
                <w:sz w:val="15"/>
              </w:rPr>
              <w:t xml:space="preserve">2,714 → 2,187</w:t>
            </w:r>
          </w:p>
        </w:tc>
        <w:tc>
          <w:tcPr>
            <w:tcW w:type="dxa" w:w="1011"/>
          </w:tcPr>
          <w:p>
            <w:pPr>
              <w:pStyle w:val="Compact"/>
              <w:spacing w:after="0" w:before="0" w:line="240" w:lineRule="auto"/>
              <w:jc w:val="left"/>
            </w:pPr>
            <w:r>
              <w:rPr>
                <w:rFonts w:ascii="Arial" w:hAnsi="Arial"/>
                <w:sz w:val="15"/>
              </w:rPr>
              <w:t xml:space="preserve">-21.1%</w:t>
            </w:r>
          </w:p>
        </w:tc>
        <w:tc>
          <w:tcPr>
            <w:tcW w:type="dxa" w:w="4480"/>
          </w:tcPr>
          <w:p>
            <w:pPr>
              <w:pStyle w:val="Compact"/>
              <w:spacing w:after="0" w:before="0" w:line="240" w:lineRule="auto"/>
              <w:jc w:val="left"/>
            </w:pPr>
            <w:r>
              <w:rPr>
                <w:rFonts w:ascii="Arial" w:hAnsi="Arial"/>
                <w:sz w:val="15"/>
              </w:rPr>
              <w:t xml:space="preserve">Market-wide yen carry-trade unwind (Olympus slightly outperformed)</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10</w:t>
            </w:r>
          </w:p>
        </w:tc>
        <w:tc>
          <w:tcPr>
            <w:tcW w:type="dxa" w:w="1690"/>
            <w:shd w:val="clear" w:color="auto" w:fill="F1F2F5"/>
          </w:tcPr>
          <w:p>
            <w:pPr>
              <w:pStyle w:val="Compact"/>
              <w:spacing w:after="0" w:before="0" w:line="240" w:lineRule="auto"/>
              <w:jc w:val="left"/>
            </w:pPr>
            <w:r>
              <w:rPr>
                <w:rFonts w:ascii="Arial" w:hAnsi="Arial"/>
                <w:sz w:val="15"/>
              </w:rPr>
              <w:t xml:space="preserve">Oct-2024 to Apr-2025</w:t>
            </w:r>
          </w:p>
        </w:tc>
        <w:tc>
          <w:tcPr>
            <w:tcW w:type="dxa" w:w="1275"/>
            <w:shd w:val="clear" w:color="auto" w:fill="F1F2F5"/>
          </w:tcPr>
          <w:p>
            <w:pPr>
              <w:pStyle w:val="Compact"/>
              <w:spacing w:after="0" w:before="0" w:line="240" w:lineRule="auto"/>
              <w:jc w:val="right"/>
            </w:pPr>
            <w:r>
              <w:rPr>
                <w:bCs/>
                <w:rFonts w:ascii="Arial" w:hAnsi="Arial"/>
                <w:b/>
                <w:sz w:val="15"/>
              </w:rPr>
              <w:t xml:space="preserve">-42.5%</w:t>
            </w:r>
          </w:p>
        </w:tc>
        <w:tc>
          <w:tcPr>
            <w:tcW w:type="dxa" w:w="1114"/>
            <w:shd w:val="clear" w:color="auto" w:fill="F1F2F5"/>
          </w:tcPr>
          <w:p>
            <w:pPr>
              <w:pStyle w:val="Compact"/>
              <w:spacing w:after="0" w:before="0" w:line="240" w:lineRule="auto"/>
              <w:jc w:val="left"/>
            </w:pPr>
            <w:r>
              <w:rPr>
                <w:rFonts w:ascii="Arial" w:hAnsi="Arial"/>
                <w:sz w:val="15"/>
              </w:rPr>
              <w:t xml:space="preserve">2,850 → 1,640</w:t>
            </w:r>
          </w:p>
        </w:tc>
        <w:tc>
          <w:tcPr>
            <w:tcW w:type="dxa" w:w="1011"/>
            <w:shd w:val="clear" w:color="auto" w:fill="F1F2F5"/>
          </w:tcPr>
          <w:p>
            <w:pPr>
              <w:pStyle w:val="Compact"/>
              <w:spacing w:after="0" w:before="0" w:line="240" w:lineRule="auto"/>
              <w:jc w:val="left"/>
            </w:pPr>
            <w:r>
              <w:rPr>
                <w:rFonts w:ascii="Arial" w:hAnsi="Arial"/>
                <w:sz w:val="15"/>
              </w:rPr>
              <w:t xml:space="preserve">-4.4%</w:t>
            </w:r>
          </w:p>
        </w:tc>
        <w:tc>
          <w:tcPr>
            <w:tcW w:type="dxa" w:w="4480"/>
            <w:shd w:val="clear" w:color="auto" w:fill="F1F2F5"/>
          </w:tcPr>
          <w:p>
            <w:pPr>
              <w:pStyle w:val="Compact"/>
              <w:spacing w:after="0" w:before="0" w:line="240" w:lineRule="auto"/>
              <w:jc w:val="left"/>
            </w:pPr>
            <w:r>
              <w:rPr>
                <w:bCs/>
                <w:rFonts w:ascii="Arial" w:hAnsi="Arial"/>
                <w:b/>
                <w:sz w:val="15"/>
              </w:rPr>
              <w:t xml:space="preserve">CEO Kaufmann resigned (28-Oct-24)</w:t>
            </w:r>
            <w:r>
              <w:rPr>
                <w:rFonts w:ascii="Arial" w:hAnsi="Arial"/>
                <w:sz w:val="15"/>
              </w:rPr>
              <w:t xml:space="preserve"> </w:t>
            </w:r>
            <w:r>
              <w:rPr>
                <w:rFonts w:ascii="Arial" w:hAnsi="Arial"/>
                <w:sz w:val="15"/>
              </w:rPr>
              <w:t xml:space="preserve">over an illegal-drug allegation; 3Q FY3/25 guide cut on China (-9.7%);</w:t>
            </w:r>
            <w:r>
              <w:rPr>
                <w:rFonts w:ascii="Arial" w:hAnsi="Arial"/>
                <w:sz w:val="15"/>
              </w:rPr>
              <w:t xml:space="preserve"> </w:t>
            </w:r>
            <w:r>
              <w:rPr>
                <w:rFonts w:ascii="Arial" w:hAnsi="Arial"/>
                <w:sz w:val="15"/>
              </w:rPr>
              <w:t xml:space="preserve">“</w:t>
            </w:r>
            <w:r>
              <w:rPr>
                <w:rFonts w:ascii="Arial" w:hAnsi="Arial"/>
                <w:sz w:val="15"/>
              </w:rPr>
              <w:t xml:space="preserve">Liberation Day</w:t>
            </w:r>
            <w:r>
              <w:rPr>
                <w:rFonts w:ascii="Arial" w:hAnsi="Arial"/>
                <w:sz w:val="15"/>
              </w:rPr>
              <w:t xml:space="preserve">”</w:t>
            </w:r>
            <w:r>
              <w:rPr>
                <w:rFonts w:ascii="Arial" w:hAnsi="Arial"/>
                <w:sz w:val="15"/>
              </w:rPr>
              <w:t xml:space="preserve"> </w:t>
            </w:r>
            <w:r>
              <w:rPr>
                <w:rFonts w:ascii="Arial" w:hAnsi="Arial"/>
                <w:sz w:val="15"/>
              </w:rPr>
              <w:t xml:space="preserve">tariffs (7-Apr-25 -11.0%)</w:t>
            </w:r>
          </w:p>
        </w:tc>
      </w:tr>
      <w:tr>
        <w:trPr>
          <w:cantSplit/>
        </w:trPr>
        <w:tc>
          <w:tcPr>
            <w:tcW w:type="dxa" w:w="408"/>
          </w:tcPr>
          <w:p>
            <w:pPr>
              <w:pStyle w:val="Compact"/>
              <w:spacing w:after="0" w:before="0" w:line="240" w:lineRule="auto"/>
              <w:jc w:val="left"/>
            </w:pPr>
            <w:r>
              <w:rPr>
                <w:rFonts w:ascii="Arial" w:hAnsi="Arial"/>
                <w:sz w:val="15"/>
              </w:rPr>
              <w:t xml:space="preserve">11</w:t>
            </w:r>
          </w:p>
        </w:tc>
        <w:tc>
          <w:tcPr>
            <w:tcW w:type="dxa" w:w="1690"/>
          </w:tcPr>
          <w:p>
            <w:pPr>
              <w:pStyle w:val="Compact"/>
              <w:spacing w:after="0" w:before="0" w:line="240" w:lineRule="auto"/>
              <w:jc w:val="left"/>
            </w:pPr>
            <w:r>
              <w:rPr>
                <w:rFonts w:ascii="Arial" w:hAnsi="Arial"/>
                <w:sz w:val="15"/>
              </w:rPr>
              <w:t xml:space="preserve">7-Apr to 12-May 2025</w:t>
            </w:r>
          </w:p>
        </w:tc>
        <w:tc>
          <w:tcPr>
            <w:tcW w:type="dxa" w:w="1275"/>
          </w:tcPr>
          <w:p>
            <w:pPr>
              <w:pStyle w:val="Compact"/>
              <w:spacing w:after="0" w:before="0" w:line="240" w:lineRule="auto"/>
              <w:jc w:val="right"/>
            </w:pPr>
            <w:r>
              <w:rPr>
                <w:rFonts w:ascii="Arial" w:hAnsi="Arial"/>
                <w:sz w:val="15"/>
              </w:rPr>
              <w:t xml:space="preserve">+23.2%</w:t>
            </w:r>
          </w:p>
        </w:tc>
        <w:tc>
          <w:tcPr>
            <w:tcW w:type="dxa" w:w="1114"/>
          </w:tcPr>
          <w:p>
            <w:pPr>
              <w:pStyle w:val="Compact"/>
              <w:spacing w:after="0" w:before="0" w:line="240" w:lineRule="auto"/>
              <w:jc w:val="left"/>
            </w:pPr>
            <w:r>
              <w:rPr>
                <w:rFonts w:ascii="Arial" w:hAnsi="Arial"/>
                <w:sz w:val="15"/>
              </w:rPr>
              <w:t xml:space="preserve">1,640 → 2,021</w:t>
            </w:r>
          </w:p>
        </w:tc>
        <w:tc>
          <w:tcPr>
            <w:tcW w:type="dxa" w:w="1011"/>
          </w:tcPr>
          <w:p>
            <w:pPr>
              <w:pStyle w:val="Compact"/>
              <w:spacing w:after="0" w:before="0" w:line="240" w:lineRule="auto"/>
              <w:jc w:val="left"/>
            </w:pPr>
            <w:r>
              <w:rPr>
                <w:rFonts w:ascii="Arial" w:hAnsi="Arial"/>
                <w:sz w:val="15"/>
              </w:rPr>
              <w:t xml:space="preserve">+11.1%</w:t>
            </w:r>
          </w:p>
        </w:tc>
        <w:tc>
          <w:tcPr>
            <w:tcW w:type="dxa" w:w="4480"/>
          </w:tcPr>
          <w:p>
            <w:pPr>
              <w:pStyle w:val="Compact"/>
              <w:spacing w:after="0" w:before="0" w:line="240" w:lineRule="auto"/>
              <w:jc w:val="left"/>
            </w:pPr>
            <w:r>
              <w:rPr>
                <w:rFonts w:ascii="Arial" w:hAnsi="Arial"/>
                <w:sz w:val="15"/>
              </w:rPr>
              <w:t xml:space="preserve">Tariff pause;</w:t>
            </w:r>
            <w:r>
              <w:rPr>
                <w:rFonts w:ascii="Arial" w:hAnsi="Arial"/>
                <w:sz w:val="15"/>
              </w:rPr>
              <w:t xml:space="preserve"> </w:t>
            </w:r>
            <w:r>
              <w:rPr>
                <w:bCs/>
                <w:rFonts w:ascii="Arial" w:hAnsi="Arial"/>
                <w:b/>
                <w:sz w:val="15"/>
              </w:rPr>
              <w:t xml:space="preserve">Bob White (ex-Medtronic) named CEO</w:t>
            </w:r>
            <w:r>
              <w:rPr>
                <w:rFonts w:ascii="Arial" w:hAnsi="Arial"/>
                <w:sz w:val="15"/>
              </w:rPr>
              <w:t xml:space="preserve"> </w:t>
            </w:r>
            <w:r>
              <w:rPr>
                <w:rFonts w:ascii="Arial" w:hAnsi="Arial"/>
                <w:sz w:val="15"/>
              </w:rPr>
              <w:t xml:space="preserve">(25-Apr-25)</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12</w:t>
            </w:r>
          </w:p>
        </w:tc>
        <w:tc>
          <w:tcPr>
            <w:tcW w:type="dxa" w:w="1690"/>
            <w:shd w:val="clear" w:color="auto" w:fill="F1F2F5"/>
          </w:tcPr>
          <w:p>
            <w:pPr>
              <w:pStyle w:val="Compact"/>
              <w:spacing w:after="0" w:before="0" w:line="240" w:lineRule="auto"/>
              <w:jc w:val="left"/>
            </w:pPr>
            <w:r>
              <w:rPr>
                <w:rFonts w:ascii="Arial" w:hAnsi="Arial"/>
                <w:sz w:val="15"/>
              </w:rPr>
              <w:t xml:space="preserve">25-Jun-2025</w:t>
            </w:r>
          </w:p>
        </w:tc>
        <w:tc>
          <w:tcPr>
            <w:tcW w:type="dxa" w:w="1275"/>
            <w:shd w:val="clear" w:color="auto" w:fill="F1F2F5"/>
          </w:tcPr>
          <w:p>
            <w:pPr>
              <w:pStyle w:val="Compact"/>
              <w:spacing w:after="0" w:before="0" w:line="240" w:lineRule="auto"/>
              <w:jc w:val="right"/>
            </w:pPr>
            <w:r>
              <w:rPr>
                <w:rFonts w:ascii="Arial" w:hAnsi="Arial"/>
                <w:sz w:val="15"/>
              </w:rPr>
              <w:t xml:space="preserve">-10.6% (-19.6% window)</w:t>
            </w:r>
          </w:p>
        </w:tc>
        <w:tc>
          <w:tcPr>
            <w:tcW w:type="dxa" w:w="1114"/>
            <w:shd w:val="clear" w:color="auto" w:fill="F1F2F5"/>
          </w:tcPr>
          <w:p>
            <w:pPr>
              <w:pStyle w:val="Compact"/>
              <w:spacing w:after="0" w:before="0" w:line="240" w:lineRule="auto"/>
              <w:jc w:val="left"/>
            </w:pPr>
            <w:r>
              <w:rPr>
                <w:rFonts w:ascii="Arial" w:hAnsi="Arial"/>
                <w:sz w:val="15"/>
              </w:rPr>
              <w:t xml:space="preserve">1,892 → 1,692</w:t>
            </w:r>
          </w:p>
        </w:tc>
        <w:tc>
          <w:tcPr>
            <w:tcW w:type="dxa" w:w="1011"/>
            <w:shd w:val="clear" w:color="auto" w:fill="F1F2F5"/>
          </w:tcPr>
          <w:p>
            <w:pPr>
              <w:pStyle w:val="Compact"/>
              <w:spacing w:after="0" w:before="0" w:line="240" w:lineRule="auto"/>
              <w:jc w:val="left"/>
            </w:pPr>
            <w:r>
              <w:rPr>
                <w:rFonts w:ascii="Arial" w:hAnsi="Arial"/>
                <w:sz w:val="15"/>
              </w:rPr>
              <w:t xml:space="preserve">0%</w:t>
            </w:r>
          </w:p>
        </w:tc>
        <w:tc>
          <w:tcPr>
            <w:tcW w:type="dxa" w:w="4480"/>
            <w:shd w:val="clear" w:color="auto" w:fill="F1F2F5"/>
          </w:tcPr>
          <w:p>
            <w:pPr>
              <w:pStyle w:val="Compact"/>
              <w:spacing w:after="0" w:before="0" w:line="240" w:lineRule="auto"/>
              <w:jc w:val="left"/>
            </w:pPr>
            <w:r>
              <w:rPr>
                <w:bCs/>
                <w:rFonts w:ascii="Arial" w:hAnsi="Arial"/>
                <w:b/>
                <w:sz w:val="15"/>
              </w:rPr>
              <w:t xml:space="preserve">FDA Import Alert 89-04:</w:t>
            </w:r>
            <w:r>
              <w:rPr>
                <w:rFonts w:ascii="Arial" w:hAnsi="Arial"/>
                <w:sz w:val="15"/>
              </w:rPr>
              <w:t xml:space="preserve"> </w:t>
            </w:r>
            <w:r>
              <w:rPr>
                <w:rFonts w:ascii="Arial" w:hAnsi="Arial"/>
                <w:sz w:val="15"/>
              </w:rPr>
              <w:t xml:space="preserve">58 Aizu-made models (bronchoscopes, ureteroscopes, laparoscopes, reprocessors; ~1% of sales) blocked from US entry</w:t>
            </w:r>
          </w:p>
        </w:tc>
      </w:tr>
      <w:tr>
        <w:trPr>
          <w:cantSplit/>
        </w:trPr>
        <w:tc>
          <w:tcPr>
            <w:tcW w:type="dxa" w:w="408"/>
          </w:tcPr>
          <w:p>
            <w:pPr>
              <w:pStyle w:val="Compact"/>
              <w:spacing w:after="0" w:before="0" w:line="240" w:lineRule="auto"/>
              <w:jc w:val="left"/>
            </w:pPr>
            <w:r>
              <w:rPr>
                <w:rFonts w:ascii="Arial" w:hAnsi="Arial"/>
                <w:sz w:val="15"/>
              </w:rPr>
              <w:t xml:space="preserve">13</w:t>
            </w:r>
          </w:p>
        </w:tc>
        <w:tc>
          <w:tcPr>
            <w:tcW w:type="dxa" w:w="1690"/>
          </w:tcPr>
          <w:p>
            <w:pPr>
              <w:pStyle w:val="Compact"/>
              <w:spacing w:after="0" w:before="0" w:line="240" w:lineRule="auto"/>
              <w:jc w:val="left"/>
            </w:pPr>
            <w:r>
              <w:rPr>
                <w:rFonts w:ascii="Arial" w:hAnsi="Arial"/>
                <w:sz w:val="15"/>
              </w:rPr>
              <w:t xml:space="preserve">10-Nov-2025</w:t>
            </w:r>
          </w:p>
        </w:tc>
        <w:tc>
          <w:tcPr>
            <w:tcW w:type="dxa" w:w="1275"/>
          </w:tcPr>
          <w:p>
            <w:pPr>
              <w:pStyle w:val="Compact"/>
              <w:spacing w:after="0" w:before="0" w:line="240" w:lineRule="auto"/>
              <w:jc w:val="right"/>
            </w:pPr>
            <w:r>
              <w:rPr>
                <w:rFonts w:ascii="Arial" w:hAnsi="Arial"/>
                <w:sz w:val="15"/>
              </w:rPr>
              <w:t xml:space="preserve">+11.5%</w:t>
            </w:r>
          </w:p>
        </w:tc>
        <w:tc>
          <w:tcPr>
            <w:tcW w:type="dxa" w:w="1114"/>
          </w:tcPr>
          <w:p>
            <w:pPr>
              <w:pStyle w:val="Compact"/>
              <w:spacing w:after="0" w:before="0" w:line="240" w:lineRule="auto"/>
              <w:jc w:val="left"/>
            </w:pPr>
            <w:r>
              <w:rPr>
                <w:rFonts w:ascii="Arial" w:hAnsi="Arial"/>
                <w:sz w:val="15"/>
              </w:rPr>
              <w:t xml:space="preserve">1,872 → 2,088</w:t>
            </w:r>
          </w:p>
        </w:tc>
        <w:tc>
          <w:tcPr>
            <w:tcW w:type="dxa" w:w="1011"/>
          </w:tcPr>
          <w:p>
            <w:pPr>
              <w:pStyle w:val="Compact"/>
              <w:spacing w:after="0" w:before="0" w:line="240" w:lineRule="auto"/>
              <w:jc w:val="left"/>
            </w:pPr>
            <w:r>
              <w:rPr>
                <w:rFonts w:ascii="Arial" w:hAnsi="Arial"/>
                <w:sz w:val="15"/>
              </w:rPr>
              <w:t xml:space="preserve">+0.6%</w:t>
            </w:r>
          </w:p>
        </w:tc>
        <w:tc>
          <w:tcPr>
            <w:tcW w:type="dxa" w:w="4480"/>
          </w:tcPr>
          <w:p>
            <w:pPr>
              <w:pStyle w:val="Compact"/>
              <w:spacing w:after="0" w:before="0" w:line="240" w:lineRule="auto"/>
              <w:jc w:val="left"/>
            </w:pPr>
            <w:r>
              <w:rPr>
                <w:bCs/>
                <w:rFonts w:ascii="Arial" w:hAnsi="Arial"/>
                <w:b/>
                <w:sz w:val="15"/>
              </w:rPr>
              <w:t xml:space="preserve">New corporate strategy:</w:t>
            </w:r>
            <w:r>
              <w:rPr>
                <w:rFonts w:ascii="Arial" w:hAnsi="Arial"/>
                <w:sz w:val="15"/>
              </w:rPr>
              <w:t xml:space="preserve"> </w:t>
            </w:r>
            <w:r>
              <w:rPr>
                <w:rFonts w:ascii="Arial" w:hAnsi="Arial"/>
                <w:sz w:val="15"/>
              </w:rPr>
              <w:t xml:space="preserve">~2,000 job cuts, ~JPY24bn savings, 100bp+/yr margin expansion; Executive Chair Takeuchi to step down</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14</w:t>
            </w:r>
          </w:p>
        </w:tc>
        <w:tc>
          <w:tcPr>
            <w:tcW w:type="dxa" w:w="1690"/>
            <w:shd w:val="clear" w:color="auto" w:fill="F1F2F5"/>
          </w:tcPr>
          <w:p>
            <w:pPr>
              <w:pStyle w:val="Compact"/>
              <w:spacing w:after="0" w:before="0" w:line="240" w:lineRule="auto"/>
              <w:jc w:val="left"/>
            </w:pPr>
            <w:r>
              <w:rPr>
                <w:rFonts w:ascii="Arial" w:hAnsi="Arial"/>
                <w:sz w:val="15"/>
              </w:rPr>
              <w:t xml:space="preserve">16-Feb-2026 (to 13-Mar)</w:t>
            </w:r>
          </w:p>
        </w:tc>
        <w:tc>
          <w:tcPr>
            <w:tcW w:type="dxa" w:w="1275"/>
            <w:shd w:val="clear" w:color="auto" w:fill="F1F2F5"/>
          </w:tcPr>
          <w:p>
            <w:pPr>
              <w:pStyle w:val="Compact"/>
              <w:spacing w:after="0" w:before="0" w:line="240" w:lineRule="auto"/>
              <w:jc w:val="right"/>
            </w:pPr>
            <w:r>
              <w:rPr>
                <w:rFonts w:ascii="Arial" w:hAnsi="Arial"/>
                <w:sz w:val="15"/>
              </w:rPr>
              <w:t xml:space="preserve">-12.9% (-38.1% window)</w:t>
            </w:r>
          </w:p>
        </w:tc>
        <w:tc>
          <w:tcPr>
            <w:tcW w:type="dxa" w:w="1114"/>
            <w:shd w:val="clear" w:color="auto" w:fill="F1F2F5"/>
          </w:tcPr>
          <w:p>
            <w:pPr>
              <w:pStyle w:val="Compact"/>
              <w:spacing w:after="0" w:before="0" w:line="240" w:lineRule="auto"/>
              <w:jc w:val="left"/>
            </w:pPr>
            <w:r>
              <w:rPr>
                <w:rFonts w:ascii="Arial" w:hAnsi="Arial"/>
                <w:sz w:val="15"/>
              </w:rPr>
              <w:t xml:space="preserve">1,852 → 1,614 → 1,310</w:t>
            </w:r>
          </w:p>
        </w:tc>
        <w:tc>
          <w:tcPr>
            <w:tcW w:type="dxa" w:w="1011"/>
            <w:shd w:val="clear" w:color="auto" w:fill="F1F2F5"/>
          </w:tcPr>
          <w:p>
            <w:pPr>
              <w:pStyle w:val="Compact"/>
              <w:spacing w:after="0" w:before="0" w:line="240" w:lineRule="auto"/>
              <w:jc w:val="left"/>
            </w:pPr>
            <w:r>
              <w:rPr>
                <w:rFonts w:ascii="Arial" w:hAnsi="Arial"/>
                <w:sz w:val="15"/>
              </w:rPr>
              <w:t xml:space="preserve">-0.7%</w:t>
            </w:r>
          </w:p>
        </w:tc>
        <w:tc>
          <w:tcPr>
            <w:tcW w:type="dxa" w:w="4480"/>
            <w:shd w:val="clear" w:color="auto" w:fill="F1F2F5"/>
          </w:tcPr>
          <w:p>
            <w:pPr>
              <w:pStyle w:val="Compact"/>
              <w:spacing w:after="0" w:before="0" w:line="240" w:lineRule="auto"/>
              <w:jc w:val="left"/>
            </w:pPr>
            <w:r>
              <w:rPr>
                <w:bCs/>
                <w:rFonts w:ascii="Arial" w:hAnsi="Arial"/>
                <w:b/>
                <w:sz w:val="15"/>
              </w:rPr>
              <w:t xml:space="preserve">FY3/26 OP guide cut from JPY136bn to JPY75–87bn</w:t>
            </w:r>
            <w:r>
              <w:rPr>
                <w:rFonts w:ascii="Arial" w:hAnsi="Arial"/>
                <w:sz w:val="15"/>
              </w:rPr>
              <w:t xml:space="preserve"> </w:t>
            </w:r>
            <w:r>
              <w:rPr>
                <w:rFonts w:ascii="Arial" w:hAnsi="Arial"/>
                <w:sz w:val="15"/>
              </w:rPr>
              <w:t xml:space="preserve">on SIS ship-holds after eight FDA inspections; CFO change; 5-year low</w:t>
            </w:r>
          </w:p>
        </w:tc>
      </w:tr>
      <w:tr>
        <w:trPr>
          <w:cantSplit/>
        </w:trPr>
        <w:tc>
          <w:tcPr>
            <w:tcW w:type="dxa" w:w="408"/>
          </w:tcPr>
          <w:p>
            <w:pPr>
              <w:pStyle w:val="Compact"/>
              <w:spacing w:after="0" w:before="0" w:line="240" w:lineRule="auto"/>
              <w:jc w:val="left"/>
            </w:pPr>
            <w:r>
              <w:rPr>
                <w:rFonts w:ascii="Arial" w:hAnsi="Arial"/>
                <w:sz w:val="15"/>
              </w:rPr>
              <w:t xml:space="preserve">15</w:t>
            </w:r>
          </w:p>
        </w:tc>
        <w:tc>
          <w:tcPr>
            <w:tcW w:type="dxa" w:w="1690"/>
          </w:tcPr>
          <w:p>
            <w:pPr>
              <w:pStyle w:val="Compact"/>
              <w:spacing w:after="0" w:before="0" w:line="240" w:lineRule="auto"/>
              <w:jc w:val="left"/>
            </w:pPr>
            <w:r>
              <w:rPr>
                <w:rFonts w:ascii="Arial" w:hAnsi="Arial"/>
                <w:sz w:val="15"/>
              </w:rPr>
              <w:t xml:space="preserve">13-May-2026</w:t>
            </w:r>
          </w:p>
        </w:tc>
        <w:tc>
          <w:tcPr>
            <w:tcW w:type="dxa" w:w="1275"/>
          </w:tcPr>
          <w:p>
            <w:pPr>
              <w:pStyle w:val="Compact"/>
              <w:spacing w:after="0" w:before="0" w:line="240" w:lineRule="auto"/>
              <w:jc w:val="right"/>
            </w:pPr>
            <w:r>
              <w:rPr>
                <w:bCs/>
                <w:rFonts w:ascii="Arial" w:hAnsi="Arial"/>
                <w:b/>
                <w:sz w:val="15"/>
              </w:rPr>
              <w:t xml:space="preserve">+19.9%</w:t>
            </w:r>
          </w:p>
        </w:tc>
        <w:tc>
          <w:tcPr>
            <w:tcW w:type="dxa" w:w="1114"/>
          </w:tcPr>
          <w:p>
            <w:pPr>
              <w:pStyle w:val="Compact"/>
              <w:spacing w:after="0" w:before="0" w:line="240" w:lineRule="auto"/>
              <w:jc w:val="left"/>
            </w:pPr>
            <w:r>
              <w:rPr>
                <w:rFonts w:ascii="Arial" w:hAnsi="Arial"/>
                <w:sz w:val="15"/>
              </w:rPr>
              <w:t xml:space="preserve">1,540 → 1,846</w:t>
            </w:r>
          </w:p>
        </w:tc>
        <w:tc>
          <w:tcPr>
            <w:tcW w:type="dxa" w:w="1011"/>
          </w:tcPr>
          <w:p>
            <w:pPr>
              <w:pStyle w:val="Compact"/>
              <w:spacing w:after="0" w:before="0" w:line="240" w:lineRule="auto"/>
              <w:jc w:val="left"/>
            </w:pPr>
            <w:r>
              <w:rPr>
                <w:rFonts w:ascii="Arial" w:hAnsi="Arial"/>
                <w:sz w:val="15"/>
              </w:rPr>
              <w:t xml:space="preserve">+1.5%</w:t>
            </w:r>
          </w:p>
        </w:tc>
        <w:tc>
          <w:tcPr>
            <w:tcW w:type="dxa" w:w="4480"/>
          </w:tcPr>
          <w:p>
            <w:pPr>
              <w:pStyle w:val="Compact"/>
              <w:spacing w:after="0" w:before="0" w:line="240" w:lineRule="auto"/>
              <w:jc w:val="left"/>
            </w:pPr>
            <w:r>
              <w:rPr>
                <w:rFonts w:ascii="Arial" w:hAnsi="Arial"/>
                <w:sz w:val="15"/>
              </w:rPr>
              <w:t xml:space="preserve">FY3/27 guide (OP JPY136.5–155.5bn);</w:t>
            </w:r>
            <w:r>
              <w:rPr>
                <w:rFonts w:ascii="Arial" w:hAnsi="Arial"/>
                <w:sz w:val="15"/>
              </w:rPr>
              <w:t xml:space="preserve"> </w:t>
            </w:r>
            <w:r>
              <w:rPr>
                <w:bCs/>
                <w:rFonts w:ascii="Arial" w:hAnsi="Arial"/>
                <w:b/>
                <w:sz w:val="15"/>
              </w:rPr>
              <w:t xml:space="preserve">Surgical strategic review</w:t>
            </w:r>
            <w:r>
              <w:rPr>
                <w:rFonts w:ascii="Arial" w:hAnsi="Arial"/>
                <w:sz w:val="15"/>
              </w:rPr>
              <w:t xml:space="preserve">; JPY60bn ToSTNeT-3 buyback (3.5% of shares)</w:t>
            </w:r>
          </w:p>
        </w:tc>
      </w:tr>
      <w:tr>
        <w:trPr>
          <w:cantSplit/>
        </w:trPr>
        <w:tc>
          <w:tcPr>
            <w:tcW w:type="dxa" w:w="408"/>
            <w:shd w:val="clear" w:color="auto" w:fill="F1F2F5"/>
          </w:tcPr>
          <w:p>
            <w:pPr>
              <w:pStyle w:val="Compact"/>
              <w:spacing w:after="0" w:before="0" w:line="240" w:lineRule="auto"/>
              <w:jc w:val="left"/>
            </w:pPr>
            <w:r>
              <w:rPr>
                <w:rFonts w:ascii="Arial" w:hAnsi="Arial"/>
                <w:sz w:val="15"/>
              </w:rPr>
              <w:t xml:space="preserve">16</w:t>
            </w:r>
          </w:p>
        </w:tc>
        <w:tc>
          <w:tcPr>
            <w:tcW w:type="dxa" w:w="1690"/>
            <w:shd w:val="clear" w:color="auto" w:fill="F1F2F5"/>
          </w:tcPr>
          <w:p>
            <w:pPr>
              <w:pStyle w:val="Compact"/>
              <w:spacing w:after="0" w:before="0" w:line="240" w:lineRule="auto"/>
              <w:jc w:val="left"/>
            </w:pPr>
            <w:r>
              <w:rPr>
                <w:rFonts w:ascii="Arial" w:hAnsi="Arial"/>
                <w:sz w:val="15"/>
              </w:rPr>
              <w:t xml:space="preserve">10-Aug-2026</w:t>
            </w:r>
          </w:p>
        </w:tc>
        <w:tc>
          <w:tcPr>
            <w:tcW w:type="dxa" w:w="1275"/>
            <w:shd w:val="clear" w:color="auto" w:fill="F1F2F5"/>
          </w:tcPr>
          <w:p>
            <w:pPr>
              <w:pStyle w:val="Compact"/>
              <w:spacing w:after="0" w:before="0" w:line="240" w:lineRule="auto"/>
              <w:jc w:val="right"/>
            </w:pPr>
            <w:r>
              <w:rPr>
                <w:rFonts w:ascii="Arial" w:hAnsi="Arial"/>
                <w:sz w:val="15"/>
              </w:rPr>
              <w:t xml:space="preserve">+10.1% (+35.7% window)</w:t>
            </w:r>
          </w:p>
        </w:tc>
        <w:tc>
          <w:tcPr>
            <w:tcW w:type="dxa" w:w="1114"/>
            <w:shd w:val="clear" w:color="auto" w:fill="F1F2F5"/>
          </w:tcPr>
          <w:p>
            <w:pPr>
              <w:pStyle w:val="Compact"/>
              <w:spacing w:after="0" w:before="0" w:line="240" w:lineRule="auto"/>
              <w:jc w:val="left"/>
            </w:pPr>
            <w:r>
              <w:rPr>
                <w:rFonts w:ascii="Arial" w:hAnsi="Arial"/>
                <w:sz w:val="15"/>
              </w:rPr>
              <w:t xml:space="preserve">1,906 → 2,098 → 2,187</w:t>
            </w:r>
          </w:p>
        </w:tc>
        <w:tc>
          <w:tcPr>
            <w:tcW w:type="dxa" w:w="1011"/>
            <w:shd w:val="clear" w:color="auto" w:fill="F1F2F5"/>
          </w:tcPr>
          <w:p>
            <w:pPr>
              <w:pStyle w:val="Compact"/>
              <w:spacing w:after="0" w:before="0" w:line="240" w:lineRule="auto"/>
              <w:jc w:val="left"/>
            </w:pPr>
            <w:r>
              <w:rPr>
                <w:rFonts w:ascii="Arial" w:hAnsi="Arial"/>
                <w:sz w:val="15"/>
              </w:rPr>
              <w:t xml:space="preserve">+0.7%</w:t>
            </w:r>
          </w:p>
        </w:tc>
        <w:tc>
          <w:tcPr>
            <w:tcW w:type="dxa" w:w="4480"/>
            <w:shd w:val="clear" w:color="auto" w:fill="F1F2F5"/>
          </w:tcPr>
          <w:p>
            <w:pPr>
              <w:pStyle w:val="Compact"/>
              <w:spacing w:after="0" w:before="0" w:line="240" w:lineRule="auto"/>
              <w:jc w:val="left"/>
            </w:pPr>
            <w:r>
              <w:rPr>
                <w:rFonts w:ascii="Arial" w:hAnsi="Arial"/>
                <w:sz w:val="15"/>
              </w:rPr>
              <w:t xml:space="preserve">1Q FY3/27: revenue +16%, OP +74%, well ahead of consensus; new CQO from Medtronic</w:t>
            </w:r>
          </w:p>
        </w:tc>
      </w:tr>
      <w:tr>
        <w:trPr>
          <w:cantSplit/>
        </w:trPr>
        <w:tc>
          <w:tcPr>
            <w:tcW w:type="dxa" w:w="408"/>
          </w:tcPr>
          <w:p>
            <w:pPr>
              <w:pStyle w:val="Compact"/>
              <w:spacing w:after="0" w:before="0" w:line="240" w:lineRule="auto"/>
              <w:jc w:val="left"/>
            </w:pPr>
            <w:r>
              <w:rPr>
                <w:rFonts w:ascii="Arial" w:hAnsi="Arial"/>
                <w:sz w:val="15"/>
              </w:rPr>
              <w:t xml:space="preserve">17</w:t>
            </w:r>
          </w:p>
        </w:tc>
        <w:tc>
          <w:tcPr>
            <w:tcW w:type="dxa" w:w="1690"/>
          </w:tcPr>
          <w:p>
            <w:pPr>
              <w:pStyle w:val="Compact"/>
              <w:spacing w:after="0" w:before="0" w:line="240" w:lineRule="auto"/>
              <w:jc w:val="left"/>
            </w:pPr>
            <w:r>
              <w:rPr>
                <w:rFonts w:ascii="Arial" w:hAnsi="Arial"/>
                <w:sz w:val="15"/>
              </w:rPr>
              <w:t xml:space="preserve">14-Oct-2026</w:t>
            </w:r>
          </w:p>
        </w:tc>
        <w:tc>
          <w:tcPr>
            <w:tcW w:type="dxa" w:w="1275"/>
          </w:tcPr>
          <w:p>
            <w:pPr>
              <w:pStyle w:val="Compact"/>
              <w:spacing w:after="0" w:before="0" w:line="240" w:lineRule="auto"/>
              <w:jc w:val="right"/>
            </w:pPr>
            <w:r>
              <w:rPr>
                <w:bCs/>
                <w:rFonts w:ascii="Arial" w:hAnsi="Arial"/>
                <w:b/>
                <w:sz w:val="15"/>
              </w:rPr>
              <w:t xml:space="preserve">-13.4%</w:t>
            </w:r>
            <w:r>
              <w:rPr>
                <w:rFonts w:ascii="Arial" w:hAnsi="Arial"/>
                <w:sz w:val="15"/>
              </w:rPr>
              <w:t xml:space="preserve"> </w:t>
            </w:r>
            <w:r>
              <w:rPr>
                <w:rFonts w:ascii="Arial" w:hAnsi="Arial"/>
                <w:sz w:val="15"/>
              </w:rPr>
              <w:t xml:space="preserve">(-16.8% in 3 days)</w:t>
            </w:r>
          </w:p>
        </w:tc>
        <w:tc>
          <w:tcPr>
            <w:tcW w:type="dxa" w:w="1114"/>
          </w:tcPr>
          <w:p>
            <w:pPr>
              <w:pStyle w:val="Compact"/>
              <w:spacing w:after="0" w:before="0" w:line="240" w:lineRule="auto"/>
              <w:jc w:val="left"/>
            </w:pPr>
            <w:r>
              <w:rPr>
                <w:rFonts w:ascii="Arial" w:hAnsi="Arial"/>
                <w:sz w:val="15"/>
              </w:rPr>
              <w:t xml:space="preserve">2,032 → 1,759 → 1,690</w:t>
            </w:r>
          </w:p>
        </w:tc>
        <w:tc>
          <w:tcPr>
            <w:tcW w:type="dxa" w:w="1011"/>
          </w:tcPr>
          <w:p>
            <w:pPr>
              <w:pStyle w:val="Compact"/>
              <w:spacing w:after="0" w:before="0" w:line="240" w:lineRule="auto"/>
              <w:jc w:val="left"/>
            </w:pPr>
            <w:r>
              <w:rPr>
                <w:rFonts w:ascii="Arial" w:hAnsi="Arial"/>
                <w:sz w:val="15"/>
              </w:rPr>
              <w:t xml:space="preserve">-0.2%</w:t>
            </w:r>
          </w:p>
        </w:tc>
        <w:tc>
          <w:tcPr>
            <w:tcW w:type="dxa" w:w="4480"/>
          </w:tcPr>
          <w:p>
            <w:pPr>
              <w:pStyle w:val="Compact"/>
              <w:spacing w:after="0" w:before="0" w:line="240" w:lineRule="auto"/>
              <w:jc w:val="left"/>
            </w:pPr>
            <w:r>
              <w:rPr>
                <w:bCs/>
                <w:rFonts w:ascii="Arial" w:hAnsi="Arial"/>
                <w:b/>
                <w:sz w:val="15"/>
              </w:rPr>
              <w:t xml:space="preserve">FDA Warning Letter (dated 7-Oct) covering six sites</w:t>
            </w:r>
            <w:r>
              <w:rPr>
                <w:rFonts w:ascii="Arial" w:hAnsi="Arial"/>
                <w:sz w:val="15"/>
              </w:rPr>
              <w:t xml:space="preserve"> </w:t>
            </w:r>
            <w:r>
              <w:rPr>
                <w:rFonts w:ascii="Arial" w:hAnsi="Arial"/>
                <w:sz w:val="15"/>
              </w:rPr>
              <w:t xml:space="preserve">for inadequate responses to 2025 Form 483s; no restriction on sales or 510(k)s</w:t>
            </w:r>
          </w:p>
        </w:tc>
      </w:tr>
    </w:tbl>
    <w:p>
      <w:pPr>
        <w:pStyle w:val="BodyText"/>
      </w:pPr>
      <w:r>
        <w:rPr>
          <w:iCs/>
          <w:i/>
        </w:rPr>
        <w:t xml:space="preserve">Source: S&amp;P Capital IQ daily prices (split-adjusted), TOPIX proxy = NEXT FUNDS TOPIX ETF (1306); S&amp;P Key Developments and TSE releases for drivers. Episodes found with a 10% zig-zag filter; drivers marked [u] are inferred.</w:t>
      </w:r>
    </w:p>
    <w:p>
      <w:pPr>
        <w:pStyle w:val="BodyText"/>
      </w:pPr>
      <w:r>
        <w:rPr>
          <w:bCs/>
          <w:b/>
        </w:rPr>
        <w:t xml:space="preserve">Pattern for an event-driven investor.</w:t>
      </w:r>
      <w:r>
        <w:t xml:space="preserve"> </w:t>
      </w:r>
      <w:r>
        <w:t xml:space="preserve">The stock tends to overshoot on FDA and guidance shocks, then recover on capital-return and strategy news:</w:t>
      </w:r>
    </w:p>
    <w:p>
      <w:pPr>
        <w:numPr>
          <w:ilvl w:val="0"/>
          <w:numId w:val="1020"/>
        </w:numPr>
        <w:pStyle w:val="Compact"/>
      </w:pPr>
      <w:r>
        <w:t xml:space="preserve">Import alert -19.6%, then +30% into the Nov-2025 strategy day.</w:t>
      </w:r>
    </w:p>
    <w:p>
      <w:pPr>
        <w:numPr>
          <w:ilvl w:val="0"/>
          <w:numId w:val="1020"/>
        </w:numPr>
        <w:pStyle w:val="Compact"/>
      </w:pPr>
      <w:r>
        <w:t xml:space="preserve">Feb-2026 cut -38%, then +44% into the May-2026 buyback.</w:t>
      </w:r>
    </w:p>
    <w:p>
      <w:pPr>
        <w:pStyle w:val="FirstParagraph"/>
      </w:pPr>
      <w:r>
        <w:t xml:space="preserve">The current -17% drawdown fits that pattern.</w:t>
      </w:r>
      <w:r>
        <w:t xml:space="preserve"> </w:t>
      </w:r>
      <w:r>
        <w:rPr>
          <w:bCs/>
          <w:b/>
        </w:rPr>
        <w:t xml:space="preserve">Whether the pattern holds depends on the FDA not escalating.</w:t>
      </w:r>
    </w:p>
    <w:bookmarkEnd w:id="64"/>
    <w:bookmarkStart w:id="70" w:name="Xe6e5cd6656a5ffd1fe61dd3f109da72e431eeff"/>
    <w:p>
      <w:pPr>
        <w:pStyle w:val="Heading1"/>
      </w:pPr>
      <w:r>
        <w:t xml:space="preserve">Earnings calls: management focus and sentiment</w:t>
      </w:r>
    </w:p>
    <w:bookmarkStart w:id="65" w:name="what-management-is-focused-on"/>
    <w:p>
      <w:pPr>
        <w:pStyle w:val="Heading2"/>
      </w:pPr>
      <w:r>
        <w:t xml:space="preserve">What management is focused on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098"/>
        <w:gridCol w:w="1162"/>
        <w:gridCol w:w="1737"/>
        <w:gridCol w:w="894"/>
        <w:gridCol w:w="875"/>
        <w:gridCol w:w="1134"/>
        <w:gridCol w:w="2074"/>
      </w:tblGrid>
      <w:tr>
        <w:trPr>
          <w:tblHeader w:val="true"/>
          <w:tblHeader w:val="true"/>
          <w:cantSplit/>
        </w:trPr>
        <w:tc>
          <w:tcPr>
            <w:tcW w:type="dxa" w:w="2099"/>
            <w:shd w:val="clear" w:color="auto" w:fill="13213F"/>
          </w:tcPr>
          <w:p>
            <w:pPr>
              <w:pStyle w:val="Compact"/>
              <w:spacing w:after="0" w:before="0" w:line="240" w:lineRule="auto"/>
              <w:jc w:val="left"/>
            </w:pPr>
            <w:r>
              <w:rPr>
                <w:rFonts w:ascii="Arial" w:hAnsi="Arial"/>
                <w:b/>
                <w:color w:val="FFFFFF"/>
                <w:sz w:val="15"/>
              </w:rPr>
              <w:t xml:space="preserve">Theme</w:t>
            </w:r>
          </w:p>
        </w:tc>
        <w:tc>
          <w:tcPr>
            <w:tcW w:type="dxa" w:w="1163"/>
            <w:shd w:val="clear" w:color="auto" w:fill="13213F"/>
          </w:tcPr>
          <w:p>
            <w:pPr>
              <w:pStyle w:val="Compact"/>
              <w:spacing w:after="0" w:before="0" w:line="240" w:lineRule="auto"/>
              <w:jc w:val="center"/>
            </w:pPr>
            <w:r>
              <w:rPr>
                <w:rFonts w:ascii="Arial" w:hAnsi="Arial"/>
                <w:b/>
                <w:color w:val="FFFFFF"/>
                <w:sz w:val="15"/>
              </w:rPr>
              <w:t xml:space="preserve">Nov-24</w:t>
            </w:r>
          </w:p>
        </w:tc>
        <w:tc>
          <w:tcPr>
            <w:tcW w:type="dxa" w:w="1737"/>
            <w:shd w:val="clear" w:color="auto" w:fill="13213F"/>
          </w:tcPr>
          <w:p>
            <w:pPr>
              <w:pStyle w:val="Compact"/>
              <w:spacing w:after="0" w:before="0" w:line="240" w:lineRule="auto"/>
              <w:jc w:val="center"/>
            </w:pPr>
            <w:r>
              <w:rPr>
                <w:rFonts w:ascii="Arial" w:hAnsi="Arial"/>
                <w:b/>
                <w:color w:val="FFFFFF"/>
                <w:sz w:val="15"/>
              </w:rPr>
              <w:t xml:space="preserve">Feb-25</w:t>
            </w:r>
          </w:p>
        </w:tc>
        <w:tc>
          <w:tcPr>
            <w:tcW w:type="dxa" w:w="895"/>
            <w:shd w:val="clear" w:color="auto" w:fill="13213F"/>
          </w:tcPr>
          <w:p>
            <w:pPr>
              <w:pStyle w:val="Compact"/>
              <w:spacing w:after="0" w:before="0" w:line="240" w:lineRule="auto"/>
              <w:jc w:val="center"/>
            </w:pPr>
            <w:r>
              <w:rPr>
                <w:rFonts w:ascii="Arial" w:hAnsi="Arial"/>
                <w:b/>
                <w:color w:val="FFFFFF"/>
                <w:sz w:val="15"/>
              </w:rPr>
              <w:t xml:space="preserve">Aug-25</w:t>
            </w:r>
          </w:p>
        </w:tc>
        <w:tc>
          <w:tcPr>
            <w:tcW w:type="dxa" w:w="876"/>
            <w:shd w:val="clear" w:color="auto" w:fill="13213F"/>
          </w:tcPr>
          <w:p>
            <w:pPr>
              <w:pStyle w:val="Compact"/>
              <w:spacing w:after="0" w:before="0" w:line="240" w:lineRule="auto"/>
              <w:jc w:val="center"/>
            </w:pPr>
            <w:r>
              <w:rPr>
                <w:rFonts w:ascii="Arial" w:hAnsi="Arial"/>
                <w:b/>
                <w:color w:val="FFFFFF"/>
                <w:sz w:val="15"/>
              </w:rPr>
              <w:t xml:space="preserve">Feb-26</w:t>
            </w:r>
          </w:p>
        </w:tc>
        <w:tc>
          <w:tcPr>
            <w:tcW w:type="dxa" w:w="1134"/>
            <w:shd w:val="clear" w:color="auto" w:fill="13213F"/>
          </w:tcPr>
          <w:p>
            <w:pPr>
              <w:pStyle w:val="Compact"/>
              <w:spacing w:after="0" w:before="0" w:line="240" w:lineRule="auto"/>
              <w:jc w:val="center"/>
            </w:pPr>
            <w:r>
              <w:rPr>
                <w:rFonts w:ascii="Arial" w:hAnsi="Arial"/>
                <w:b/>
                <w:color w:val="FFFFFF"/>
                <w:sz w:val="15"/>
              </w:rPr>
              <w:t xml:space="preserve">May-26</w:t>
            </w:r>
          </w:p>
        </w:tc>
        <w:tc>
          <w:tcPr>
            <w:tcW w:type="dxa" w:w="2075"/>
            <w:shd w:val="clear" w:color="auto" w:fill="13213F"/>
          </w:tcPr>
          <w:p>
            <w:pPr>
              <w:pStyle w:val="Compact"/>
              <w:spacing w:after="0" w:before="0" w:line="240" w:lineRule="auto"/>
              <w:jc w:val="left"/>
            </w:pPr>
            <w:r>
              <w:rPr>
                <w:rFonts w:ascii="Arial" w:hAnsi="Arial"/>
                <w:b/>
                <w:color w:val="FFFFFF"/>
                <w:sz w:val="15"/>
              </w:rPr>
              <w:t xml:space="preserve">Direction</w:t>
            </w:r>
          </w:p>
        </w:tc>
      </w:tr>
      <w:tr>
        <w:trPr>
          <w:cantSplit/>
        </w:trPr>
        <w:tc>
          <w:tcPr>
            <w:tcW w:type="dxa" w:w="2099"/>
          </w:tcPr>
          <w:p>
            <w:pPr>
              <w:pStyle w:val="Compact"/>
              <w:spacing w:after="0" w:before="0" w:line="240" w:lineRule="auto"/>
              <w:jc w:val="left"/>
            </w:pPr>
            <w:r>
              <w:rPr>
                <w:rFonts w:ascii="Arial" w:hAnsi="Arial"/>
                <w:sz w:val="15"/>
              </w:rPr>
              <w:t xml:space="preserve">FDA, Elevate, import alert, ship-holds</w:t>
            </w:r>
          </w:p>
        </w:tc>
        <w:tc>
          <w:tcPr>
            <w:tcW w:type="dxa" w:w="1163"/>
          </w:tcPr>
          <w:p>
            <w:pPr>
              <w:pStyle w:val="Compact"/>
              <w:spacing w:after="0" w:before="0" w:line="240" w:lineRule="auto"/>
              <w:jc w:val="center"/>
            </w:pPr>
            <w:r>
              <w:rPr>
                <w:rFonts w:ascii="Arial" w:hAnsi="Arial"/>
                <w:sz w:val="15"/>
              </w:rPr>
              <w:t xml:space="preserve">■</w:t>
            </w:r>
          </w:p>
        </w:tc>
        <w:tc>
          <w:tcPr>
            <w:tcW w:type="dxa" w:w="1737"/>
          </w:tcPr>
          <w:p>
            <w:pPr>
              <w:pStyle w:val="Compact"/>
              <w:spacing w:after="0" w:before="0" w:line="240" w:lineRule="auto"/>
              <w:jc w:val="center"/>
            </w:pPr>
            <w:r>
              <w:rPr>
                <w:rFonts w:ascii="Arial" w:hAnsi="Arial"/>
                <w:sz w:val="15"/>
              </w:rPr>
              <w:t xml:space="preserve">□</w:t>
            </w:r>
          </w:p>
        </w:tc>
        <w:tc>
          <w:tcPr>
            <w:tcW w:type="dxa" w:w="895"/>
          </w:tcPr>
          <w:p>
            <w:pPr>
              <w:pStyle w:val="Compact"/>
              <w:spacing w:after="0" w:before="0" w:line="240" w:lineRule="auto"/>
              <w:jc w:val="center"/>
            </w:pPr>
            <w:r>
              <w:rPr>
                <w:rFonts w:ascii="Arial" w:hAnsi="Arial"/>
                <w:sz w:val="15"/>
              </w:rPr>
              <w:t xml:space="preserve">■</w:t>
            </w:r>
          </w:p>
        </w:tc>
        <w:tc>
          <w:tcPr>
            <w:tcW w:type="dxa" w:w="876"/>
          </w:tcPr>
          <w:p>
            <w:pPr>
              <w:pStyle w:val="Compact"/>
              <w:spacing w:after="0" w:before="0" w:line="240" w:lineRule="auto"/>
              <w:jc w:val="center"/>
            </w:pPr>
            <w:r>
              <w:rPr>
                <w:rFonts w:ascii="Arial" w:hAnsi="Arial"/>
                <w:sz w:val="15"/>
              </w:rPr>
              <w:t xml:space="preserve">■</w:t>
            </w:r>
          </w:p>
        </w:tc>
        <w:tc>
          <w:tcPr>
            <w:tcW w:type="dxa" w:w="1134"/>
          </w:tcPr>
          <w:p>
            <w:pPr>
              <w:pStyle w:val="Compact"/>
              <w:spacing w:after="0" w:before="0" w:line="240" w:lineRule="auto"/>
              <w:jc w:val="center"/>
            </w:pPr>
            <w:r>
              <w:rPr>
                <w:rFonts w:ascii="Arial" w:hAnsi="Arial"/>
                <w:sz w:val="15"/>
              </w:rPr>
              <w:t xml:space="preserve">■</w:t>
            </w:r>
          </w:p>
        </w:tc>
        <w:tc>
          <w:tcPr>
            <w:tcW w:type="dxa" w:w="2075"/>
          </w:tcPr>
          <w:p>
            <w:pPr>
              <w:pStyle w:val="Compact"/>
              <w:spacing w:after="0" w:before="0" w:line="240" w:lineRule="auto"/>
              <w:jc w:val="left"/>
            </w:pPr>
            <w:r>
              <w:rPr>
                <w:rFonts w:ascii="Arial" w:hAnsi="Arial"/>
                <w:sz w:val="15"/>
              </w:rPr>
              <w:t xml:space="preserve">Rising: analysts asked in May-2026 whether 483s could become a Warning Letter. They did.</w:t>
            </w:r>
          </w:p>
        </w:tc>
      </w:tr>
      <w:tr>
        <w:trPr>
          <w:cantSplit/>
        </w:trPr>
        <w:tc>
          <w:tcPr>
            <w:tcW w:type="dxa" w:w="2099"/>
            <w:shd w:val="clear" w:color="auto" w:fill="F1F2F5"/>
          </w:tcPr>
          <w:p>
            <w:pPr>
              <w:pStyle w:val="Compact"/>
              <w:spacing w:after="0" w:before="0" w:line="240" w:lineRule="auto"/>
              <w:jc w:val="left"/>
            </w:pPr>
            <w:r>
              <w:rPr>
                <w:rFonts w:ascii="Arial" w:hAnsi="Arial"/>
                <w:sz w:val="15"/>
              </w:rPr>
              <w:t xml:space="preserve">China (anti-corruption, VBP, Buy China)</w:t>
            </w:r>
          </w:p>
        </w:tc>
        <w:tc>
          <w:tcPr>
            <w:tcW w:type="dxa" w:w="1163"/>
            <w:shd w:val="clear" w:color="auto" w:fill="F1F2F5"/>
          </w:tcPr>
          <w:p>
            <w:pPr>
              <w:pStyle w:val="Compact"/>
              <w:spacing w:after="0" w:before="0" w:line="240" w:lineRule="auto"/>
              <w:jc w:val="center"/>
            </w:pPr>
            <w:r>
              <w:rPr>
                <w:rFonts w:ascii="Arial" w:hAnsi="Arial"/>
                <w:sz w:val="15"/>
              </w:rPr>
              <w:t xml:space="preserve">■</w:t>
            </w:r>
          </w:p>
        </w:tc>
        <w:tc>
          <w:tcPr>
            <w:tcW w:type="dxa" w:w="1737"/>
            <w:shd w:val="clear" w:color="auto" w:fill="F1F2F5"/>
          </w:tcPr>
          <w:p>
            <w:pPr>
              <w:pStyle w:val="Compact"/>
              <w:spacing w:after="0" w:before="0" w:line="240" w:lineRule="auto"/>
              <w:jc w:val="center"/>
            </w:pPr>
            <w:r>
              <w:rPr>
                <w:rFonts w:ascii="Arial" w:hAnsi="Arial"/>
                <w:sz w:val="15"/>
              </w:rPr>
              <w:t xml:space="preserve">■</w:t>
            </w:r>
          </w:p>
        </w:tc>
        <w:tc>
          <w:tcPr>
            <w:tcW w:type="dxa" w:w="895"/>
            <w:shd w:val="clear" w:color="auto" w:fill="F1F2F5"/>
          </w:tcPr>
          <w:p>
            <w:pPr>
              <w:pStyle w:val="Compact"/>
              <w:spacing w:after="0" w:before="0" w:line="240" w:lineRule="auto"/>
              <w:jc w:val="center"/>
            </w:pPr>
            <w:r>
              <w:rPr>
                <w:rFonts w:ascii="Arial" w:hAnsi="Arial"/>
                <w:sz w:val="15"/>
              </w:rPr>
              <w:t xml:space="preserve">■</w:t>
            </w:r>
          </w:p>
        </w:tc>
        <w:tc>
          <w:tcPr>
            <w:tcW w:type="dxa" w:w="876"/>
            <w:shd w:val="clear" w:color="auto" w:fill="F1F2F5"/>
          </w:tcPr>
          <w:p>
            <w:pPr>
              <w:pStyle w:val="Compact"/>
              <w:spacing w:after="0" w:before="0" w:line="240" w:lineRule="auto"/>
              <w:jc w:val="center"/>
            </w:pPr>
            <w:r>
              <w:rPr>
                <w:rFonts w:ascii="Arial" w:hAnsi="Arial"/>
                <w:sz w:val="15"/>
              </w:rPr>
              <w:t xml:space="preserve">■</w:t>
            </w:r>
          </w:p>
        </w:tc>
        <w:tc>
          <w:tcPr>
            <w:tcW w:type="dxa" w:w="1134"/>
            <w:shd w:val="clear" w:color="auto" w:fill="F1F2F5"/>
          </w:tcPr>
          <w:p>
            <w:pPr>
              <w:pStyle w:val="Compact"/>
              <w:spacing w:after="0" w:before="0" w:line="240" w:lineRule="auto"/>
              <w:jc w:val="center"/>
            </w:pPr>
            <w:r>
              <w:rPr>
                <w:rFonts w:ascii="Arial" w:hAnsi="Arial"/>
                <w:sz w:val="15"/>
              </w:rPr>
              <w:t xml:space="preserve">■</w:t>
            </w:r>
          </w:p>
        </w:tc>
        <w:tc>
          <w:tcPr>
            <w:tcW w:type="dxa" w:w="2075"/>
            <w:shd w:val="clear" w:color="auto" w:fill="F1F2F5"/>
          </w:tcPr>
          <w:p>
            <w:pPr>
              <w:pStyle w:val="Compact"/>
              <w:spacing w:after="0" w:before="0" w:line="240" w:lineRule="auto"/>
              <w:jc w:val="left"/>
            </w:pPr>
            <w:r>
              <w:rPr>
                <w:rFonts w:ascii="Arial" w:hAnsi="Arial"/>
                <w:sz w:val="15"/>
              </w:rPr>
              <w:t xml:space="preserve">Persistent drag; new China president (ex-Danaher) from Mar-2026</w:t>
            </w:r>
          </w:p>
        </w:tc>
      </w:tr>
      <w:tr>
        <w:trPr>
          <w:cantSplit/>
        </w:trPr>
        <w:tc>
          <w:tcPr>
            <w:tcW w:type="dxa" w:w="2099"/>
          </w:tcPr>
          <w:p>
            <w:pPr>
              <w:pStyle w:val="Compact"/>
              <w:spacing w:after="0" w:before="0" w:line="240" w:lineRule="auto"/>
              <w:jc w:val="left"/>
            </w:pPr>
            <w:r>
              <w:rPr>
                <w:rFonts w:ascii="Arial" w:hAnsi="Arial"/>
                <w:sz w:val="15"/>
              </w:rPr>
              <w:t xml:space="preserve">US tariffs</w:t>
            </w:r>
          </w:p>
        </w:tc>
        <w:tc>
          <w:tcPr>
            <w:tcW w:type="dxa" w:w="1163"/>
          </w:tcPr>
          <w:p>
            <w:pPr>
              <w:pStyle w:val="Compact"/>
              <w:spacing w:after="0" w:before="0" w:line="240" w:lineRule="auto"/>
              <w:jc w:val="center"/>
            </w:pPr>
            <w:r>
              <w:rPr>
                <w:rFonts w:ascii="Arial" w:hAnsi="Arial"/>
                <w:sz w:val="15"/>
              </w:rPr>
              <w:t xml:space="preserve">–</w:t>
            </w:r>
          </w:p>
        </w:tc>
        <w:tc>
          <w:tcPr>
            <w:tcW w:type="dxa" w:w="1737"/>
          </w:tcPr>
          <w:p>
            <w:pPr>
              <w:pStyle w:val="Compact"/>
              <w:spacing w:after="0" w:before="0" w:line="240" w:lineRule="auto"/>
              <w:jc w:val="center"/>
            </w:pPr>
            <w:r>
              <w:rPr>
                <w:rFonts w:ascii="Arial" w:hAnsi="Arial"/>
                <w:sz w:val="15"/>
              </w:rPr>
              <w:t xml:space="preserve">–</w:t>
            </w:r>
          </w:p>
        </w:tc>
        <w:tc>
          <w:tcPr>
            <w:tcW w:type="dxa" w:w="895"/>
          </w:tcPr>
          <w:p>
            <w:pPr>
              <w:pStyle w:val="Compact"/>
              <w:spacing w:after="0" w:before="0" w:line="240" w:lineRule="auto"/>
              <w:jc w:val="center"/>
            </w:pPr>
            <w:r>
              <w:rPr>
                <w:rFonts w:ascii="Arial" w:hAnsi="Arial"/>
                <w:sz w:val="15"/>
              </w:rPr>
              <w:t xml:space="preserve">■</w:t>
            </w:r>
          </w:p>
        </w:tc>
        <w:tc>
          <w:tcPr>
            <w:tcW w:type="dxa" w:w="876"/>
          </w:tcPr>
          <w:p>
            <w:pPr>
              <w:pStyle w:val="Compact"/>
              <w:spacing w:after="0" w:before="0" w:line="240" w:lineRule="auto"/>
              <w:jc w:val="center"/>
            </w:pPr>
            <w:r>
              <w:rPr>
                <w:rFonts w:ascii="Arial" w:hAnsi="Arial"/>
                <w:sz w:val="15"/>
              </w:rPr>
              <w:t xml:space="preserve">–</w:t>
            </w:r>
          </w:p>
        </w:tc>
        <w:tc>
          <w:tcPr>
            <w:tcW w:type="dxa" w:w="1134"/>
          </w:tcPr>
          <w:p>
            <w:pPr>
              <w:pStyle w:val="Compact"/>
              <w:spacing w:after="0" w:before="0" w:line="240" w:lineRule="auto"/>
              <w:jc w:val="center"/>
            </w:pPr>
            <w:r>
              <w:rPr>
                <w:rFonts w:ascii="Arial" w:hAnsi="Arial"/>
                <w:sz w:val="15"/>
              </w:rPr>
              <w:t xml:space="preserve">■</w:t>
            </w:r>
          </w:p>
        </w:tc>
        <w:tc>
          <w:tcPr>
            <w:tcW w:type="dxa" w:w="2075"/>
          </w:tcPr>
          <w:p>
            <w:pPr>
              <w:pStyle w:val="Compact"/>
              <w:spacing w:after="0" w:before="0" w:line="240" w:lineRule="auto"/>
              <w:jc w:val="left"/>
            </w:pPr>
            <w:r>
              <w:rPr>
                <w:rFonts w:ascii="Arial" w:hAnsi="Arial"/>
                <w:sz w:val="15"/>
              </w:rPr>
              <w:t xml:space="preserve">15% assumed in FY3/27 guidance</w:t>
            </w:r>
          </w:p>
        </w:tc>
      </w:tr>
      <w:tr>
        <w:trPr>
          <w:cantSplit/>
        </w:trPr>
        <w:tc>
          <w:tcPr>
            <w:tcW w:type="dxa" w:w="2099"/>
            <w:shd w:val="clear" w:color="auto" w:fill="F1F2F5"/>
          </w:tcPr>
          <w:p>
            <w:pPr>
              <w:pStyle w:val="Compact"/>
              <w:spacing w:after="0" w:before="0" w:line="240" w:lineRule="auto"/>
              <w:jc w:val="left"/>
            </w:pPr>
            <w:r>
              <w:rPr>
                <w:rFonts w:ascii="Arial" w:hAnsi="Arial"/>
                <w:sz w:val="15"/>
              </w:rPr>
              <w:t xml:space="preserve">EVIS X1, EDOF, new products</w:t>
            </w:r>
          </w:p>
        </w:tc>
        <w:tc>
          <w:tcPr>
            <w:tcW w:type="dxa" w:w="1163"/>
            <w:shd w:val="clear" w:color="auto" w:fill="F1F2F5"/>
          </w:tcPr>
          <w:p>
            <w:pPr>
              <w:pStyle w:val="Compact"/>
              <w:spacing w:after="0" w:before="0" w:line="240" w:lineRule="auto"/>
              <w:jc w:val="center"/>
            </w:pPr>
            <w:r>
              <w:rPr>
                <w:rFonts w:ascii="Arial" w:hAnsi="Arial"/>
                <w:sz w:val="15"/>
              </w:rPr>
              <w:t xml:space="preserve">■</w:t>
            </w:r>
          </w:p>
        </w:tc>
        <w:tc>
          <w:tcPr>
            <w:tcW w:type="dxa" w:w="1737"/>
            <w:shd w:val="clear" w:color="auto" w:fill="F1F2F5"/>
          </w:tcPr>
          <w:p>
            <w:pPr>
              <w:pStyle w:val="Compact"/>
              <w:spacing w:after="0" w:before="0" w:line="240" w:lineRule="auto"/>
              <w:jc w:val="center"/>
            </w:pPr>
            <w:r>
              <w:rPr>
                <w:rFonts w:ascii="Arial" w:hAnsi="Arial"/>
                <w:sz w:val="15"/>
              </w:rPr>
              <w:t xml:space="preserve">■</w:t>
            </w:r>
          </w:p>
        </w:tc>
        <w:tc>
          <w:tcPr>
            <w:tcW w:type="dxa" w:w="895"/>
            <w:shd w:val="clear" w:color="auto" w:fill="F1F2F5"/>
          </w:tcPr>
          <w:p>
            <w:pPr>
              <w:pStyle w:val="Compact"/>
              <w:spacing w:after="0" w:before="0" w:line="240" w:lineRule="auto"/>
              <w:jc w:val="center"/>
            </w:pPr>
            <w:r>
              <w:rPr>
                <w:rFonts w:ascii="Arial" w:hAnsi="Arial"/>
                <w:sz w:val="15"/>
              </w:rPr>
              <w:t xml:space="preserve">■</w:t>
            </w:r>
          </w:p>
        </w:tc>
        <w:tc>
          <w:tcPr>
            <w:tcW w:type="dxa" w:w="876"/>
            <w:shd w:val="clear" w:color="auto" w:fill="F1F2F5"/>
          </w:tcPr>
          <w:p>
            <w:pPr>
              <w:pStyle w:val="Compact"/>
              <w:spacing w:after="0" w:before="0" w:line="240" w:lineRule="auto"/>
              <w:jc w:val="center"/>
            </w:pPr>
            <w:r>
              <w:rPr>
                <w:rFonts w:ascii="Arial" w:hAnsi="Arial"/>
                <w:sz w:val="15"/>
              </w:rPr>
              <w:t xml:space="preserve">■</w:t>
            </w:r>
          </w:p>
        </w:tc>
        <w:tc>
          <w:tcPr>
            <w:tcW w:type="dxa" w:w="1134"/>
            <w:shd w:val="clear" w:color="auto" w:fill="F1F2F5"/>
          </w:tcPr>
          <w:p>
            <w:pPr>
              <w:pStyle w:val="Compact"/>
              <w:spacing w:after="0" w:before="0" w:line="240" w:lineRule="auto"/>
              <w:jc w:val="center"/>
            </w:pPr>
            <w:r>
              <w:rPr>
                <w:rFonts w:ascii="Arial" w:hAnsi="Arial"/>
                <w:sz w:val="15"/>
              </w:rPr>
              <w:t xml:space="preserve">■</w:t>
            </w:r>
          </w:p>
        </w:tc>
        <w:tc>
          <w:tcPr>
            <w:tcW w:type="dxa" w:w="2075"/>
            <w:shd w:val="clear" w:color="auto" w:fill="F1F2F5"/>
          </w:tcPr>
          <w:p>
            <w:pPr>
              <w:pStyle w:val="Compact"/>
              <w:spacing w:after="0" w:before="0" w:line="240" w:lineRule="auto"/>
              <w:jc w:val="left"/>
            </w:pPr>
            <w:r>
              <w:rPr>
                <w:rFonts w:ascii="Arial" w:hAnsi="Arial"/>
                <w:sz w:val="15"/>
              </w:rPr>
              <w:t xml:space="preserve">The US EDOF conversion drove a</w:t>
            </w:r>
            <w:r>
              <w:rPr>
                <w:rFonts w:ascii="Arial" w:hAnsi="Arial"/>
                <w:sz w:val="15"/>
              </w:rPr>
              <w:t xml:space="preserve"> </w:t>
            </w:r>
            <w:r>
              <w:rPr>
                <w:rFonts w:ascii="Arial" w:hAnsi="Arial"/>
                <w:sz w:val="15"/>
              </w:rPr>
              <w:t xml:space="preserve">“</w:t>
            </w:r>
            <w:r>
              <w:rPr>
                <w:rFonts w:ascii="Arial" w:hAnsi="Arial"/>
                <w:sz w:val="15"/>
              </w:rPr>
              <w:t xml:space="preserve">tremendous</w:t>
            </w:r>
            <w:r>
              <w:rPr>
                <w:rFonts w:ascii="Arial" w:hAnsi="Arial"/>
                <w:sz w:val="15"/>
              </w:rPr>
              <w:t xml:space="preserve">”</w:t>
            </w:r>
            <w:r>
              <w:rPr>
                <w:rFonts w:ascii="Arial" w:hAnsi="Arial"/>
                <w:sz w:val="15"/>
              </w:rPr>
              <w:t xml:space="preserve"> </w:t>
            </w:r>
            <w:r>
              <w:rPr>
                <w:rFonts w:ascii="Arial" w:hAnsi="Arial"/>
                <w:sz w:val="15"/>
              </w:rPr>
              <w:t xml:space="preserve">4Q FY3/26</w:t>
            </w:r>
          </w:p>
        </w:tc>
      </w:tr>
      <w:tr>
        <w:trPr>
          <w:cantSplit/>
        </w:trPr>
        <w:tc>
          <w:tcPr>
            <w:tcW w:type="dxa" w:w="2099"/>
          </w:tcPr>
          <w:p>
            <w:pPr>
              <w:pStyle w:val="Compact"/>
              <w:spacing w:after="0" w:before="0" w:line="240" w:lineRule="auto"/>
              <w:jc w:val="left"/>
            </w:pPr>
            <w:r>
              <w:rPr>
                <w:rFonts w:ascii="Arial" w:hAnsi="Arial"/>
                <w:sz w:val="15"/>
              </w:rPr>
              <w:t xml:space="preserve">Margin target and cost transformation</w:t>
            </w:r>
          </w:p>
        </w:tc>
        <w:tc>
          <w:tcPr>
            <w:tcW w:type="dxa" w:w="1163"/>
          </w:tcPr>
          <w:p>
            <w:pPr>
              <w:pStyle w:val="Compact"/>
              <w:spacing w:after="0" w:before="0" w:line="240" w:lineRule="auto"/>
              <w:jc w:val="center"/>
            </w:pPr>
            <w:r>
              <w:rPr>
                <w:rFonts w:ascii="Arial" w:hAnsi="Arial"/>
                <w:sz w:val="15"/>
              </w:rPr>
              <w:t xml:space="preserve">■</w:t>
            </w:r>
          </w:p>
        </w:tc>
        <w:tc>
          <w:tcPr>
            <w:tcW w:type="dxa" w:w="1737"/>
          </w:tcPr>
          <w:p>
            <w:pPr>
              <w:pStyle w:val="Compact"/>
              <w:spacing w:after="0" w:before="0" w:line="240" w:lineRule="auto"/>
              <w:jc w:val="center"/>
            </w:pPr>
            <w:r>
              <w:rPr>
                <w:rFonts w:ascii="Arial" w:hAnsi="Arial"/>
                <w:sz w:val="15"/>
              </w:rPr>
              <w:t xml:space="preserve">■</w:t>
            </w:r>
          </w:p>
        </w:tc>
        <w:tc>
          <w:tcPr>
            <w:tcW w:type="dxa" w:w="895"/>
          </w:tcPr>
          <w:p>
            <w:pPr>
              <w:pStyle w:val="Compact"/>
              <w:spacing w:after="0" w:before="0" w:line="240" w:lineRule="auto"/>
              <w:jc w:val="center"/>
            </w:pPr>
            <w:r>
              <w:rPr>
                <w:rFonts w:ascii="Arial" w:hAnsi="Arial"/>
                <w:sz w:val="15"/>
              </w:rPr>
              <w:t xml:space="preserve">■</w:t>
            </w:r>
          </w:p>
        </w:tc>
        <w:tc>
          <w:tcPr>
            <w:tcW w:type="dxa" w:w="876"/>
          </w:tcPr>
          <w:p>
            <w:pPr>
              <w:pStyle w:val="Compact"/>
              <w:spacing w:after="0" w:before="0" w:line="240" w:lineRule="auto"/>
              <w:jc w:val="center"/>
            </w:pPr>
            <w:r>
              <w:rPr>
                <w:rFonts w:ascii="Arial" w:hAnsi="Arial"/>
                <w:sz w:val="15"/>
              </w:rPr>
              <w:t xml:space="preserve">■ (3-4-5)</w:t>
            </w:r>
          </w:p>
        </w:tc>
        <w:tc>
          <w:tcPr>
            <w:tcW w:type="dxa" w:w="1134"/>
          </w:tcPr>
          <w:p>
            <w:pPr>
              <w:pStyle w:val="Compact"/>
              <w:spacing w:after="0" w:before="0" w:line="240" w:lineRule="auto"/>
              <w:jc w:val="center"/>
            </w:pPr>
            <w:r>
              <w:rPr>
                <w:rFonts w:ascii="Arial" w:hAnsi="Arial"/>
                <w:sz w:val="15"/>
              </w:rPr>
              <w:t xml:space="preserve">■</w:t>
            </w:r>
          </w:p>
        </w:tc>
        <w:tc>
          <w:tcPr>
            <w:tcW w:type="dxa" w:w="2075"/>
          </w:tcPr>
          <w:p>
            <w:pPr>
              <w:pStyle w:val="Compact"/>
              <w:spacing w:after="0" w:before="0" w:line="240" w:lineRule="auto"/>
              <w:jc w:val="left"/>
            </w:pPr>
            <w:r>
              <w:rPr>
                <w:rFonts w:ascii="Arial" w:hAnsi="Arial"/>
                <w:sz w:val="15"/>
              </w:rPr>
              <w:t xml:space="preserve">20%+ OP margin destination reaffirmed</w:t>
            </w:r>
          </w:p>
        </w:tc>
      </w:tr>
      <w:tr>
        <w:trPr>
          <w:cantSplit/>
        </w:trPr>
        <w:tc>
          <w:tcPr>
            <w:tcW w:type="dxa" w:w="2099"/>
            <w:shd w:val="clear" w:color="auto" w:fill="F1F2F5"/>
          </w:tcPr>
          <w:p>
            <w:pPr>
              <w:pStyle w:val="Compact"/>
              <w:spacing w:after="0" w:before="0" w:line="240" w:lineRule="auto"/>
              <w:jc w:val="left"/>
            </w:pPr>
            <w:r>
              <w:rPr>
                <w:rFonts w:ascii="Arial" w:hAnsi="Arial"/>
                <w:sz w:val="15"/>
              </w:rPr>
              <w:t xml:space="preserve">Capital returns</w:t>
            </w:r>
          </w:p>
        </w:tc>
        <w:tc>
          <w:tcPr>
            <w:tcW w:type="dxa" w:w="1163"/>
            <w:shd w:val="clear" w:color="auto" w:fill="F1F2F5"/>
          </w:tcPr>
          <w:p>
            <w:pPr>
              <w:pStyle w:val="Compact"/>
              <w:spacing w:after="0" w:before="0" w:line="240" w:lineRule="auto"/>
              <w:jc w:val="center"/>
            </w:pPr>
            <w:r>
              <w:rPr>
                <w:rFonts w:ascii="Arial" w:hAnsi="Arial"/>
                <w:sz w:val="15"/>
              </w:rPr>
              <w:t xml:space="preserve">–</w:t>
            </w:r>
          </w:p>
        </w:tc>
        <w:tc>
          <w:tcPr>
            <w:tcW w:type="dxa" w:w="1737"/>
            <w:shd w:val="clear" w:color="auto" w:fill="F1F2F5"/>
          </w:tcPr>
          <w:p>
            <w:pPr>
              <w:pStyle w:val="Compact"/>
              <w:spacing w:after="0" w:before="0" w:line="240" w:lineRule="auto"/>
              <w:jc w:val="center"/>
            </w:pPr>
            <w:r>
              <w:rPr>
                <w:rFonts w:ascii="Arial" w:hAnsi="Arial"/>
                <w:sz w:val="15"/>
              </w:rPr>
              <w:t xml:space="preserve">□</w:t>
            </w:r>
          </w:p>
        </w:tc>
        <w:tc>
          <w:tcPr>
            <w:tcW w:type="dxa" w:w="895"/>
            <w:shd w:val="clear" w:color="auto" w:fill="F1F2F5"/>
          </w:tcPr>
          <w:p>
            <w:pPr>
              <w:pStyle w:val="Compact"/>
              <w:spacing w:after="0" w:before="0" w:line="240" w:lineRule="auto"/>
              <w:jc w:val="center"/>
            </w:pPr>
            <w:r>
              <w:rPr>
                <w:rFonts w:ascii="Arial" w:hAnsi="Arial"/>
                <w:sz w:val="15"/>
              </w:rPr>
              <w:t xml:space="preserve">□</w:t>
            </w:r>
          </w:p>
        </w:tc>
        <w:tc>
          <w:tcPr>
            <w:tcW w:type="dxa" w:w="876"/>
            <w:shd w:val="clear" w:color="auto" w:fill="F1F2F5"/>
          </w:tcPr>
          <w:p>
            <w:pPr>
              <w:pStyle w:val="Compact"/>
              <w:spacing w:after="0" w:before="0" w:line="240" w:lineRule="auto"/>
              <w:jc w:val="center"/>
            </w:pPr>
            <w:r>
              <w:rPr>
                <w:rFonts w:ascii="Arial" w:hAnsi="Arial"/>
                <w:sz w:val="15"/>
              </w:rPr>
              <w:t xml:space="preserve">–</w:t>
            </w:r>
          </w:p>
        </w:tc>
        <w:tc>
          <w:tcPr>
            <w:tcW w:type="dxa" w:w="1134"/>
            <w:shd w:val="clear" w:color="auto" w:fill="F1F2F5"/>
          </w:tcPr>
          <w:p>
            <w:pPr>
              <w:pStyle w:val="Compact"/>
              <w:spacing w:after="0" w:before="0" w:line="240" w:lineRule="auto"/>
              <w:jc w:val="center"/>
            </w:pPr>
            <w:r>
              <w:rPr>
                <w:rFonts w:ascii="Arial" w:hAnsi="Arial"/>
                <w:sz w:val="15"/>
              </w:rPr>
              <w:t xml:space="preserve">■ (JPY60bn)</w:t>
            </w:r>
          </w:p>
        </w:tc>
        <w:tc>
          <w:tcPr>
            <w:tcW w:type="dxa" w:w="2075"/>
            <w:shd w:val="clear" w:color="auto" w:fill="F1F2F5"/>
          </w:tcPr>
          <w:p>
            <w:pPr>
              <w:pStyle w:val="Compact"/>
              <w:spacing w:after="0" w:before="0" w:line="240" w:lineRule="auto"/>
              <w:jc w:val="left"/>
            </w:pPr>
            <w:r>
              <w:rPr>
                <w:rFonts w:ascii="Arial" w:hAnsi="Arial"/>
                <w:sz w:val="15"/>
              </w:rPr>
              <w:t xml:space="preserve">Buybacks announced at FY or 2Q results</w:t>
            </w:r>
          </w:p>
        </w:tc>
      </w:tr>
      <w:tr>
        <w:trPr>
          <w:cantSplit/>
        </w:trPr>
        <w:tc>
          <w:tcPr>
            <w:tcW w:type="dxa" w:w="2099"/>
          </w:tcPr>
          <w:p>
            <w:pPr>
              <w:pStyle w:val="Compact"/>
              <w:spacing w:after="0" w:before="0" w:line="240" w:lineRule="auto"/>
              <w:jc w:val="left"/>
            </w:pPr>
            <w:r>
              <w:rPr>
                <w:rFonts w:ascii="Arial" w:hAnsi="Arial"/>
                <w:sz w:val="15"/>
              </w:rPr>
              <w:t xml:space="preserve">Portfolio and M&amp;A</w:t>
            </w:r>
          </w:p>
        </w:tc>
        <w:tc>
          <w:tcPr>
            <w:tcW w:type="dxa" w:w="1163"/>
          </w:tcPr>
          <w:p>
            <w:pPr>
              <w:pStyle w:val="Compact"/>
              <w:spacing w:after="0" w:before="0" w:line="240" w:lineRule="auto"/>
              <w:jc w:val="center"/>
            </w:pPr>
            <w:r>
              <w:rPr>
                <w:rFonts w:ascii="Arial" w:hAnsi="Arial"/>
                <w:sz w:val="15"/>
              </w:rPr>
              <w:t xml:space="preserve">–</w:t>
            </w:r>
          </w:p>
        </w:tc>
        <w:tc>
          <w:tcPr>
            <w:tcW w:type="dxa" w:w="1737"/>
          </w:tcPr>
          <w:p>
            <w:pPr>
              <w:pStyle w:val="Compact"/>
              <w:spacing w:after="0" w:before="0" w:line="240" w:lineRule="auto"/>
              <w:jc w:val="center"/>
            </w:pPr>
            <w:r>
              <w:rPr>
                <w:rFonts w:ascii="Arial" w:hAnsi="Arial"/>
                <w:sz w:val="15"/>
              </w:rPr>
              <w:t xml:space="preserve">□ (reorganisation)</w:t>
            </w:r>
          </w:p>
        </w:tc>
        <w:tc>
          <w:tcPr>
            <w:tcW w:type="dxa" w:w="895"/>
          </w:tcPr>
          <w:p>
            <w:pPr>
              <w:pStyle w:val="Compact"/>
              <w:spacing w:after="0" w:before="0" w:line="240" w:lineRule="auto"/>
              <w:jc w:val="center"/>
            </w:pPr>
            <w:r>
              <w:rPr>
                <w:rFonts w:ascii="Arial" w:hAnsi="Arial"/>
                <w:sz w:val="15"/>
              </w:rPr>
              <w:t xml:space="preserve">■ (Swan JV)</w:t>
            </w:r>
          </w:p>
        </w:tc>
        <w:tc>
          <w:tcPr>
            <w:tcW w:type="dxa" w:w="876"/>
          </w:tcPr>
          <w:p>
            <w:pPr>
              <w:pStyle w:val="Compact"/>
              <w:spacing w:after="0" w:before="0" w:line="240" w:lineRule="auto"/>
              <w:jc w:val="center"/>
            </w:pPr>
            <w:r>
              <w:rPr>
                <w:rFonts w:ascii="Arial" w:hAnsi="Arial"/>
                <w:sz w:val="15"/>
              </w:rPr>
              <w:t xml:space="preserve">–</w:t>
            </w:r>
          </w:p>
        </w:tc>
        <w:tc>
          <w:tcPr>
            <w:tcW w:type="dxa" w:w="1134"/>
          </w:tcPr>
          <w:p>
            <w:pPr>
              <w:pStyle w:val="Compact"/>
              <w:spacing w:after="0" w:before="0" w:line="240" w:lineRule="auto"/>
              <w:jc w:val="center"/>
            </w:pPr>
            <w:r>
              <w:rPr>
                <w:rFonts w:ascii="Arial" w:hAnsi="Arial"/>
                <w:sz w:val="15"/>
              </w:rPr>
              <w:t xml:space="preserve">■ (Surgical review)</w:t>
            </w:r>
          </w:p>
        </w:tc>
        <w:tc>
          <w:tcPr>
            <w:tcW w:type="dxa" w:w="2075"/>
          </w:tcPr>
          <w:p>
            <w:pPr>
              <w:pStyle w:val="Compact"/>
              <w:spacing w:after="0" w:before="0" w:line="240" w:lineRule="auto"/>
              <w:jc w:val="left"/>
            </w:pPr>
            <w:r>
              <w:rPr>
                <w:rFonts w:ascii="Arial" w:hAnsi="Arial"/>
                <w:sz w:val="15"/>
              </w:rPr>
              <w:t xml:space="preserve">“</w:t>
            </w:r>
            <w:r>
              <w:rPr>
                <w:rFonts w:ascii="Arial" w:hAnsi="Arial"/>
                <w:sz w:val="15"/>
              </w:rPr>
              <w:t xml:space="preserve">Nothing is off the table</w:t>
            </w:r>
            <w:r>
              <w:rPr>
                <w:rFonts w:ascii="Arial" w:hAnsi="Arial"/>
                <w:sz w:val="15"/>
              </w:rPr>
              <w:t xml:space="preserve">”</w:t>
            </w:r>
            <w:r>
              <w:rPr>
                <w:rFonts w:ascii="Arial" w:hAnsi="Arial"/>
                <w:sz w:val="15"/>
              </w:rPr>
              <w:t xml:space="preserve"> </w:t>
            </w:r>
            <w:r>
              <w:rPr>
                <w:rFonts w:ascii="Arial" w:hAnsi="Arial"/>
                <w:sz w:val="15"/>
              </w:rPr>
              <w:t xml:space="preserve">in Surgical</w:t>
            </w:r>
          </w:p>
        </w:tc>
      </w:tr>
      <w:tr>
        <w:trPr>
          <w:cantSplit/>
        </w:trPr>
        <w:tc>
          <w:tcPr>
            <w:tcW w:type="dxa" w:w="2099"/>
            <w:shd w:val="clear" w:color="auto" w:fill="F1F2F5"/>
          </w:tcPr>
          <w:p>
            <w:pPr>
              <w:pStyle w:val="Compact"/>
              <w:spacing w:after="0" w:before="0" w:line="240" w:lineRule="auto"/>
              <w:jc w:val="left"/>
            </w:pPr>
            <w:r>
              <w:rPr>
                <w:rFonts w:ascii="Arial" w:hAnsi="Arial"/>
                <w:sz w:val="15"/>
              </w:rPr>
              <w:t xml:space="preserve">CEO and management change</w:t>
            </w:r>
          </w:p>
        </w:tc>
        <w:tc>
          <w:tcPr>
            <w:tcW w:type="dxa" w:w="1163"/>
            <w:shd w:val="clear" w:color="auto" w:fill="F1F2F5"/>
          </w:tcPr>
          <w:p>
            <w:pPr>
              <w:pStyle w:val="Compact"/>
              <w:spacing w:after="0" w:before="0" w:line="240" w:lineRule="auto"/>
              <w:jc w:val="center"/>
            </w:pPr>
            <w:r>
              <w:rPr>
                <w:rFonts w:ascii="Arial" w:hAnsi="Arial"/>
                <w:sz w:val="15"/>
              </w:rPr>
              <w:t xml:space="preserve">■ (Kaufmann)</w:t>
            </w:r>
          </w:p>
        </w:tc>
        <w:tc>
          <w:tcPr>
            <w:tcW w:type="dxa" w:w="1737"/>
            <w:shd w:val="clear" w:color="auto" w:fill="F1F2F5"/>
          </w:tcPr>
          <w:p>
            <w:pPr>
              <w:pStyle w:val="Compact"/>
              <w:spacing w:after="0" w:before="0" w:line="240" w:lineRule="auto"/>
              <w:jc w:val="center"/>
            </w:pPr>
            <w:r>
              <w:rPr>
                <w:rFonts w:ascii="Arial" w:hAnsi="Arial"/>
                <w:sz w:val="15"/>
              </w:rPr>
              <w:t xml:space="preserve">□</w:t>
            </w:r>
          </w:p>
        </w:tc>
        <w:tc>
          <w:tcPr>
            <w:tcW w:type="dxa" w:w="895"/>
            <w:shd w:val="clear" w:color="auto" w:fill="F1F2F5"/>
          </w:tcPr>
          <w:p>
            <w:pPr>
              <w:pStyle w:val="Compact"/>
              <w:spacing w:after="0" w:before="0" w:line="240" w:lineRule="auto"/>
              <w:jc w:val="center"/>
            </w:pPr>
            <w:r>
              <w:rPr>
                <w:rFonts w:ascii="Arial" w:hAnsi="Arial"/>
                <w:sz w:val="15"/>
              </w:rPr>
              <w:t xml:space="preserve">■ (White)</w:t>
            </w:r>
          </w:p>
        </w:tc>
        <w:tc>
          <w:tcPr>
            <w:tcW w:type="dxa" w:w="876"/>
            <w:shd w:val="clear" w:color="auto" w:fill="F1F2F5"/>
          </w:tcPr>
          <w:p>
            <w:pPr>
              <w:pStyle w:val="Compact"/>
              <w:spacing w:after="0" w:before="0" w:line="240" w:lineRule="auto"/>
              <w:jc w:val="center"/>
            </w:pPr>
            <w:r>
              <w:rPr>
                <w:rFonts w:ascii="Arial" w:hAnsi="Arial"/>
                <w:sz w:val="15"/>
              </w:rPr>
              <w:t xml:space="preserve">□</w:t>
            </w:r>
          </w:p>
        </w:tc>
        <w:tc>
          <w:tcPr>
            <w:tcW w:type="dxa" w:w="1134"/>
            <w:shd w:val="clear" w:color="auto" w:fill="F1F2F5"/>
          </w:tcPr>
          <w:p>
            <w:pPr>
              <w:pStyle w:val="Compact"/>
              <w:spacing w:after="0" w:before="0" w:line="240" w:lineRule="auto"/>
              <w:jc w:val="center"/>
            </w:pPr>
            <w:r>
              <w:rPr>
                <w:rFonts w:ascii="Arial" w:hAnsi="Arial"/>
                <w:sz w:val="15"/>
              </w:rPr>
              <w:t xml:space="preserve">□ (new CFO)</w:t>
            </w:r>
          </w:p>
        </w:tc>
        <w:tc>
          <w:tcPr>
            <w:tcW w:type="dxa" w:w="2075"/>
            <w:shd w:val="clear" w:color="auto" w:fill="F1F2F5"/>
          </w:tcPr>
          <w:p>
            <w:pPr>
              <w:pStyle w:val="Compact"/>
              <w:spacing w:after="0" w:before="0" w:line="240" w:lineRule="auto"/>
              <w:jc w:val="left"/>
            </w:pPr>
            <w:r>
              <w:rPr>
                <w:rFonts w:ascii="Arial" w:hAnsi="Arial"/>
                <w:sz w:val="15"/>
              </w:rPr>
              <w:t xml:space="preserve">8 of 11 executive officers hired since 2023</w:t>
            </w:r>
          </w:p>
        </w:tc>
      </w:tr>
    </w:tbl>
    <w:p>
      <w:pPr>
        <w:pStyle w:val="BodyText"/>
      </w:pPr>
      <w:r>
        <w:rPr>
          <w:iCs/>
          <w:i/>
        </w:rPr>
        <w:t xml:space="preserve">■ = major theme, □ = mentioned, – = absent. Five calls are in the S&amp;P transcript corpus (Nov-24, Feb-25, Aug-25, Feb-26, May-26). The May-25, Nov-25 and Aug-26 calls were reconstructed from secondary sources [u].</w:t>
      </w:r>
    </w:p>
    <w:p>
      <w:pPr>
        <w:pStyle w:val="BodyText"/>
      </w:pPr>
      <w:r>
        <w:rPr>
          <w:bCs/>
          <w:b/>
        </w:rPr>
        <w:t xml:space="preserve">Key quotes and messages.</w:t>
      </w:r>
    </w:p>
    <w:p>
      <w:pPr>
        <w:numPr>
          <w:ilvl w:val="0"/>
          <w:numId w:val="1021"/>
        </w:numPr>
        <w:pStyle w:val="Compact"/>
      </w:pPr>
      <w:r>
        <w:rPr>
          <w:bCs/>
          <w:b/>
        </w:rPr>
        <w:t xml:space="preserve">Feb-2025 (CFO, after a China-driven cut):</w:t>
      </w:r>
      <w:r>
        <w:t xml:space="preserve"> </w:t>
      </w:r>
      <w:r>
        <w:t xml:space="preserve">“</w:t>
      </w:r>
      <w:r>
        <w:t xml:space="preserve">Maybe we were naive. Maybe we were too optimistic.</w:t>
      </w:r>
      <w:r>
        <w:t xml:space="preserve">”</w:t>
      </w:r>
    </w:p>
    <w:p>
      <w:pPr>
        <w:numPr>
          <w:ilvl w:val="0"/>
          <w:numId w:val="1021"/>
        </w:numPr>
        <w:pStyle w:val="Compact"/>
      </w:pPr>
      <w:r>
        <w:rPr>
          <w:bCs/>
          <w:b/>
        </w:rPr>
        <w:t xml:space="preserve">Aug-2025 (White’s first call):</w:t>
      </w:r>
      <w:r>
        <w:t xml:space="preserve"> </w:t>
      </w:r>
      <w:r>
        <w:t xml:space="preserve">results</w:t>
      </w:r>
      <w:r>
        <w:t xml:space="preserve"> </w:t>
      </w:r>
      <w:r>
        <w:t xml:space="preserve">“</w:t>
      </w:r>
      <w:r>
        <w:t xml:space="preserve">fell short of expectations</w:t>
      </w:r>
      <w:r>
        <w:t xml:space="preserve">”</w:t>
      </w:r>
      <w:r>
        <w:t xml:space="preserve">. Tariffs cost a gross JPY26bn (~JPY16bn net). The import alert cost ~JPY15bn of revenue. White’s rule: SG&amp;A growth must not exceed revenue growth.</w:t>
      </w:r>
      <w:r>
        <w:t xml:space="preserve"> </w:t>
      </w:r>
      <w:r>
        <w:t xml:space="preserve">“</w:t>
      </w:r>
      <w:r>
        <w:t xml:space="preserve">I think you can trust this plan.</w:t>
      </w:r>
      <w:r>
        <w:t xml:space="preserve">”</w:t>
      </w:r>
    </w:p>
    <w:p>
      <w:pPr>
        <w:numPr>
          <w:ilvl w:val="0"/>
          <w:numId w:val="1021"/>
        </w:numPr>
        <w:pStyle w:val="Compact"/>
      </w:pPr>
      <w:r>
        <w:rPr>
          <w:bCs/>
          <w:b/>
        </w:rPr>
        <w:t xml:space="preserve">Feb-2026 (eight FDA inspections, ~20 products on ship-hold):</w:t>
      </w:r>
      <w:r>
        <w:t xml:space="preserve"> </w:t>
      </w:r>
      <w:r>
        <w:t xml:space="preserve">the new GIS head called the US shortfall</w:t>
      </w:r>
      <w:r>
        <w:t xml:space="preserve"> </w:t>
      </w:r>
      <w:r>
        <w:t xml:space="preserve">“</w:t>
      </w:r>
      <w:r>
        <w:t xml:space="preserve">clearly an execution issue</w:t>
      </w:r>
      <w:r>
        <w:t xml:space="preserve">”</w:t>
      </w:r>
      <w:r>
        <w:t xml:space="preserve">. White:</w:t>
      </w:r>
      <w:r>
        <w:t xml:space="preserve"> </w:t>
      </w:r>
      <w:r>
        <w:t xml:space="preserve">“</w:t>
      </w:r>
      <w:r>
        <w:t xml:space="preserve">not lowering margin expectations in our 3, 4 and 5 plan… a mid-single-digit revenue growth player and a 20-plus percent operating margin company.</w:t>
      </w:r>
      <w:r>
        <w:t xml:space="preserve">”</w:t>
      </w:r>
    </w:p>
    <w:p>
      <w:pPr>
        <w:numPr>
          <w:ilvl w:val="0"/>
          <w:numId w:val="1021"/>
        </w:numPr>
        <w:pStyle w:val="Compact"/>
      </w:pPr>
      <w:r>
        <w:rPr>
          <w:bCs/>
          <w:b/>
        </w:rPr>
        <w:t xml:space="preserve">May-2026:</w:t>
      </w:r>
      <w:r>
        <w:t xml:space="preserve"> </w:t>
      </w:r>
      <w:r>
        <w:t xml:space="preserve">FY3/27 guidance of ~3% growth and 100bp+ margin expansion, with a</w:t>
      </w:r>
      <w:r>
        <w:t xml:space="preserve"> </w:t>
      </w:r>
      <w:r>
        <w:t xml:space="preserve">“</w:t>
      </w:r>
      <w:r>
        <w:t xml:space="preserve">slower start to a stronger finish</w:t>
      </w:r>
      <w:r>
        <w:t xml:space="preserve">”</w:t>
      </w:r>
      <w:r>
        <w:t xml:space="preserve">. A strategic review of Surgical. A JPY60bn buyback. On the FDA:</w:t>
      </w:r>
      <w:r>
        <w:t xml:space="preserve"> </w:t>
      </w:r>
      <w:r>
        <w:t xml:space="preserve">“</w:t>
      </w:r>
      <w:r>
        <w:t xml:space="preserve">no difference in what the FDA wants and what Olympus wants.</w:t>
      </w:r>
      <w:r>
        <w:t xml:space="preserve">”</w:t>
      </w:r>
      <w:r>
        <w:t xml:space="preserve"> </w:t>
      </w:r>
      <w:r>
        <w:t xml:space="preserve">The agency typically responds 4–6 months after an inspection, which turned out to be accurate.</w:t>
      </w:r>
    </w:p>
    <w:bookmarkEnd w:id="65"/>
    <w:bookmarkStart w:id="69" w:name="X6367d7bcc8b81d77e2796911385e3fdcafbb295"/>
    <w:p>
      <w:pPr>
        <w:pStyle w:val="Heading2"/>
      </w:pPr>
      <w:r>
        <w:t xml:space="preserve">Sentiment analysis (dictionary-based; ProntoNLP not connected)</w:t>
      </w:r>
    </w:p>
    <w:p>
      <w:pPr>
        <w:pStyle w:val="CaptionedFigure"/>
      </w:pPr>
      <w:r>
        <w:drawing>
          <wp:inline>
            <wp:extent cx="6261100" cy="2464858"/>
            <wp:effectExtent b="0" l="0" r="0" t="0"/>
            <wp:docPr descr="Call sentiment, topic intensity and next-day share reaction" title="" id="67" name="Picture"/>
            <a:graphic>
              <a:graphicData uri="http://schemas.openxmlformats.org/drawingml/2006/picture">
                <pic:pic>
                  <pic:nvPicPr>
                    <pic:cNvPr descr="../charts/sentiment.png" id="68" name="Picture"/>
                    <pic:cNvPicPr>
                      <a:picLocks noChangeArrowheads="1" noChangeAspect="1"/>
                    </pic:cNvPicPr>
                  </pic:nvPicPr>
                  <pic:blipFill>
                    <a:blip r:embed="rId66"/>
                    <a:stretch>
                      <a:fillRect/>
                    </a:stretch>
                  </pic:blipFill>
                  <pic:spPr bwMode="auto">
                    <a:xfrm>
                      <a:off x="0" y="0"/>
                      <a:ext cx="6261100" cy="2464858"/>
                    </a:xfrm>
                    <a:prstGeom prst="rect">
                      <a:avLst/>
                    </a:prstGeom>
                    <a:noFill/>
                    <a:ln w="9525">
                      <a:noFill/>
                      <a:headEnd/>
                      <a:tailEnd/>
                    </a:ln>
                  </pic:spPr>
                </pic:pic>
              </a:graphicData>
            </a:graphic>
          </wp:inline>
        </w:drawing>
      </w:r>
    </w:p>
    <w:p>
      <w:pPr>
        <w:pStyle w:val="ImageCaption"/>
      </w:pPr>
      <w:r>
        <w:t xml:space="preserve">Call sentiment, topic intensity and next-day share reaction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03"/>
        <w:gridCol w:w="1408"/>
        <w:gridCol w:w="1776"/>
        <w:gridCol w:w="1725"/>
        <w:gridCol w:w="1180"/>
        <w:gridCol w:w="1783"/>
      </w:tblGrid>
      <w:tr>
        <w:trPr>
          <w:tblHeader w:val="true"/>
          <w:tblHeader w:val="true"/>
          <w:cantSplit/>
        </w:trPr>
        <w:tc>
          <w:tcPr>
            <w:tcW w:type="dxa" w:w="2103"/>
            <w:shd w:val="clear" w:color="auto" w:fill="13213F"/>
          </w:tcPr>
          <w:p>
            <w:pPr>
              <w:pStyle w:val="Compact"/>
              <w:spacing w:after="0" w:before="0" w:line="240" w:lineRule="auto"/>
              <w:jc w:val="left"/>
            </w:pPr>
            <w:r>
              <w:rPr>
                <w:rFonts w:ascii="Arial" w:hAnsi="Arial"/>
                <w:b/>
                <w:color w:val="FFFFFF"/>
                <w:sz w:val="15"/>
              </w:rPr>
              <w:t xml:space="preserve">Call</w:t>
            </w:r>
          </w:p>
        </w:tc>
        <w:tc>
          <w:tcPr>
            <w:tcW w:type="dxa" w:w="1408"/>
            <w:shd w:val="clear" w:color="auto" w:fill="13213F"/>
          </w:tcPr>
          <w:p>
            <w:pPr>
              <w:pStyle w:val="Compact"/>
              <w:spacing w:after="0" w:before="0" w:line="240" w:lineRule="auto"/>
              <w:jc w:val="right"/>
            </w:pPr>
            <w:r>
              <w:rPr>
                <w:rFonts w:ascii="Arial" w:hAnsi="Arial"/>
                <w:b/>
                <w:color w:val="FFFFFF"/>
                <w:sz w:val="15"/>
              </w:rPr>
              <w:t xml:space="preserve">Net tone (adj.)</w:t>
            </w:r>
          </w:p>
        </w:tc>
        <w:tc>
          <w:tcPr>
            <w:tcW w:type="dxa" w:w="1776"/>
            <w:shd w:val="clear" w:color="auto" w:fill="13213F"/>
          </w:tcPr>
          <w:p>
            <w:pPr>
              <w:pStyle w:val="Compact"/>
              <w:spacing w:after="0" w:before="0" w:line="240" w:lineRule="auto"/>
              <w:jc w:val="right"/>
            </w:pPr>
            <w:r>
              <w:rPr>
                <w:rFonts w:ascii="Arial" w:hAnsi="Arial"/>
                <w:b/>
                <w:color w:val="FFFFFF"/>
                <w:sz w:val="15"/>
              </w:rPr>
              <w:t xml:space="preserve">Negative words per 1k</w:t>
            </w:r>
          </w:p>
        </w:tc>
        <w:tc>
          <w:tcPr>
            <w:tcW w:type="dxa" w:w="1726"/>
            <w:shd w:val="clear" w:color="auto" w:fill="13213F"/>
          </w:tcPr>
          <w:p>
            <w:pPr>
              <w:pStyle w:val="Compact"/>
              <w:spacing w:after="0" w:before="0" w:line="240" w:lineRule="auto"/>
              <w:jc w:val="right"/>
            </w:pPr>
            <w:r>
              <w:rPr>
                <w:rFonts w:ascii="Arial" w:hAnsi="Arial"/>
                <w:b/>
                <w:color w:val="FFFFFF"/>
                <w:sz w:val="15"/>
              </w:rPr>
              <w:t xml:space="preserve">FDA mentions per 1k</w:t>
            </w:r>
          </w:p>
        </w:tc>
        <w:tc>
          <w:tcPr>
            <w:tcW w:type="dxa" w:w="1181"/>
            <w:shd w:val="clear" w:color="auto" w:fill="13213F"/>
          </w:tcPr>
          <w:p>
            <w:pPr>
              <w:pStyle w:val="Compact"/>
              <w:spacing w:after="0" w:before="0" w:line="240" w:lineRule="auto"/>
              <w:jc w:val="right"/>
            </w:pPr>
            <w:r>
              <w:rPr>
                <w:rFonts w:ascii="Arial" w:hAnsi="Arial"/>
                <w:b/>
                <w:color w:val="FFFFFF"/>
                <w:sz w:val="15"/>
              </w:rPr>
              <w:t xml:space="preserve">China per 1k</w:t>
            </w:r>
          </w:p>
        </w:tc>
        <w:tc>
          <w:tcPr>
            <w:tcW w:type="dxa" w:w="1784"/>
            <w:shd w:val="clear" w:color="auto" w:fill="13213F"/>
          </w:tcPr>
          <w:p>
            <w:pPr>
              <w:pStyle w:val="Compact"/>
              <w:spacing w:after="0" w:before="0" w:line="240" w:lineRule="auto"/>
              <w:jc w:val="right"/>
            </w:pPr>
            <w:r>
              <w:rPr>
                <w:rFonts w:ascii="Arial" w:hAnsi="Arial"/>
                <w:b/>
                <w:color w:val="FFFFFF"/>
                <w:sz w:val="15"/>
              </w:rPr>
              <w:t xml:space="preserve">Next-day share move</w:t>
            </w:r>
          </w:p>
        </w:tc>
      </w:tr>
      <w:tr>
        <w:trPr>
          <w:cantSplit/>
        </w:trPr>
        <w:tc>
          <w:tcPr>
            <w:tcW w:type="dxa" w:w="2103"/>
          </w:tcPr>
          <w:p>
            <w:pPr>
              <w:pStyle w:val="Compact"/>
              <w:spacing w:after="0" w:before="0" w:line="240" w:lineRule="auto"/>
              <w:jc w:val="left"/>
            </w:pPr>
            <w:r>
              <w:rPr>
                <w:rFonts w:ascii="Arial" w:hAnsi="Arial"/>
                <w:sz w:val="15"/>
              </w:rPr>
              <w:t xml:space="preserve">2Q FY3/25 (Nov-24)</w:t>
            </w:r>
          </w:p>
        </w:tc>
        <w:tc>
          <w:tcPr>
            <w:tcW w:type="dxa" w:w="1408"/>
          </w:tcPr>
          <w:p>
            <w:pPr>
              <w:pStyle w:val="Compact"/>
              <w:spacing w:after="0" w:before="0" w:line="240" w:lineRule="auto"/>
              <w:jc w:val="right"/>
            </w:pPr>
            <w:r>
              <w:rPr>
                <w:rFonts w:ascii="Arial" w:hAnsi="Arial"/>
                <w:sz w:val="15"/>
              </w:rPr>
              <w:t xml:space="preserve">0.34</w:t>
            </w:r>
          </w:p>
        </w:tc>
        <w:tc>
          <w:tcPr>
            <w:tcW w:type="dxa" w:w="1776"/>
          </w:tcPr>
          <w:p>
            <w:pPr>
              <w:pStyle w:val="Compact"/>
              <w:spacing w:after="0" w:before="0" w:line="240" w:lineRule="auto"/>
              <w:jc w:val="right"/>
            </w:pPr>
            <w:r>
              <w:rPr>
                <w:rFonts w:ascii="Arial" w:hAnsi="Arial"/>
                <w:sz w:val="15"/>
              </w:rPr>
              <w:t xml:space="preserve">8.6</w:t>
            </w:r>
          </w:p>
        </w:tc>
        <w:tc>
          <w:tcPr>
            <w:tcW w:type="dxa" w:w="1726"/>
          </w:tcPr>
          <w:p>
            <w:pPr>
              <w:pStyle w:val="Compact"/>
              <w:spacing w:after="0" w:before="0" w:line="240" w:lineRule="auto"/>
              <w:jc w:val="right"/>
            </w:pPr>
            <w:r>
              <w:rPr>
                <w:rFonts w:ascii="Arial" w:hAnsi="Arial"/>
                <w:sz w:val="15"/>
              </w:rPr>
              <w:t xml:space="preserve">15.1</w:t>
            </w:r>
          </w:p>
        </w:tc>
        <w:tc>
          <w:tcPr>
            <w:tcW w:type="dxa" w:w="1181"/>
          </w:tcPr>
          <w:p>
            <w:pPr>
              <w:pStyle w:val="Compact"/>
              <w:spacing w:after="0" w:before="0" w:line="240" w:lineRule="auto"/>
              <w:jc w:val="right"/>
            </w:pPr>
            <w:r>
              <w:rPr>
                <w:rFonts w:ascii="Arial" w:hAnsi="Arial"/>
                <w:sz w:val="15"/>
              </w:rPr>
              <w:t xml:space="preserve">7.4</w:t>
            </w:r>
          </w:p>
        </w:tc>
        <w:tc>
          <w:tcPr>
            <w:tcW w:type="dxa" w:w="1784"/>
          </w:tcPr>
          <w:p>
            <w:pPr>
              <w:pStyle w:val="Compact"/>
              <w:spacing w:after="0" w:before="0" w:line="240" w:lineRule="auto"/>
              <w:jc w:val="right"/>
            </w:pPr>
            <w:r>
              <w:rPr>
                <w:rFonts w:ascii="Arial" w:hAnsi="Arial"/>
                <w:sz w:val="15"/>
              </w:rPr>
              <w:t xml:space="preserve">-4.1%</w:t>
            </w:r>
          </w:p>
        </w:tc>
      </w:tr>
      <w:tr>
        <w:trPr>
          <w:cantSplit/>
        </w:trPr>
        <w:tc>
          <w:tcPr>
            <w:tcW w:type="dxa" w:w="2103"/>
            <w:shd w:val="clear" w:color="auto" w:fill="F1F2F5"/>
          </w:tcPr>
          <w:p>
            <w:pPr>
              <w:pStyle w:val="Compact"/>
              <w:spacing w:after="0" w:before="0" w:line="240" w:lineRule="auto"/>
              <w:jc w:val="left"/>
            </w:pPr>
            <w:r>
              <w:rPr>
                <w:rFonts w:ascii="Arial" w:hAnsi="Arial"/>
                <w:sz w:val="15"/>
              </w:rPr>
              <w:t xml:space="preserve">3Q FY3/25 (Feb-25)</w:t>
            </w:r>
          </w:p>
        </w:tc>
        <w:tc>
          <w:tcPr>
            <w:tcW w:type="dxa" w:w="1408"/>
            <w:shd w:val="clear" w:color="auto" w:fill="F1F2F5"/>
          </w:tcPr>
          <w:p>
            <w:pPr>
              <w:pStyle w:val="Compact"/>
              <w:spacing w:after="0" w:before="0" w:line="240" w:lineRule="auto"/>
              <w:jc w:val="right"/>
            </w:pPr>
            <w:r>
              <w:rPr>
                <w:rFonts w:ascii="Arial" w:hAnsi="Arial"/>
                <w:sz w:val="15"/>
              </w:rPr>
              <w:t xml:space="preserve">0.41</w:t>
            </w:r>
          </w:p>
        </w:tc>
        <w:tc>
          <w:tcPr>
            <w:tcW w:type="dxa" w:w="1776"/>
            <w:shd w:val="clear" w:color="auto" w:fill="F1F2F5"/>
          </w:tcPr>
          <w:p>
            <w:pPr>
              <w:pStyle w:val="Compact"/>
              <w:spacing w:after="0" w:before="0" w:line="240" w:lineRule="auto"/>
              <w:jc w:val="right"/>
            </w:pPr>
            <w:r>
              <w:rPr>
                <w:rFonts w:ascii="Arial" w:hAnsi="Arial"/>
                <w:sz w:val="15"/>
              </w:rPr>
              <w:t xml:space="preserve">8.0</w:t>
            </w:r>
          </w:p>
        </w:tc>
        <w:tc>
          <w:tcPr>
            <w:tcW w:type="dxa" w:w="1726"/>
            <w:shd w:val="clear" w:color="auto" w:fill="F1F2F5"/>
          </w:tcPr>
          <w:p>
            <w:pPr>
              <w:pStyle w:val="Compact"/>
              <w:spacing w:after="0" w:before="0" w:line="240" w:lineRule="auto"/>
              <w:jc w:val="right"/>
            </w:pPr>
            <w:r>
              <w:rPr>
                <w:rFonts w:ascii="Arial" w:hAnsi="Arial"/>
                <w:sz w:val="15"/>
              </w:rPr>
              <w:t xml:space="preserve">2.3</w:t>
            </w:r>
          </w:p>
        </w:tc>
        <w:tc>
          <w:tcPr>
            <w:tcW w:type="dxa" w:w="1181"/>
            <w:shd w:val="clear" w:color="auto" w:fill="F1F2F5"/>
          </w:tcPr>
          <w:p>
            <w:pPr>
              <w:pStyle w:val="Compact"/>
              <w:spacing w:after="0" w:before="0" w:line="240" w:lineRule="auto"/>
              <w:jc w:val="right"/>
            </w:pPr>
            <w:r>
              <w:rPr>
                <w:bCs/>
                <w:rFonts w:ascii="Arial" w:hAnsi="Arial"/>
                <w:b/>
                <w:sz w:val="15"/>
              </w:rPr>
              <w:t xml:space="preserve">13.6</w:t>
            </w:r>
          </w:p>
        </w:tc>
        <w:tc>
          <w:tcPr>
            <w:tcW w:type="dxa" w:w="1784"/>
            <w:shd w:val="clear" w:color="auto" w:fill="F1F2F5"/>
          </w:tcPr>
          <w:p>
            <w:pPr>
              <w:pStyle w:val="Compact"/>
              <w:spacing w:after="0" w:before="0" w:line="240" w:lineRule="auto"/>
              <w:jc w:val="right"/>
            </w:pPr>
            <w:r>
              <w:rPr>
                <w:rFonts w:ascii="Arial" w:hAnsi="Arial"/>
                <w:sz w:val="15"/>
              </w:rPr>
              <w:t xml:space="preserve">-9.7%</w:t>
            </w:r>
          </w:p>
        </w:tc>
      </w:tr>
      <w:tr>
        <w:trPr>
          <w:cantSplit/>
        </w:trPr>
        <w:tc>
          <w:tcPr>
            <w:tcW w:type="dxa" w:w="2103"/>
          </w:tcPr>
          <w:p>
            <w:pPr>
              <w:pStyle w:val="Compact"/>
              <w:spacing w:after="0" w:before="0" w:line="240" w:lineRule="auto"/>
              <w:jc w:val="left"/>
            </w:pPr>
            <w:r>
              <w:rPr>
                <w:rFonts w:ascii="Arial" w:hAnsi="Arial"/>
                <w:sz w:val="15"/>
              </w:rPr>
              <w:t xml:space="preserve">1Q FY3/26 (Aug-25)</w:t>
            </w:r>
          </w:p>
        </w:tc>
        <w:tc>
          <w:tcPr>
            <w:tcW w:type="dxa" w:w="1408"/>
          </w:tcPr>
          <w:p>
            <w:pPr>
              <w:pStyle w:val="Compact"/>
              <w:spacing w:after="0" w:before="0" w:line="240" w:lineRule="auto"/>
              <w:jc w:val="right"/>
            </w:pPr>
            <w:r>
              <w:rPr>
                <w:bCs/>
                <w:rFonts w:ascii="Arial" w:hAnsi="Arial"/>
                <w:b/>
                <w:sz w:val="15"/>
              </w:rPr>
              <w:t xml:space="preserve">0.31</w:t>
            </w:r>
          </w:p>
        </w:tc>
        <w:tc>
          <w:tcPr>
            <w:tcW w:type="dxa" w:w="1776"/>
          </w:tcPr>
          <w:p>
            <w:pPr>
              <w:pStyle w:val="Compact"/>
              <w:spacing w:after="0" w:before="0" w:line="240" w:lineRule="auto"/>
              <w:jc w:val="right"/>
            </w:pPr>
            <w:r>
              <w:rPr>
                <w:bCs/>
                <w:rFonts w:ascii="Arial" w:hAnsi="Arial"/>
                <w:b/>
                <w:sz w:val="15"/>
              </w:rPr>
              <w:t xml:space="preserve">11.0</w:t>
            </w:r>
          </w:p>
        </w:tc>
        <w:tc>
          <w:tcPr>
            <w:tcW w:type="dxa" w:w="1726"/>
          </w:tcPr>
          <w:p>
            <w:pPr>
              <w:pStyle w:val="Compact"/>
              <w:spacing w:after="0" w:before="0" w:line="240" w:lineRule="auto"/>
              <w:jc w:val="right"/>
            </w:pPr>
            <w:r>
              <w:rPr>
                <w:rFonts w:ascii="Arial" w:hAnsi="Arial"/>
                <w:sz w:val="15"/>
              </w:rPr>
              <w:t xml:space="preserve">16.5</w:t>
            </w:r>
          </w:p>
        </w:tc>
        <w:tc>
          <w:tcPr>
            <w:tcW w:type="dxa" w:w="1181"/>
          </w:tcPr>
          <w:p>
            <w:pPr>
              <w:pStyle w:val="Compact"/>
              <w:spacing w:after="0" w:before="0" w:line="240" w:lineRule="auto"/>
              <w:jc w:val="right"/>
            </w:pPr>
            <w:r>
              <w:rPr>
                <w:rFonts w:ascii="Arial" w:hAnsi="Arial"/>
                <w:sz w:val="15"/>
              </w:rPr>
              <w:t xml:space="preserve">4.9</w:t>
            </w:r>
          </w:p>
        </w:tc>
        <w:tc>
          <w:tcPr>
            <w:tcW w:type="dxa" w:w="1784"/>
          </w:tcPr>
          <w:p>
            <w:pPr>
              <w:pStyle w:val="Compact"/>
              <w:spacing w:after="0" w:before="0" w:line="240" w:lineRule="auto"/>
              <w:jc w:val="right"/>
            </w:pPr>
            <w:r>
              <w:rPr>
                <w:rFonts w:ascii="Arial" w:hAnsi="Arial"/>
                <w:sz w:val="15"/>
              </w:rPr>
              <w:t xml:space="preserve">-5.8%</w:t>
            </w:r>
          </w:p>
        </w:tc>
      </w:tr>
      <w:tr>
        <w:trPr>
          <w:cantSplit/>
        </w:trPr>
        <w:tc>
          <w:tcPr>
            <w:tcW w:type="dxa" w:w="2103"/>
            <w:shd w:val="clear" w:color="auto" w:fill="F1F2F5"/>
          </w:tcPr>
          <w:p>
            <w:pPr>
              <w:pStyle w:val="Compact"/>
              <w:spacing w:after="0" w:before="0" w:line="240" w:lineRule="auto"/>
              <w:jc w:val="left"/>
            </w:pPr>
            <w:r>
              <w:rPr>
                <w:rFonts w:ascii="Arial" w:hAnsi="Arial"/>
                <w:sz w:val="15"/>
              </w:rPr>
              <w:t xml:space="preserve">3Q FY3/26 (Feb-26)</w:t>
            </w:r>
          </w:p>
        </w:tc>
        <w:tc>
          <w:tcPr>
            <w:tcW w:type="dxa" w:w="1408"/>
            <w:shd w:val="clear" w:color="auto" w:fill="F1F2F5"/>
          </w:tcPr>
          <w:p>
            <w:pPr>
              <w:pStyle w:val="Compact"/>
              <w:spacing w:after="0" w:before="0" w:line="240" w:lineRule="auto"/>
              <w:jc w:val="right"/>
            </w:pPr>
            <w:r>
              <w:rPr>
                <w:rFonts w:ascii="Arial" w:hAnsi="Arial"/>
                <w:sz w:val="15"/>
              </w:rPr>
              <w:t xml:space="preserve">0.45</w:t>
            </w:r>
          </w:p>
        </w:tc>
        <w:tc>
          <w:tcPr>
            <w:tcW w:type="dxa" w:w="1776"/>
            <w:shd w:val="clear" w:color="auto" w:fill="F1F2F5"/>
          </w:tcPr>
          <w:p>
            <w:pPr>
              <w:pStyle w:val="Compact"/>
              <w:spacing w:after="0" w:before="0" w:line="240" w:lineRule="auto"/>
              <w:jc w:val="right"/>
            </w:pPr>
            <w:r>
              <w:rPr>
                <w:rFonts w:ascii="Arial" w:hAnsi="Arial"/>
                <w:sz w:val="15"/>
              </w:rPr>
              <w:t xml:space="preserve">5.0</w:t>
            </w:r>
          </w:p>
        </w:tc>
        <w:tc>
          <w:tcPr>
            <w:tcW w:type="dxa" w:w="1726"/>
            <w:shd w:val="clear" w:color="auto" w:fill="F1F2F5"/>
          </w:tcPr>
          <w:p>
            <w:pPr>
              <w:pStyle w:val="Compact"/>
              <w:spacing w:after="0" w:before="0" w:line="240" w:lineRule="auto"/>
              <w:jc w:val="right"/>
            </w:pPr>
            <w:r>
              <w:rPr>
                <w:rFonts w:ascii="Arial" w:hAnsi="Arial"/>
                <w:sz w:val="15"/>
              </w:rPr>
              <w:t xml:space="preserve">17.5</w:t>
            </w:r>
          </w:p>
        </w:tc>
        <w:tc>
          <w:tcPr>
            <w:tcW w:type="dxa" w:w="1181"/>
            <w:shd w:val="clear" w:color="auto" w:fill="F1F2F5"/>
          </w:tcPr>
          <w:p>
            <w:pPr>
              <w:pStyle w:val="Compact"/>
              <w:spacing w:after="0" w:before="0" w:line="240" w:lineRule="auto"/>
              <w:jc w:val="right"/>
            </w:pPr>
            <w:r>
              <w:rPr>
                <w:rFonts w:ascii="Arial" w:hAnsi="Arial"/>
                <w:sz w:val="15"/>
              </w:rPr>
              <w:t xml:space="preserve">6.1</w:t>
            </w:r>
          </w:p>
        </w:tc>
        <w:tc>
          <w:tcPr>
            <w:tcW w:type="dxa" w:w="1784"/>
            <w:shd w:val="clear" w:color="auto" w:fill="F1F2F5"/>
          </w:tcPr>
          <w:p>
            <w:pPr>
              <w:pStyle w:val="Compact"/>
              <w:spacing w:after="0" w:before="0" w:line="240" w:lineRule="auto"/>
              <w:jc w:val="right"/>
            </w:pPr>
            <w:r>
              <w:rPr>
                <w:rFonts w:ascii="Arial" w:hAnsi="Arial"/>
                <w:sz w:val="15"/>
              </w:rPr>
              <w:t xml:space="preserve">-12.9%</w:t>
            </w:r>
          </w:p>
        </w:tc>
      </w:tr>
      <w:tr>
        <w:trPr>
          <w:cantSplit/>
        </w:trPr>
        <w:tc>
          <w:tcPr>
            <w:tcW w:type="dxa" w:w="2103"/>
          </w:tcPr>
          <w:p>
            <w:pPr>
              <w:pStyle w:val="Compact"/>
              <w:spacing w:after="0" w:before="0" w:line="240" w:lineRule="auto"/>
              <w:jc w:val="left"/>
            </w:pPr>
            <w:r>
              <w:rPr>
                <w:rFonts w:ascii="Arial" w:hAnsi="Arial"/>
                <w:sz w:val="15"/>
              </w:rPr>
              <w:t xml:space="preserve">4Q FY3/26 (May-26)</w:t>
            </w:r>
          </w:p>
        </w:tc>
        <w:tc>
          <w:tcPr>
            <w:tcW w:type="dxa" w:w="1408"/>
          </w:tcPr>
          <w:p>
            <w:pPr>
              <w:pStyle w:val="Compact"/>
              <w:spacing w:after="0" w:before="0" w:line="240" w:lineRule="auto"/>
              <w:jc w:val="right"/>
            </w:pPr>
            <w:r>
              <w:rPr>
                <w:bCs/>
                <w:rFonts w:ascii="Arial" w:hAnsi="Arial"/>
                <w:b/>
                <w:sz w:val="15"/>
              </w:rPr>
              <w:t xml:space="preserve">0.63</w:t>
            </w:r>
          </w:p>
        </w:tc>
        <w:tc>
          <w:tcPr>
            <w:tcW w:type="dxa" w:w="1776"/>
          </w:tcPr>
          <w:p>
            <w:pPr>
              <w:pStyle w:val="Compact"/>
              <w:spacing w:after="0" w:before="0" w:line="240" w:lineRule="auto"/>
              <w:jc w:val="right"/>
            </w:pPr>
            <w:r>
              <w:rPr>
                <w:bCs/>
                <w:rFonts w:ascii="Arial" w:hAnsi="Arial"/>
                <w:b/>
                <w:sz w:val="15"/>
              </w:rPr>
              <w:t xml:space="preserve">4.2</w:t>
            </w:r>
          </w:p>
        </w:tc>
        <w:tc>
          <w:tcPr>
            <w:tcW w:type="dxa" w:w="1726"/>
          </w:tcPr>
          <w:p>
            <w:pPr>
              <w:pStyle w:val="Compact"/>
              <w:spacing w:after="0" w:before="0" w:line="240" w:lineRule="auto"/>
              <w:jc w:val="right"/>
            </w:pPr>
            <w:r>
              <w:rPr>
                <w:bCs/>
                <w:rFonts w:ascii="Arial" w:hAnsi="Arial"/>
                <w:b/>
                <w:sz w:val="15"/>
              </w:rPr>
              <w:t xml:space="preserve">23.8</w:t>
            </w:r>
          </w:p>
        </w:tc>
        <w:tc>
          <w:tcPr>
            <w:tcW w:type="dxa" w:w="1181"/>
          </w:tcPr>
          <w:p>
            <w:pPr>
              <w:pStyle w:val="Compact"/>
              <w:spacing w:after="0" w:before="0" w:line="240" w:lineRule="auto"/>
              <w:jc w:val="right"/>
            </w:pPr>
            <w:r>
              <w:rPr>
                <w:rFonts w:ascii="Arial" w:hAnsi="Arial"/>
                <w:sz w:val="15"/>
              </w:rPr>
              <w:t xml:space="preserve">5.1</w:t>
            </w:r>
          </w:p>
        </w:tc>
        <w:tc>
          <w:tcPr>
            <w:tcW w:type="dxa" w:w="1784"/>
          </w:tcPr>
          <w:p>
            <w:pPr>
              <w:pStyle w:val="Compact"/>
              <w:spacing w:after="0" w:before="0" w:line="240" w:lineRule="auto"/>
              <w:jc w:val="right"/>
            </w:pPr>
            <w:r>
              <w:rPr>
                <w:rFonts w:ascii="Arial" w:hAnsi="Arial"/>
                <w:sz w:val="15"/>
              </w:rPr>
              <w:t xml:space="preserve">+19.9%</w:t>
            </w:r>
          </w:p>
        </w:tc>
      </w:tr>
    </w:tbl>
    <w:p>
      <w:pPr>
        <w:pStyle w:val="BodyText"/>
      </w:pPr>
      <w:r>
        <w:rPr>
          <w:iCs/>
          <w:i/>
        </w:rPr>
        <w:t xml:space="preserve">Method: Loughran-McDonald-style dictionary (~150 positive and ~160 negative stems, with negation handling) applied to S&amp;P transcript excerpts of 2.1k–4.8k words per call; net tone = (pos − neg)/(pos + neg); the adjusted score removes pleasantries. Indicative only: the excerpts are query-driven, and the switch from interpreted Japanese to native-English CEO remarks after Jun-2025 inflates later tone.</w:t>
      </w:r>
    </w:p>
    <w:p>
      <w:pPr>
        <w:pStyle w:val="BodyText"/>
      </w:pPr>
      <w:r>
        <w:rPr>
          <w:bCs/>
          <w:b/>
        </w:rPr>
        <w:t xml:space="preserve">How sentiment shifted.</w:t>
      </w:r>
    </w:p>
    <w:p>
      <w:pPr>
        <w:numPr>
          <w:ilvl w:val="0"/>
          <w:numId w:val="1022"/>
        </w:numPr>
        <w:pStyle w:val="Compact"/>
      </w:pPr>
      <w:r>
        <w:rPr>
          <w:bCs/>
          <w:b/>
        </w:rPr>
        <w:t xml:space="preserve">Takeuchi interim (Nov-24 to Feb-25):</w:t>
      </w:r>
      <w:r>
        <w:t xml:space="preserve"> </w:t>
      </w:r>
      <w:r>
        <w:t xml:space="preserve">moderately positive tone, with the topic mix moving from governance and the FDA to China. The words were hopeful; the numbers were not.</w:t>
      </w:r>
    </w:p>
    <w:p>
      <w:pPr>
        <w:numPr>
          <w:ilvl w:val="0"/>
          <w:numId w:val="1022"/>
        </w:numPr>
        <w:pStyle w:val="Compact"/>
      </w:pPr>
      <w:r>
        <w:rPr>
          <w:bCs/>
          <w:b/>
        </w:rPr>
        <w:t xml:space="preserve">White’s reset (Aug-25):</w:t>
      </w:r>
      <w:r>
        <w:t xml:space="preserve"> </w:t>
      </w:r>
      <w:r>
        <w:t xml:space="preserve">the trough in tone and the peak in negative density (</w:t>
      </w:r>
      <w:r>
        <w:t xml:space="preserve">“</w:t>
      </w:r>
      <w:r>
        <w:t xml:space="preserve">decreased</w:t>
      </w:r>
      <w:r>
        <w:t xml:space="preserve">”</w:t>
      </w:r>
      <w:r>
        <w:t xml:space="preserve">,</w:t>
      </w:r>
      <w:r>
        <w:t xml:space="preserve"> </w:t>
      </w:r>
      <w:r>
        <w:t xml:space="preserve">“</w:t>
      </w:r>
      <w:r>
        <w:t xml:space="preserve">warning</w:t>
      </w:r>
      <w:r>
        <w:t xml:space="preserve">”</w:t>
      </w:r>
      <w:r>
        <w:t xml:space="preserve">,</w:t>
      </w:r>
      <w:r>
        <w:t xml:space="preserve"> </w:t>
      </w:r>
      <w:r>
        <w:t xml:space="preserve">“</w:t>
      </w:r>
      <w:r>
        <w:t xml:space="preserve">difficult</w:t>
      </w:r>
      <w:r>
        <w:t xml:space="preserve">”</w:t>
      </w:r>
      <w:r>
        <w:t xml:space="preserve">). The candid framing marked the low point in expectations.</w:t>
      </w:r>
    </w:p>
    <w:p>
      <w:pPr>
        <w:numPr>
          <w:ilvl w:val="0"/>
          <w:numId w:val="1022"/>
        </w:numPr>
        <w:pStyle w:val="Compact"/>
      </w:pPr>
      <w:r>
        <w:rPr>
          <w:bCs/>
          <w:b/>
        </w:rPr>
        <w:t xml:space="preserve">“</w:t>
      </w:r>
      <w:r>
        <w:rPr>
          <w:bCs/>
          <w:b/>
        </w:rPr>
        <w:t xml:space="preserve">Confident operator</w:t>
      </w:r>
      <w:r>
        <w:rPr>
          <w:bCs/>
          <w:b/>
        </w:rPr>
        <w:t xml:space="preserve">”</w:t>
      </w:r>
      <w:r>
        <w:rPr>
          <w:bCs/>
          <w:b/>
        </w:rPr>
        <w:t xml:space="preserve"> </w:t>
      </w:r>
      <w:r>
        <w:rPr>
          <w:bCs/>
          <w:b/>
        </w:rPr>
        <w:t xml:space="preserve">phase (Feb-26 to May-26):</w:t>
      </w:r>
      <w:r>
        <w:t xml:space="preserve"> </w:t>
      </w:r>
      <w:r>
        <w:t xml:space="preserve">tone rose to a series high of 0.63, while</w:t>
      </w:r>
      <w:r>
        <w:t xml:space="preserve"> </w:t>
      </w:r>
      <w:r>
        <w:rPr>
          <w:bCs/>
          <w:b/>
        </w:rPr>
        <w:t xml:space="preserve">FDA topic intensity also hit a series high (23.8 per 1k)</w:t>
      </w:r>
      <w:r>
        <w:t xml:space="preserve"> </w:t>
      </w:r>
      <w:r>
        <w:t xml:space="preserve">as analysts pressed on 483s and warning-letter risk.</w:t>
      </w:r>
    </w:p>
    <w:p>
      <w:pPr>
        <w:pStyle w:val="FirstParagraph"/>
      </w:pPr>
      <w:r>
        <w:rPr>
          <w:bCs/>
          <w:b/>
        </w:rPr>
        <w:t xml:space="preserve">The signal was the divergence between rising tone and rising FDA intensity, not the tone level.</w:t>
      </w:r>
      <w:r>
        <w:t xml:space="preserve"> </w:t>
      </w:r>
      <w:r>
        <w:t xml:space="preserve">Tone did not predict next-day returns: Feb-26 scored 0.45 and the stock fell 12.9%.</w:t>
      </w:r>
    </w:p>
    <w:bookmarkEnd w:id="69"/>
    <w:bookmarkEnd w:id="70"/>
    <w:bookmarkStart w:id="78" w:name="Xc5b84d494ae9633790ba8459c820009d9df4d95"/>
    <w:p>
      <w:pPr>
        <w:pStyle w:val="Heading1"/>
      </w:pPr>
      <w:r>
        <w:t xml:space="preserve">Latest result: 1Q FY3/27 (reported 7-Aug-2026)</w:t>
      </w:r>
    </w:p>
    <w:bookmarkStart w:id="71" w:name="revenue-and-profit-vs-expectations"/>
    <w:p>
      <w:pPr>
        <w:pStyle w:val="Heading2"/>
      </w:pPr>
      <w:r>
        <w:t xml:space="preserve">Revenue and profit vs expectations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321"/>
        <w:gridCol w:w="1266"/>
        <w:gridCol w:w="1229"/>
        <w:gridCol w:w="1494"/>
        <w:gridCol w:w="2082"/>
        <w:gridCol w:w="1582"/>
      </w:tblGrid>
      <w:tr>
        <w:trPr>
          <w:tblHeader w:val="true"/>
          <w:tblHeader w:val="true"/>
          <w:cantSplit/>
        </w:trPr>
        <w:tc>
          <w:tcPr>
            <w:tcW w:type="dxa" w:w="2322"/>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266"/>
            <w:shd w:val="clear" w:color="auto" w:fill="13213F"/>
          </w:tcPr>
          <w:p>
            <w:pPr>
              <w:pStyle w:val="Compact"/>
              <w:spacing w:after="0" w:before="0" w:line="240" w:lineRule="auto"/>
              <w:jc w:val="right"/>
            </w:pPr>
            <w:r>
              <w:rPr>
                <w:rFonts w:ascii="Arial" w:hAnsi="Arial"/>
                <w:b/>
                <w:color w:val="FFFFFF"/>
                <w:sz w:val="15"/>
              </w:rPr>
              <w:t xml:space="preserve">1Q FY3/27</w:t>
            </w:r>
          </w:p>
        </w:tc>
        <w:tc>
          <w:tcPr>
            <w:tcW w:type="dxa" w:w="1229"/>
            <w:shd w:val="clear" w:color="auto" w:fill="13213F"/>
          </w:tcPr>
          <w:p>
            <w:pPr>
              <w:pStyle w:val="Compact"/>
              <w:spacing w:after="0" w:before="0" w:line="240" w:lineRule="auto"/>
              <w:jc w:val="right"/>
            </w:pPr>
            <w:r>
              <w:rPr>
                <w:rFonts w:ascii="Arial" w:hAnsi="Arial"/>
                <w:b/>
                <w:color w:val="FFFFFF"/>
                <w:sz w:val="15"/>
              </w:rPr>
              <w:t xml:space="preserve">1Q FY3/26</w:t>
            </w:r>
          </w:p>
        </w:tc>
        <w:tc>
          <w:tcPr>
            <w:tcW w:type="dxa" w:w="1495"/>
            <w:shd w:val="clear" w:color="auto" w:fill="13213F"/>
          </w:tcPr>
          <w:p>
            <w:pPr>
              <w:pStyle w:val="Compact"/>
              <w:spacing w:after="0" w:before="0" w:line="240" w:lineRule="auto"/>
              <w:jc w:val="right"/>
            </w:pPr>
            <w:r>
              <w:rPr>
                <w:rFonts w:ascii="Arial" w:hAnsi="Arial"/>
                <w:b/>
                <w:color w:val="FFFFFF"/>
                <w:sz w:val="15"/>
              </w:rPr>
              <w:t xml:space="preserve">YoY</w:t>
            </w:r>
          </w:p>
        </w:tc>
        <w:tc>
          <w:tcPr>
            <w:tcW w:type="dxa" w:w="2083"/>
            <w:shd w:val="clear" w:color="auto" w:fill="13213F"/>
          </w:tcPr>
          <w:p>
            <w:pPr>
              <w:pStyle w:val="Compact"/>
              <w:spacing w:after="0" w:before="0" w:line="240" w:lineRule="auto"/>
              <w:jc w:val="right"/>
            </w:pPr>
            <w:r>
              <w:rPr>
                <w:rFonts w:ascii="Arial" w:hAnsi="Arial"/>
                <w:b/>
                <w:color w:val="FFFFFF"/>
                <w:sz w:val="15"/>
              </w:rPr>
              <w:t xml:space="preserve">CIQ consensus mean (n)</w:t>
            </w:r>
          </w:p>
        </w:tc>
        <w:tc>
          <w:tcPr>
            <w:tcW w:type="dxa" w:w="1583"/>
            <w:shd w:val="clear" w:color="auto" w:fill="13213F"/>
          </w:tcPr>
          <w:p>
            <w:pPr>
              <w:pStyle w:val="Compact"/>
              <w:spacing w:after="0" w:before="0" w:line="240" w:lineRule="auto"/>
              <w:jc w:val="right"/>
            </w:pPr>
            <w:r>
              <w:rPr>
                <w:rFonts w:ascii="Arial" w:hAnsi="Arial"/>
                <w:b/>
                <w:color w:val="FFFFFF"/>
                <w:sz w:val="15"/>
              </w:rPr>
              <w:t xml:space="preserve">vs consensus</w:t>
            </w:r>
          </w:p>
        </w:tc>
      </w:tr>
      <w:tr>
        <w:trPr>
          <w:cantSplit/>
        </w:trPr>
        <w:tc>
          <w:tcPr>
            <w:tcW w:type="dxa" w:w="2322"/>
          </w:tcPr>
          <w:p>
            <w:pPr>
              <w:pStyle w:val="Compact"/>
              <w:spacing w:after="0" w:before="0" w:line="240" w:lineRule="auto"/>
              <w:jc w:val="left"/>
            </w:pPr>
            <w:r>
              <w:rPr>
                <w:rFonts w:ascii="Arial" w:hAnsi="Arial"/>
                <w:sz w:val="15"/>
              </w:rPr>
              <w:t xml:space="preserve">Revenue</w:t>
            </w:r>
          </w:p>
        </w:tc>
        <w:tc>
          <w:tcPr>
            <w:tcW w:type="dxa" w:w="1266"/>
          </w:tcPr>
          <w:p>
            <w:pPr>
              <w:pStyle w:val="Compact"/>
              <w:spacing w:after="0" w:before="0" w:line="240" w:lineRule="auto"/>
              <w:jc w:val="right"/>
            </w:pPr>
            <w:r>
              <w:rPr>
                <w:bCs/>
                <w:rFonts w:ascii="Arial" w:hAnsi="Arial"/>
                <w:b/>
                <w:sz w:val="15"/>
              </w:rPr>
              <w:t xml:space="preserve">240.4</w:t>
            </w:r>
          </w:p>
        </w:tc>
        <w:tc>
          <w:tcPr>
            <w:tcW w:type="dxa" w:w="1229"/>
          </w:tcPr>
          <w:p>
            <w:pPr>
              <w:pStyle w:val="Compact"/>
              <w:spacing w:after="0" w:before="0" w:line="240" w:lineRule="auto"/>
              <w:jc w:val="right"/>
            </w:pPr>
            <w:r>
              <w:rPr>
                <w:rFonts w:ascii="Arial" w:hAnsi="Arial"/>
                <w:sz w:val="15"/>
              </w:rPr>
              <w:t xml:space="preserve">206.5</w:t>
            </w:r>
          </w:p>
        </w:tc>
        <w:tc>
          <w:tcPr>
            <w:tcW w:type="dxa" w:w="1495"/>
          </w:tcPr>
          <w:p>
            <w:pPr>
              <w:pStyle w:val="Compact"/>
              <w:spacing w:after="0" w:before="0" w:line="240" w:lineRule="auto"/>
              <w:jc w:val="right"/>
            </w:pPr>
            <w:r>
              <w:rPr>
                <w:rFonts w:ascii="Arial" w:hAnsi="Arial"/>
                <w:sz w:val="15"/>
              </w:rPr>
              <w:t xml:space="preserve">+16.4% (~+5% cc)</w:t>
            </w:r>
          </w:p>
        </w:tc>
        <w:tc>
          <w:tcPr>
            <w:tcW w:type="dxa" w:w="2083"/>
          </w:tcPr>
          <w:p>
            <w:pPr>
              <w:pStyle w:val="Compact"/>
              <w:spacing w:after="0" w:before="0" w:line="240" w:lineRule="auto"/>
              <w:jc w:val="right"/>
            </w:pPr>
            <w:r>
              <w:rPr>
                <w:rFonts w:ascii="Arial" w:hAnsi="Arial"/>
                <w:sz w:val="15"/>
              </w:rPr>
              <w:t xml:space="preserve">228.3 (6)</w:t>
            </w:r>
          </w:p>
        </w:tc>
        <w:tc>
          <w:tcPr>
            <w:tcW w:type="dxa" w:w="1583"/>
          </w:tcPr>
          <w:p>
            <w:pPr>
              <w:pStyle w:val="Compact"/>
              <w:spacing w:after="0" w:before="0" w:line="240" w:lineRule="auto"/>
              <w:jc w:val="right"/>
            </w:pPr>
            <w:r>
              <w:rPr>
                <w:bCs/>
                <w:rFonts w:ascii="Arial" w:hAnsi="Arial"/>
                <w:b/>
                <w:sz w:val="15"/>
              </w:rPr>
              <w:t xml:space="preserve">+5.3%</w:t>
            </w:r>
          </w:p>
        </w:tc>
      </w:tr>
      <w:tr>
        <w:trPr>
          <w:cantSplit/>
        </w:trPr>
        <w:tc>
          <w:tcPr>
            <w:tcW w:type="dxa" w:w="2322"/>
            <w:shd w:val="clear" w:color="auto" w:fill="F1F2F5"/>
          </w:tcPr>
          <w:p>
            <w:pPr>
              <w:pStyle w:val="Compact"/>
              <w:spacing w:after="0" w:before="0" w:line="240" w:lineRule="auto"/>
              <w:jc w:val="left"/>
            </w:pPr>
            <w:r>
              <w:rPr>
                <w:rFonts w:ascii="Arial" w:hAnsi="Arial"/>
                <w:sz w:val="15"/>
              </w:rPr>
              <w:t xml:space="preserve">Gross margin</w:t>
            </w:r>
          </w:p>
        </w:tc>
        <w:tc>
          <w:tcPr>
            <w:tcW w:type="dxa" w:w="1266"/>
            <w:shd w:val="clear" w:color="auto" w:fill="F1F2F5"/>
          </w:tcPr>
          <w:p>
            <w:pPr>
              <w:pStyle w:val="Compact"/>
              <w:spacing w:after="0" w:before="0" w:line="240" w:lineRule="auto"/>
              <w:jc w:val="right"/>
            </w:pPr>
            <w:r>
              <w:rPr>
                <w:rFonts w:ascii="Arial" w:hAnsi="Arial"/>
                <w:sz w:val="15"/>
              </w:rPr>
              <w:t xml:space="preserve">65.2%</w:t>
            </w:r>
          </w:p>
        </w:tc>
        <w:tc>
          <w:tcPr>
            <w:tcW w:type="dxa" w:w="1229"/>
            <w:shd w:val="clear" w:color="auto" w:fill="F1F2F5"/>
          </w:tcPr>
          <w:p>
            <w:pPr>
              <w:pStyle w:val="Compact"/>
              <w:spacing w:after="0" w:before="0" w:line="240" w:lineRule="auto"/>
              <w:jc w:val="right"/>
            </w:pPr>
            <w:r>
              <w:rPr>
                <w:rFonts w:ascii="Arial" w:hAnsi="Arial"/>
                <w:sz w:val="15"/>
              </w:rPr>
              <w:t xml:space="preserve">65.4%</w:t>
            </w:r>
          </w:p>
        </w:tc>
        <w:tc>
          <w:tcPr>
            <w:tcW w:type="dxa" w:w="1495"/>
            <w:shd w:val="clear" w:color="auto" w:fill="F1F2F5"/>
          </w:tcPr>
          <w:p>
            <w:pPr>
              <w:pStyle w:val="Compact"/>
              <w:spacing w:after="0" w:before="0" w:line="240" w:lineRule="auto"/>
              <w:jc w:val="right"/>
            </w:pPr>
            <w:r>
              <w:rPr>
                <w:rFonts w:ascii="Arial" w:hAnsi="Arial"/>
                <w:sz w:val="15"/>
              </w:rPr>
              <w:t xml:space="preserve">-0.2pp</w:t>
            </w:r>
          </w:p>
        </w:tc>
        <w:tc>
          <w:tcPr>
            <w:tcW w:type="dxa" w:w="2083"/>
            <w:shd w:val="clear" w:color="auto" w:fill="F1F2F5"/>
          </w:tcPr>
          <w:p>
            <w:pPr>
              <w:pStyle w:val="Compact"/>
              <w:spacing w:after="0" w:before="0" w:line="240" w:lineRule="auto"/>
              <w:jc w:val="right"/>
            </w:pPr>
            <w:r>
              <w:rPr>
                <w:rFonts w:ascii="Arial" w:hAnsi="Arial"/>
                <w:sz w:val="15"/>
              </w:rPr>
              <w:t xml:space="preserve">60.1% (2)</w:t>
            </w:r>
          </w:p>
        </w:tc>
        <w:tc>
          <w:tcPr>
            <w:tcW w:type="dxa" w:w="1583"/>
            <w:shd w:val="clear" w:color="auto" w:fill="F1F2F5"/>
          </w:tcPr>
          <w:p>
            <w:pPr>
              <w:pStyle w:val="Compact"/>
              <w:spacing w:after="0" w:before="0" w:line="240" w:lineRule="auto"/>
              <w:jc w:val="right"/>
            </w:pPr>
            <w:r>
              <w:rPr>
                <w:rFonts w:ascii="Arial" w:hAnsi="Arial"/>
                <w:sz w:val="15"/>
              </w:rPr>
              <w:t xml:space="preserve">+5.1pp</w:t>
            </w:r>
          </w:p>
        </w:tc>
      </w:tr>
      <w:tr>
        <w:trPr>
          <w:cantSplit/>
        </w:trPr>
        <w:tc>
          <w:tcPr>
            <w:tcW w:type="dxa" w:w="2322"/>
          </w:tcPr>
          <w:p>
            <w:pPr>
              <w:pStyle w:val="Compact"/>
              <w:spacing w:after="0" w:before="0" w:line="240" w:lineRule="auto"/>
              <w:jc w:val="left"/>
            </w:pPr>
            <w:r>
              <w:rPr>
                <w:rFonts w:ascii="Arial" w:hAnsi="Arial"/>
                <w:sz w:val="15"/>
              </w:rPr>
              <w:t xml:space="preserve">Adjusted OP</w:t>
            </w:r>
          </w:p>
        </w:tc>
        <w:tc>
          <w:tcPr>
            <w:tcW w:type="dxa" w:w="1266"/>
          </w:tcPr>
          <w:p>
            <w:pPr>
              <w:pStyle w:val="Compact"/>
              <w:spacing w:after="0" w:before="0" w:line="240" w:lineRule="auto"/>
              <w:jc w:val="right"/>
            </w:pPr>
            <w:r>
              <w:rPr>
                <w:bCs/>
                <w:rFonts w:ascii="Arial" w:hAnsi="Arial"/>
                <w:b/>
                <w:sz w:val="15"/>
              </w:rPr>
              <w:t xml:space="preserve">30.7</w:t>
            </w:r>
            <w:r>
              <w:rPr>
                <w:rFonts w:ascii="Arial" w:hAnsi="Arial"/>
                <w:sz w:val="15"/>
              </w:rPr>
              <w:t xml:space="preserve"> </w:t>
            </w:r>
            <w:r>
              <w:rPr>
                <w:rFonts w:ascii="Arial" w:hAnsi="Arial"/>
                <w:sz w:val="15"/>
              </w:rPr>
              <w:t xml:space="preserve">[u]</w:t>
            </w:r>
          </w:p>
        </w:tc>
        <w:tc>
          <w:tcPr>
            <w:tcW w:type="dxa" w:w="1229"/>
          </w:tcPr>
          <w:p>
            <w:pPr>
              <w:pStyle w:val="Compact"/>
              <w:spacing w:after="0" w:before="0" w:line="240" w:lineRule="auto"/>
              <w:jc w:val="right"/>
            </w:pPr>
            <w:r>
              <w:rPr>
                <w:rFonts w:ascii="Arial" w:hAnsi="Arial"/>
                <w:sz w:val="15"/>
              </w:rPr>
              <w:t xml:space="preserve">13.2</w:t>
            </w:r>
          </w:p>
        </w:tc>
        <w:tc>
          <w:tcPr>
            <w:tcW w:type="dxa" w:w="1495"/>
          </w:tcPr>
          <w:p>
            <w:pPr>
              <w:pStyle w:val="Compact"/>
              <w:spacing w:after="0" w:before="0" w:line="240" w:lineRule="auto"/>
              <w:jc w:val="right"/>
            </w:pPr>
            <w:r>
              <w:rPr>
                <w:rFonts w:ascii="Arial" w:hAnsi="Arial"/>
                <w:sz w:val="15"/>
              </w:rPr>
              <w:t xml:space="preserve">+133%</w:t>
            </w:r>
          </w:p>
        </w:tc>
        <w:tc>
          <w:tcPr>
            <w:tcW w:type="dxa" w:w="2083"/>
          </w:tcPr>
          <w:p>
            <w:pPr>
              <w:pStyle w:val="Compact"/>
              <w:spacing w:after="0" w:before="0" w:line="240" w:lineRule="auto"/>
              <w:jc w:val="right"/>
            </w:pPr>
            <w:r>
              <w:rPr>
                <w:rFonts w:ascii="Arial" w:hAnsi="Arial"/>
                <w:sz w:val="15"/>
              </w:rPr>
              <w:t xml:space="preserve">n/a</w:t>
            </w:r>
          </w:p>
        </w:tc>
        <w:tc>
          <w:tcPr>
            <w:tcW w:type="dxa" w:w="1583"/>
          </w:tcPr>
          <w:p>
            <w:pPr>
              <w:pStyle w:val="Compact"/>
              <w:spacing w:after="0" w:before="0" w:line="240" w:lineRule="auto"/>
              <w:jc w:val="right"/>
            </w:pPr>
            <w:r>
              <w:rPr>
                <w:rFonts w:ascii="Arial" w:hAnsi="Arial"/>
                <w:sz w:val="15"/>
              </w:rPr>
              <w:t xml:space="preserve">–</w:t>
            </w:r>
          </w:p>
        </w:tc>
      </w:tr>
      <w:tr>
        <w:trPr>
          <w:cantSplit/>
        </w:trPr>
        <w:tc>
          <w:tcPr>
            <w:tcW w:type="dxa" w:w="2322"/>
            <w:shd w:val="clear" w:color="auto" w:fill="F1F2F5"/>
          </w:tcPr>
          <w:p>
            <w:pPr>
              <w:pStyle w:val="Compact"/>
              <w:spacing w:after="0" w:before="0" w:line="240" w:lineRule="auto"/>
              <w:jc w:val="left"/>
            </w:pPr>
            <w:r>
              <w:rPr>
                <w:rFonts w:ascii="Arial" w:hAnsi="Arial"/>
                <w:sz w:val="15"/>
              </w:rPr>
              <w:t xml:space="preserve">Adjusted OP margin</w:t>
            </w:r>
          </w:p>
        </w:tc>
        <w:tc>
          <w:tcPr>
            <w:tcW w:type="dxa" w:w="1266"/>
            <w:shd w:val="clear" w:color="auto" w:fill="F1F2F5"/>
          </w:tcPr>
          <w:p>
            <w:pPr>
              <w:pStyle w:val="Compact"/>
              <w:spacing w:after="0" w:before="0" w:line="240" w:lineRule="auto"/>
              <w:jc w:val="right"/>
            </w:pPr>
            <w:r>
              <w:rPr>
                <w:rFonts w:ascii="Arial" w:hAnsi="Arial"/>
                <w:sz w:val="15"/>
              </w:rPr>
              <w:t xml:space="preserve">12.8%</w:t>
            </w:r>
          </w:p>
        </w:tc>
        <w:tc>
          <w:tcPr>
            <w:tcW w:type="dxa" w:w="1229"/>
            <w:shd w:val="clear" w:color="auto" w:fill="F1F2F5"/>
          </w:tcPr>
          <w:p>
            <w:pPr>
              <w:pStyle w:val="Compact"/>
              <w:spacing w:after="0" w:before="0" w:line="240" w:lineRule="auto"/>
              <w:jc w:val="right"/>
            </w:pPr>
            <w:r>
              <w:rPr>
                <w:rFonts w:ascii="Arial" w:hAnsi="Arial"/>
                <w:sz w:val="15"/>
              </w:rPr>
              <w:t xml:space="preserve">6.4%</w:t>
            </w:r>
          </w:p>
        </w:tc>
        <w:tc>
          <w:tcPr>
            <w:tcW w:type="dxa" w:w="1495"/>
            <w:shd w:val="clear" w:color="auto" w:fill="F1F2F5"/>
          </w:tcPr>
          <w:p>
            <w:pPr>
              <w:pStyle w:val="Compact"/>
              <w:spacing w:after="0" w:before="0" w:line="240" w:lineRule="auto"/>
              <w:jc w:val="right"/>
            </w:pPr>
            <w:r>
              <w:rPr>
                <w:rFonts w:ascii="Arial" w:hAnsi="Arial"/>
                <w:sz w:val="15"/>
              </w:rPr>
              <w:t xml:space="preserve">+6.4pp</w:t>
            </w:r>
          </w:p>
        </w:tc>
        <w:tc>
          <w:tcPr>
            <w:tcW w:type="dxa" w:w="2083"/>
            <w:shd w:val="clear" w:color="auto" w:fill="F1F2F5"/>
          </w:tcPr>
          <w:p>
            <w:pPr>
              <w:pStyle w:val="Compact"/>
              <w:spacing w:after="0" w:before="0" w:line="240" w:lineRule="auto"/>
              <w:jc w:val="right"/>
            </w:pPr>
            <w:r>
              <w:rPr>
                <w:rFonts w:ascii="Arial" w:hAnsi="Arial"/>
                <w:sz w:val="15"/>
              </w:rPr>
              <w:t xml:space="preserve">–</w:t>
            </w:r>
          </w:p>
        </w:tc>
        <w:tc>
          <w:tcPr>
            <w:tcW w:type="dxa" w:w="1583"/>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322"/>
          </w:tcPr>
          <w:p>
            <w:pPr>
              <w:pStyle w:val="Compact"/>
              <w:spacing w:after="0" w:before="0" w:line="240" w:lineRule="auto"/>
              <w:jc w:val="left"/>
            </w:pPr>
            <w:r>
              <w:rPr>
                <w:rFonts w:ascii="Arial" w:hAnsi="Arial"/>
                <w:sz w:val="15"/>
              </w:rPr>
              <w:t xml:space="preserve">Operating profit (IFRS)</w:t>
            </w:r>
          </w:p>
        </w:tc>
        <w:tc>
          <w:tcPr>
            <w:tcW w:type="dxa" w:w="1266"/>
          </w:tcPr>
          <w:p>
            <w:pPr>
              <w:pStyle w:val="Compact"/>
              <w:spacing w:after="0" w:before="0" w:line="240" w:lineRule="auto"/>
              <w:jc w:val="right"/>
            </w:pPr>
            <w:r>
              <w:rPr>
                <w:bCs/>
                <w:rFonts w:ascii="Arial" w:hAnsi="Arial"/>
                <w:b/>
                <w:sz w:val="15"/>
              </w:rPr>
              <w:t xml:space="preserve">29.0</w:t>
            </w:r>
          </w:p>
        </w:tc>
        <w:tc>
          <w:tcPr>
            <w:tcW w:type="dxa" w:w="1229"/>
          </w:tcPr>
          <w:p>
            <w:pPr>
              <w:pStyle w:val="Compact"/>
              <w:spacing w:after="0" w:before="0" w:line="240" w:lineRule="auto"/>
              <w:jc w:val="right"/>
            </w:pPr>
            <w:r>
              <w:rPr>
                <w:rFonts w:ascii="Arial" w:hAnsi="Arial"/>
                <w:sz w:val="15"/>
              </w:rPr>
              <w:t xml:space="preserve">16.6</w:t>
            </w:r>
          </w:p>
        </w:tc>
        <w:tc>
          <w:tcPr>
            <w:tcW w:type="dxa" w:w="1495"/>
          </w:tcPr>
          <w:p>
            <w:pPr>
              <w:pStyle w:val="Compact"/>
              <w:spacing w:after="0" w:before="0" w:line="240" w:lineRule="auto"/>
              <w:jc w:val="right"/>
            </w:pPr>
            <w:r>
              <w:rPr>
                <w:rFonts w:ascii="Arial" w:hAnsi="Arial"/>
                <w:sz w:val="15"/>
              </w:rPr>
              <w:t xml:space="preserve">+74%</w:t>
            </w:r>
          </w:p>
        </w:tc>
        <w:tc>
          <w:tcPr>
            <w:tcW w:type="dxa" w:w="2083"/>
          </w:tcPr>
          <w:p>
            <w:pPr>
              <w:pStyle w:val="Compact"/>
              <w:spacing w:after="0" w:before="0" w:line="240" w:lineRule="auto"/>
              <w:jc w:val="right"/>
            </w:pPr>
            <w:r>
              <w:rPr>
                <w:rFonts w:ascii="Arial" w:hAnsi="Arial"/>
                <w:sz w:val="15"/>
              </w:rPr>
              <w:t xml:space="preserve">12.1 (8)</w:t>
            </w:r>
          </w:p>
        </w:tc>
        <w:tc>
          <w:tcPr>
            <w:tcW w:type="dxa" w:w="1583"/>
          </w:tcPr>
          <w:p>
            <w:pPr>
              <w:pStyle w:val="Compact"/>
              <w:spacing w:after="0" w:before="0" w:line="240" w:lineRule="auto"/>
              <w:jc w:val="right"/>
            </w:pPr>
            <w:r>
              <w:rPr>
                <w:bCs/>
                <w:rFonts w:ascii="Arial" w:hAnsi="Arial"/>
                <w:b/>
                <w:sz w:val="15"/>
              </w:rPr>
              <w:t xml:space="preserve">+139%</w:t>
            </w:r>
          </w:p>
        </w:tc>
      </w:tr>
      <w:tr>
        <w:trPr>
          <w:cantSplit/>
        </w:trPr>
        <w:tc>
          <w:tcPr>
            <w:tcW w:type="dxa" w:w="2322"/>
            <w:shd w:val="clear" w:color="auto" w:fill="F1F2F5"/>
          </w:tcPr>
          <w:p>
            <w:pPr>
              <w:pStyle w:val="Compact"/>
              <w:spacing w:after="0" w:before="0" w:line="240" w:lineRule="auto"/>
              <w:jc w:val="left"/>
            </w:pPr>
            <w:r>
              <w:rPr>
                <w:rFonts w:ascii="Arial" w:hAnsi="Arial"/>
                <w:sz w:val="15"/>
              </w:rPr>
              <w:t xml:space="preserve">Profit before tax</w:t>
            </w:r>
          </w:p>
        </w:tc>
        <w:tc>
          <w:tcPr>
            <w:tcW w:type="dxa" w:w="1266"/>
            <w:shd w:val="clear" w:color="auto" w:fill="F1F2F5"/>
          </w:tcPr>
          <w:p>
            <w:pPr>
              <w:pStyle w:val="Compact"/>
              <w:spacing w:after="0" w:before="0" w:line="240" w:lineRule="auto"/>
              <w:jc w:val="right"/>
            </w:pPr>
            <w:r>
              <w:rPr>
                <w:rFonts w:ascii="Arial" w:hAnsi="Arial"/>
                <w:sz w:val="15"/>
              </w:rPr>
              <w:t xml:space="preserve">27.6</w:t>
            </w:r>
          </w:p>
        </w:tc>
        <w:tc>
          <w:tcPr>
            <w:tcW w:type="dxa" w:w="1229"/>
            <w:shd w:val="clear" w:color="auto" w:fill="F1F2F5"/>
          </w:tcPr>
          <w:p>
            <w:pPr>
              <w:pStyle w:val="Compact"/>
              <w:spacing w:after="0" w:before="0" w:line="240" w:lineRule="auto"/>
              <w:jc w:val="right"/>
            </w:pPr>
            <w:r>
              <w:rPr>
                <w:rFonts w:ascii="Arial" w:hAnsi="Arial"/>
                <w:sz w:val="15"/>
              </w:rPr>
              <w:t xml:space="preserve">16.9</w:t>
            </w:r>
          </w:p>
        </w:tc>
        <w:tc>
          <w:tcPr>
            <w:tcW w:type="dxa" w:w="1495"/>
            <w:shd w:val="clear" w:color="auto" w:fill="F1F2F5"/>
          </w:tcPr>
          <w:p>
            <w:pPr>
              <w:pStyle w:val="Compact"/>
              <w:spacing w:after="0" w:before="0" w:line="240" w:lineRule="auto"/>
              <w:jc w:val="right"/>
            </w:pPr>
            <w:r>
              <w:rPr>
                <w:rFonts w:ascii="Arial" w:hAnsi="Arial"/>
                <w:sz w:val="15"/>
              </w:rPr>
              <w:t xml:space="preserve">+63%</w:t>
            </w:r>
          </w:p>
        </w:tc>
        <w:tc>
          <w:tcPr>
            <w:tcW w:type="dxa" w:w="2083"/>
            <w:shd w:val="clear" w:color="auto" w:fill="F1F2F5"/>
          </w:tcPr>
          <w:p>
            <w:pPr>
              <w:pStyle w:val="Compact"/>
              <w:spacing w:after="0" w:before="0" w:line="240" w:lineRule="auto"/>
              <w:jc w:val="right"/>
            </w:pPr>
            <w:r>
              <w:rPr>
                <w:rFonts w:ascii="Arial" w:hAnsi="Arial"/>
                <w:sz w:val="15"/>
              </w:rPr>
              <w:t xml:space="preserve">2.5 (2)</w:t>
            </w:r>
          </w:p>
        </w:tc>
        <w:tc>
          <w:tcPr>
            <w:tcW w:type="dxa" w:w="1583"/>
            <w:shd w:val="clear" w:color="auto" w:fill="F1F2F5"/>
          </w:tcPr>
          <w:p>
            <w:pPr>
              <w:pStyle w:val="Compact"/>
              <w:spacing w:after="0" w:before="0" w:line="240" w:lineRule="auto"/>
              <w:jc w:val="right"/>
            </w:pPr>
            <w:r>
              <w:rPr>
                <w:rFonts w:ascii="Arial" w:hAnsi="Arial"/>
                <w:sz w:val="15"/>
              </w:rPr>
              <w:t xml:space="preserve">n/m</w:t>
            </w:r>
          </w:p>
        </w:tc>
      </w:tr>
      <w:tr>
        <w:trPr>
          <w:cantSplit/>
        </w:trPr>
        <w:tc>
          <w:tcPr>
            <w:tcW w:type="dxa" w:w="2322"/>
          </w:tcPr>
          <w:p>
            <w:pPr>
              <w:pStyle w:val="Compact"/>
              <w:spacing w:after="0" w:before="0" w:line="240" w:lineRule="auto"/>
              <w:jc w:val="left"/>
            </w:pPr>
            <w:r>
              <w:rPr>
                <w:rFonts w:ascii="Arial" w:hAnsi="Arial"/>
                <w:sz w:val="15"/>
              </w:rPr>
              <w:t xml:space="preserve">Net income</w:t>
            </w:r>
          </w:p>
        </w:tc>
        <w:tc>
          <w:tcPr>
            <w:tcW w:type="dxa" w:w="1266"/>
          </w:tcPr>
          <w:p>
            <w:pPr>
              <w:pStyle w:val="Compact"/>
              <w:spacing w:after="0" w:before="0" w:line="240" w:lineRule="auto"/>
              <w:jc w:val="right"/>
            </w:pPr>
            <w:r>
              <w:rPr>
                <w:bCs/>
                <w:rFonts w:ascii="Arial" w:hAnsi="Arial"/>
                <w:b/>
                <w:sz w:val="15"/>
              </w:rPr>
              <w:t xml:space="preserve">19.1</w:t>
            </w:r>
          </w:p>
        </w:tc>
        <w:tc>
          <w:tcPr>
            <w:tcW w:type="dxa" w:w="1229"/>
          </w:tcPr>
          <w:p>
            <w:pPr>
              <w:pStyle w:val="Compact"/>
              <w:spacing w:after="0" w:before="0" w:line="240" w:lineRule="auto"/>
              <w:jc w:val="right"/>
            </w:pPr>
            <w:r>
              <w:rPr>
                <w:rFonts w:ascii="Arial" w:hAnsi="Arial"/>
                <w:sz w:val="15"/>
              </w:rPr>
              <w:t xml:space="preserve">9.0</w:t>
            </w:r>
          </w:p>
        </w:tc>
        <w:tc>
          <w:tcPr>
            <w:tcW w:type="dxa" w:w="1495"/>
          </w:tcPr>
          <w:p>
            <w:pPr>
              <w:pStyle w:val="Compact"/>
              <w:spacing w:after="0" w:before="0" w:line="240" w:lineRule="auto"/>
              <w:jc w:val="right"/>
            </w:pPr>
            <w:r>
              <w:rPr>
                <w:rFonts w:ascii="Arial" w:hAnsi="Arial"/>
                <w:sz w:val="15"/>
              </w:rPr>
              <w:t xml:space="preserve">+112%</w:t>
            </w:r>
          </w:p>
        </w:tc>
        <w:tc>
          <w:tcPr>
            <w:tcW w:type="dxa" w:w="2083"/>
          </w:tcPr>
          <w:p>
            <w:pPr>
              <w:pStyle w:val="Compact"/>
              <w:spacing w:after="0" w:before="0" w:line="240" w:lineRule="auto"/>
              <w:jc w:val="right"/>
            </w:pPr>
            <w:r>
              <w:rPr>
                <w:rFonts w:ascii="Arial" w:hAnsi="Arial"/>
                <w:sz w:val="15"/>
              </w:rPr>
              <w:t xml:space="preserve">3.8 (3)</w:t>
            </w:r>
          </w:p>
        </w:tc>
        <w:tc>
          <w:tcPr>
            <w:tcW w:type="dxa" w:w="1583"/>
          </w:tcPr>
          <w:p>
            <w:pPr>
              <w:pStyle w:val="Compact"/>
              <w:spacing w:after="0" w:before="0" w:line="240" w:lineRule="auto"/>
              <w:jc w:val="right"/>
            </w:pPr>
            <w:r>
              <w:rPr>
                <w:rFonts w:ascii="Arial" w:hAnsi="Arial"/>
                <w:sz w:val="15"/>
              </w:rPr>
              <w:t xml:space="preserve">n/m</w:t>
            </w:r>
          </w:p>
        </w:tc>
      </w:tr>
      <w:tr>
        <w:trPr>
          <w:cantSplit/>
        </w:trPr>
        <w:tc>
          <w:tcPr>
            <w:tcW w:type="dxa" w:w="2322"/>
            <w:shd w:val="clear" w:color="auto" w:fill="F1F2F5"/>
          </w:tcPr>
          <w:p>
            <w:pPr>
              <w:pStyle w:val="Compact"/>
              <w:spacing w:after="0" w:before="0" w:line="240" w:lineRule="auto"/>
              <w:jc w:val="left"/>
            </w:pPr>
            <w:r>
              <w:rPr>
                <w:rFonts w:ascii="Arial" w:hAnsi="Arial"/>
                <w:sz w:val="15"/>
              </w:rPr>
              <w:t xml:space="preserve">EPS (JPY)</w:t>
            </w:r>
          </w:p>
        </w:tc>
        <w:tc>
          <w:tcPr>
            <w:tcW w:type="dxa" w:w="1266"/>
            <w:shd w:val="clear" w:color="auto" w:fill="F1F2F5"/>
          </w:tcPr>
          <w:p>
            <w:pPr>
              <w:pStyle w:val="Compact"/>
              <w:spacing w:after="0" w:before="0" w:line="240" w:lineRule="auto"/>
              <w:jc w:val="right"/>
            </w:pPr>
            <w:r>
              <w:rPr>
                <w:rFonts w:ascii="Arial" w:hAnsi="Arial"/>
                <w:sz w:val="15"/>
              </w:rPr>
              <w:t xml:space="preserve">17.76</w:t>
            </w:r>
          </w:p>
        </w:tc>
        <w:tc>
          <w:tcPr>
            <w:tcW w:type="dxa" w:w="1229"/>
            <w:shd w:val="clear" w:color="auto" w:fill="F1F2F5"/>
          </w:tcPr>
          <w:p>
            <w:pPr>
              <w:pStyle w:val="Compact"/>
              <w:spacing w:after="0" w:before="0" w:line="240" w:lineRule="auto"/>
              <w:jc w:val="right"/>
            </w:pPr>
            <w:r>
              <w:rPr>
                <w:rFonts w:ascii="Arial" w:hAnsi="Arial"/>
                <w:sz w:val="15"/>
              </w:rPr>
              <w:t xml:space="preserve">~7.9</w:t>
            </w:r>
          </w:p>
        </w:tc>
        <w:tc>
          <w:tcPr>
            <w:tcW w:type="dxa" w:w="1495"/>
            <w:shd w:val="clear" w:color="auto" w:fill="F1F2F5"/>
          </w:tcPr>
          <w:p>
            <w:pPr>
              <w:pStyle w:val="Compact"/>
              <w:spacing w:after="0" w:before="0" w:line="240" w:lineRule="auto"/>
              <w:jc w:val="right"/>
            </w:pPr>
            <w:r>
              <w:rPr>
                <w:rFonts w:ascii="Arial" w:hAnsi="Arial"/>
                <w:sz w:val="15"/>
              </w:rPr>
              <w:t xml:space="preserve">–</w:t>
            </w:r>
          </w:p>
        </w:tc>
        <w:tc>
          <w:tcPr>
            <w:tcW w:type="dxa" w:w="2083"/>
            <w:shd w:val="clear" w:color="auto" w:fill="F1F2F5"/>
          </w:tcPr>
          <w:p>
            <w:pPr>
              <w:pStyle w:val="Compact"/>
              <w:spacing w:after="0" w:before="0" w:line="240" w:lineRule="auto"/>
              <w:jc w:val="right"/>
            </w:pPr>
            <w:r>
              <w:rPr>
                <w:rFonts w:ascii="Arial" w:hAnsi="Arial"/>
                <w:sz w:val="15"/>
              </w:rPr>
              <w:t xml:space="preserve">9.62 (2)</w:t>
            </w:r>
          </w:p>
        </w:tc>
        <w:tc>
          <w:tcPr>
            <w:tcW w:type="dxa" w:w="1583"/>
            <w:shd w:val="clear" w:color="auto" w:fill="F1F2F5"/>
          </w:tcPr>
          <w:p>
            <w:pPr>
              <w:pStyle w:val="Compact"/>
              <w:spacing w:after="0" w:before="0" w:line="240" w:lineRule="auto"/>
              <w:jc w:val="right"/>
            </w:pPr>
            <w:r>
              <w:rPr>
                <w:rFonts w:ascii="Arial" w:hAnsi="Arial"/>
                <w:sz w:val="15"/>
              </w:rPr>
              <w:t xml:space="preserve">+85%</w:t>
            </w:r>
          </w:p>
        </w:tc>
      </w:tr>
    </w:tbl>
    <w:p>
      <w:pPr>
        <w:pStyle w:val="BodyText"/>
      </w:pPr>
      <w:r>
        <w:rPr>
          <w:iCs/>
          <w:i/>
        </w:rPr>
        <w:t xml:space="preserve">Source: S&amp;P Capital IQ (financials, quarterly estimates), Quartr and Investing.com summaries [u] for adjusted OP and segment colour. The quarterly consensus base was thin and appears stale, so the size of the beat is overstated. Olympus does not guide quarterly.</w:t>
      </w:r>
    </w:p>
    <w:bookmarkEnd w:id="71"/>
    <w:bookmarkStart w:id="72" w:name="segment-and-regional-drivers"/>
    <w:p>
      <w:pPr>
        <w:pStyle w:val="Heading2"/>
      </w:pPr>
      <w:r>
        <w:t xml:space="preserve">Segment and regional drivers</w:t>
      </w:r>
    </w:p>
    <w:p>
      <w:pPr>
        <w:numPr>
          <w:ilvl w:val="0"/>
          <w:numId w:val="1023"/>
        </w:numPr>
        <w:pStyle w:val="Compact"/>
      </w:pPr>
      <w:r>
        <w:rPr>
          <w:bCs/>
          <w:b/>
        </w:rPr>
        <w:t xml:space="preserve">GIS drove the quarter.</w:t>
      </w:r>
      <w:r>
        <w:t xml:space="preserve"> </w:t>
      </w:r>
      <w:r>
        <w:t xml:space="preserve">North America was strong on EDOF scopes and EVIS X1 placements after the 3Q FY3/26</w:t>
      </w:r>
      <w:r>
        <w:t xml:space="preserve"> </w:t>
      </w:r>
      <w:r>
        <w:t xml:space="preserve">“</w:t>
      </w:r>
      <w:r>
        <w:t xml:space="preserve">execution fix</w:t>
      </w:r>
      <w:r>
        <w:t xml:space="preserve">”</w:t>
      </w:r>
      <w:r>
        <w:t xml:space="preserve">. Comparisons were easy: 1Q FY3/26 was -12% on purchase delays before the EDOF launch. Europe and APAC were described as positive [u].</w:t>
      </w:r>
    </w:p>
    <w:p>
      <w:pPr>
        <w:numPr>
          <w:ilvl w:val="0"/>
          <w:numId w:val="1023"/>
        </w:numPr>
        <w:pStyle w:val="Compact"/>
      </w:pPr>
      <w:r>
        <w:rPr>
          <w:bCs/>
          <w:b/>
        </w:rPr>
        <w:t xml:space="preserve">SIS:</w:t>
      </w:r>
      <w:r>
        <w:t xml:space="preserve"> </w:t>
      </w:r>
      <w:r>
        <w:t xml:space="preserve">some products stay on ship-hold through 1H, with recovery expected in 2H. BioProtect (~US$14.5m of 2025 revenue) was consolidated from June.</w:t>
      </w:r>
    </w:p>
    <w:p>
      <w:pPr>
        <w:numPr>
          <w:ilvl w:val="0"/>
          <w:numId w:val="1023"/>
        </w:numPr>
        <w:pStyle w:val="Compact"/>
      </w:pPr>
      <w:r>
        <w:rPr>
          <w:bCs/>
          <w:b/>
        </w:rPr>
        <w:t xml:space="preserve">China: about -17% cc</w:t>
      </w:r>
      <w:r>
        <w:t xml:space="preserve"> </w:t>
      </w:r>
      <w:r>
        <w:t xml:space="preserve">[u], after +6% in 3Q FY3/26 and weak 4Q procurement.</w:t>
      </w:r>
    </w:p>
    <w:p>
      <w:pPr>
        <w:numPr>
          <w:ilvl w:val="0"/>
          <w:numId w:val="1023"/>
        </w:numPr>
        <w:pStyle w:val="Compact"/>
      </w:pPr>
      <w:r>
        <w:rPr>
          <w:iCs/>
          <w:i/>
        </w:rPr>
        <w:t xml:space="preserve">Segment and regional figures for 1Q FY3/27 are not verified: the Aug-2026 tanshin was not retrievable from this environment.</w:t>
      </w:r>
    </w:p>
    <w:bookmarkEnd w:id="72"/>
    <w:bookmarkStart w:id="73" w:name="margin-trends-and-why"/>
    <w:p>
      <w:pPr>
        <w:pStyle w:val="Heading2"/>
      </w:pPr>
      <w:r>
        <w:t xml:space="preserve">Margin trends and why</w:t>
      </w:r>
    </w:p>
    <w:p>
      <w:pPr>
        <w:numPr>
          <w:ilvl w:val="0"/>
          <w:numId w:val="1024"/>
        </w:numPr>
        <w:pStyle w:val="Compact"/>
      </w:pPr>
      <w:r>
        <w:rPr>
          <w:bCs/>
          <w:b/>
        </w:rPr>
        <w:t xml:space="preserve">Gross margin of 65.2% was flat YoY,</w:t>
      </w:r>
      <w:r>
        <w:t xml:space="preserve"> </w:t>
      </w:r>
      <w:r>
        <w:t xml:space="preserve">recovering from the 63.2% trough in 3Q FY3/26 when ship-hold, recall and inventory costs hit. It still absorbs the 15% US tariff.</w:t>
      </w:r>
    </w:p>
    <w:p>
      <w:pPr>
        <w:numPr>
          <w:ilvl w:val="0"/>
          <w:numId w:val="1024"/>
        </w:numPr>
        <w:pStyle w:val="Compact"/>
      </w:pPr>
      <w:r>
        <w:rPr>
          <w:bCs/>
          <w:b/>
        </w:rPr>
        <w:t xml:space="preserve">Operating leverage did the work.</w:t>
      </w:r>
      <w:r>
        <w:t xml:space="preserve"> </w:t>
      </w:r>
      <w:r>
        <w:t xml:space="preserve">SG&amp;A fell to</w:t>
      </w:r>
      <w:r>
        <w:t xml:space="preserve"> </w:t>
      </w:r>
      <w:r>
        <w:rPr>
          <w:bCs/>
          <w:b/>
        </w:rPr>
        <w:t xml:space="preserve">52.0% of sales from 59.2%</w:t>
      </w:r>
      <w:r>
        <w:t xml:space="preserve">: SG&amp;A grew 2.3% while revenue grew 16.4%. The drivers were the ~2,000-role cut, the end of Elevate one-offs and the SG&amp;A rule.</w:t>
      </w:r>
    </w:p>
    <w:p>
      <w:pPr>
        <w:numPr>
          <w:ilvl w:val="0"/>
          <w:numId w:val="1024"/>
        </w:numPr>
        <w:pStyle w:val="Compact"/>
      </w:pPr>
      <w:r>
        <w:rPr>
          <w:bCs/>
          <w:b/>
        </w:rPr>
        <w:t xml:space="preserve">Watch item:</w:t>
      </w:r>
      <w:r>
        <w:t xml:space="preserve"> </w:t>
      </w:r>
      <w:r>
        <w:t xml:space="preserve">the gap between adjusted OP and OP was only ~JPY1.7bn in 1Q, against ~JPY24bn guided for the year. Either restructuring and quality costs fall later in the year, or the guide is conservative [e]. We assume the former, plus ~JPY5–8bn of Warning-Letter-related spend.</w:t>
      </w:r>
    </w:p>
    <w:bookmarkEnd w:id="73"/>
    <w:bookmarkStart w:id="74" w:name="X10d3fc230057c85adafcc836728c95b543dfb7f"/>
    <w:p>
      <w:pPr>
        <w:pStyle w:val="Heading2"/>
      </w:pPr>
      <w:r>
        <w:t xml:space="preserve">Guidance and outlook (FY3/27, reaffirmed 7-Aug-2026)</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992"/>
        <w:gridCol w:w="1113"/>
        <w:gridCol w:w="1141"/>
        <w:gridCol w:w="1589"/>
        <w:gridCol w:w="1732"/>
        <w:gridCol w:w="1408"/>
      </w:tblGrid>
      <w:tr>
        <w:trPr>
          <w:tblHeader w:val="true"/>
          <w:tblHeader w:val="true"/>
          <w:cantSplit/>
        </w:trPr>
        <w:tc>
          <w:tcPr>
            <w:tcW w:type="dxa" w:w="2993"/>
            <w:shd w:val="clear" w:color="auto" w:fill="13213F"/>
          </w:tcPr>
          <w:p>
            <w:pPr>
              <w:pStyle w:val="Compact"/>
              <w:spacing w:after="0" w:before="0" w:line="240" w:lineRule="auto"/>
            </w:pPr>
          </w:p>
        </w:tc>
        <w:tc>
          <w:tcPr>
            <w:tcW w:type="dxa" w:w="1113"/>
            <w:shd w:val="clear" w:color="auto" w:fill="13213F"/>
          </w:tcPr>
          <w:p>
            <w:pPr>
              <w:pStyle w:val="Compact"/>
              <w:spacing w:after="0" w:before="0" w:line="240" w:lineRule="auto"/>
              <w:jc w:val="right"/>
            </w:pPr>
            <w:r>
              <w:rPr>
                <w:rFonts w:ascii="Arial" w:hAnsi="Arial"/>
                <w:b/>
                <w:color w:val="FFFFFF"/>
                <w:sz w:val="15"/>
              </w:rPr>
              <w:t xml:space="preserve">Low</w:t>
            </w:r>
          </w:p>
        </w:tc>
        <w:tc>
          <w:tcPr>
            <w:tcW w:type="dxa" w:w="1142"/>
            <w:shd w:val="clear" w:color="auto" w:fill="13213F"/>
          </w:tcPr>
          <w:p>
            <w:pPr>
              <w:pStyle w:val="Compact"/>
              <w:spacing w:after="0" w:before="0" w:line="240" w:lineRule="auto"/>
              <w:jc w:val="right"/>
            </w:pPr>
            <w:r>
              <w:rPr>
                <w:rFonts w:ascii="Arial" w:hAnsi="Arial"/>
                <w:b/>
                <w:color w:val="FFFFFF"/>
                <w:sz w:val="15"/>
              </w:rPr>
              <w:t xml:space="preserve">High</w:t>
            </w:r>
          </w:p>
        </w:tc>
        <w:tc>
          <w:tcPr>
            <w:tcW w:type="dxa" w:w="1589"/>
            <w:shd w:val="clear" w:color="auto" w:fill="13213F"/>
          </w:tcPr>
          <w:p>
            <w:pPr>
              <w:pStyle w:val="Compact"/>
              <w:spacing w:after="0" w:before="0" w:line="240" w:lineRule="auto"/>
              <w:jc w:val="right"/>
            </w:pPr>
            <w:r>
              <w:rPr>
                <w:rFonts w:ascii="Arial" w:hAnsi="Arial"/>
                <w:b/>
                <w:color w:val="FFFFFF"/>
                <w:sz w:val="15"/>
              </w:rPr>
              <w:t xml:space="preserve">Midpoint</w:t>
            </w:r>
          </w:p>
        </w:tc>
        <w:tc>
          <w:tcPr>
            <w:tcW w:type="dxa" w:w="1732"/>
            <w:shd w:val="clear" w:color="auto" w:fill="13213F"/>
          </w:tcPr>
          <w:p>
            <w:pPr>
              <w:pStyle w:val="Compact"/>
              <w:spacing w:after="0" w:before="0" w:line="240" w:lineRule="auto"/>
              <w:jc w:val="right"/>
            </w:pPr>
            <w:r>
              <w:rPr>
                <w:rFonts w:ascii="Arial" w:hAnsi="Arial"/>
                <w:b/>
                <w:color w:val="FFFFFF"/>
                <w:sz w:val="15"/>
              </w:rPr>
              <w:t xml:space="preserve">Consensus</w:t>
            </w:r>
          </w:p>
        </w:tc>
        <w:tc>
          <w:tcPr>
            <w:tcW w:type="dxa" w:w="1409"/>
            <w:shd w:val="clear" w:color="auto" w:fill="13213F"/>
          </w:tcPr>
          <w:p>
            <w:pPr>
              <w:pStyle w:val="Compact"/>
              <w:spacing w:after="0" w:before="0" w:line="240" w:lineRule="auto"/>
              <w:jc w:val="right"/>
            </w:pPr>
            <w:r>
              <w:rPr>
                <w:rFonts w:ascii="Arial" w:hAnsi="Arial"/>
                <w:b/>
                <w:color w:val="FFFFFF"/>
                <w:sz w:val="15"/>
              </w:rPr>
              <w:t xml:space="preserve">Ours</w:t>
            </w:r>
          </w:p>
        </w:tc>
      </w:tr>
      <w:tr>
        <w:trPr>
          <w:cantSplit/>
        </w:trPr>
        <w:tc>
          <w:tcPr>
            <w:tcW w:type="dxa" w:w="2993"/>
          </w:tcPr>
          <w:p>
            <w:pPr>
              <w:pStyle w:val="Compact"/>
              <w:spacing w:after="0" w:before="0" w:line="240" w:lineRule="auto"/>
              <w:jc w:val="left"/>
            </w:pPr>
            <w:r>
              <w:rPr>
                <w:rFonts w:ascii="Arial" w:hAnsi="Arial"/>
                <w:sz w:val="15"/>
              </w:rPr>
              <w:t xml:space="preserve">Revenue (JPY bn)</w:t>
            </w:r>
          </w:p>
        </w:tc>
        <w:tc>
          <w:tcPr>
            <w:tcW w:type="dxa" w:w="1113"/>
          </w:tcPr>
          <w:p>
            <w:pPr>
              <w:pStyle w:val="Compact"/>
              <w:spacing w:after="0" w:before="0" w:line="240" w:lineRule="auto"/>
              <w:jc w:val="right"/>
            </w:pPr>
            <w:r>
              <w:rPr>
                <w:rFonts w:ascii="Arial" w:hAnsi="Arial"/>
                <w:sz w:val="15"/>
              </w:rPr>
              <w:t xml:space="preserve">1,055</w:t>
            </w:r>
          </w:p>
        </w:tc>
        <w:tc>
          <w:tcPr>
            <w:tcW w:type="dxa" w:w="1142"/>
          </w:tcPr>
          <w:p>
            <w:pPr>
              <w:pStyle w:val="Compact"/>
              <w:spacing w:after="0" w:before="0" w:line="240" w:lineRule="auto"/>
              <w:jc w:val="right"/>
            </w:pPr>
            <w:r>
              <w:rPr>
                <w:rFonts w:ascii="Arial" w:hAnsi="Arial"/>
                <w:sz w:val="15"/>
              </w:rPr>
              <w:t xml:space="preserve">1,076</w:t>
            </w:r>
          </w:p>
        </w:tc>
        <w:tc>
          <w:tcPr>
            <w:tcW w:type="dxa" w:w="1589"/>
          </w:tcPr>
          <w:p>
            <w:pPr>
              <w:pStyle w:val="Compact"/>
              <w:spacing w:after="0" w:before="0" w:line="240" w:lineRule="auto"/>
              <w:jc w:val="right"/>
            </w:pPr>
            <w:r>
              <w:rPr>
                <w:rFonts w:ascii="Arial" w:hAnsi="Arial"/>
                <w:sz w:val="15"/>
              </w:rPr>
              <w:t xml:space="preserve">1,065.5</w:t>
            </w:r>
          </w:p>
        </w:tc>
        <w:tc>
          <w:tcPr>
            <w:tcW w:type="dxa" w:w="1732"/>
          </w:tcPr>
          <w:p>
            <w:pPr>
              <w:pStyle w:val="Compact"/>
              <w:spacing w:after="0" w:before="0" w:line="240" w:lineRule="auto"/>
              <w:jc w:val="right"/>
            </w:pPr>
            <w:r>
              <w:rPr>
                <w:rFonts w:ascii="Arial" w:hAnsi="Arial"/>
                <w:sz w:val="15"/>
              </w:rPr>
              <w:t xml:space="preserve">1,082.2</w:t>
            </w:r>
          </w:p>
        </w:tc>
        <w:tc>
          <w:tcPr>
            <w:tcW w:type="dxa" w:w="1409"/>
          </w:tcPr>
          <w:p>
            <w:pPr>
              <w:pStyle w:val="Compact"/>
              <w:spacing w:after="0" w:before="0" w:line="240" w:lineRule="auto"/>
              <w:jc w:val="right"/>
            </w:pPr>
            <w:r>
              <w:rPr>
                <w:rFonts w:ascii="Arial" w:hAnsi="Arial"/>
                <w:sz w:val="15"/>
              </w:rPr>
              <w:t xml:space="preserve">1,071.9</w:t>
            </w:r>
          </w:p>
        </w:tc>
      </w:tr>
      <w:tr>
        <w:trPr>
          <w:cantSplit/>
        </w:trPr>
        <w:tc>
          <w:tcPr>
            <w:tcW w:type="dxa" w:w="2993"/>
            <w:shd w:val="clear" w:color="auto" w:fill="F1F2F5"/>
          </w:tcPr>
          <w:p>
            <w:pPr>
              <w:pStyle w:val="Compact"/>
              <w:spacing w:after="0" w:before="0" w:line="240" w:lineRule="auto"/>
              <w:jc w:val="left"/>
            </w:pPr>
            <w:r>
              <w:rPr>
                <w:rFonts w:ascii="Arial" w:hAnsi="Arial"/>
                <w:sz w:val="15"/>
              </w:rPr>
              <w:t xml:space="preserve">Adjusted OP margin</w:t>
            </w:r>
          </w:p>
        </w:tc>
        <w:tc>
          <w:tcPr>
            <w:tcW w:type="dxa" w:w="1113"/>
            <w:shd w:val="clear" w:color="auto" w:fill="F1F2F5"/>
          </w:tcPr>
          <w:p>
            <w:pPr>
              <w:pStyle w:val="Compact"/>
              <w:spacing w:after="0" w:before="0" w:line="240" w:lineRule="auto"/>
              <w:jc w:val="right"/>
            </w:pPr>
            <w:r>
              <w:rPr>
                <w:rFonts w:ascii="Arial" w:hAnsi="Arial"/>
                <w:sz w:val="15"/>
              </w:rPr>
              <w:t xml:space="preserve">15.2%</w:t>
            </w:r>
          </w:p>
        </w:tc>
        <w:tc>
          <w:tcPr>
            <w:tcW w:type="dxa" w:w="1142"/>
            <w:shd w:val="clear" w:color="auto" w:fill="F1F2F5"/>
          </w:tcPr>
          <w:p>
            <w:pPr>
              <w:pStyle w:val="Compact"/>
              <w:spacing w:after="0" w:before="0" w:line="240" w:lineRule="auto"/>
              <w:jc w:val="right"/>
            </w:pPr>
            <w:r>
              <w:rPr>
                <w:rFonts w:ascii="Arial" w:hAnsi="Arial"/>
                <w:sz w:val="15"/>
              </w:rPr>
              <w:t xml:space="preserve">16.7%</w:t>
            </w:r>
          </w:p>
        </w:tc>
        <w:tc>
          <w:tcPr>
            <w:tcW w:type="dxa" w:w="1589"/>
            <w:shd w:val="clear" w:color="auto" w:fill="F1F2F5"/>
          </w:tcPr>
          <w:p>
            <w:pPr>
              <w:pStyle w:val="Compact"/>
              <w:spacing w:after="0" w:before="0" w:line="240" w:lineRule="auto"/>
              <w:jc w:val="right"/>
            </w:pPr>
            <w:r>
              <w:rPr>
                <w:rFonts w:ascii="Arial" w:hAnsi="Arial"/>
                <w:sz w:val="15"/>
              </w:rPr>
              <w:t xml:space="preserve">16.0%</w:t>
            </w:r>
          </w:p>
        </w:tc>
        <w:tc>
          <w:tcPr>
            <w:tcW w:type="dxa" w:w="1732"/>
            <w:shd w:val="clear" w:color="auto" w:fill="F1F2F5"/>
          </w:tcPr>
          <w:p>
            <w:pPr>
              <w:pStyle w:val="Compact"/>
              <w:spacing w:after="0" w:before="0" w:line="240" w:lineRule="auto"/>
              <w:jc w:val="right"/>
            </w:pPr>
            <w:r>
              <w:rPr>
                <w:rFonts w:ascii="Arial" w:hAnsi="Arial"/>
                <w:sz w:val="15"/>
              </w:rPr>
              <w:t xml:space="preserve">n/a</w:t>
            </w:r>
          </w:p>
        </w:tc>
        <w:tc>
          <w:tcPr>
            <w:tcW w:type="dxa" w:w="1409"/>
            <w:shd w:val="clear" w:color="auto" w:fill="F1F2F5"/>
          </w:tcPr>
          <w:p>
            <w:pPr>
              <w:pStyle w:val="Compact"/>
              <w:spacing w:after="0" w:before="0" w:line="240" w:lineRule="auto"/>
              <w:jc w:val="right"/>
            </w:pPr>
            <w:r>
              <w:rPr>
                <w:rFonts w:ascii="Arial" w:hAnsi="Arial"/>
                <w:sz w:val="15"/>
              </w:rPr>
              <w:t xml:space="preserve">16.0%</w:t>
            </w:r>
          </w:p>
        </w:tc>
      </w:tr>
      <w:tr>
        <w:trPr>
          <w:cantSplit/>
        </w:trPr>
        <w:tc>
          <w:tcPr>
            <w:tcW w:type="dxa" w:w="2993"/>
          </w:tcPr>
          <w:p>
            <w:pPr>
              <w:pStyle w:val="Compact"/>
              <w:spacing w:after="0" w:before="0" w:line="240" w:lineRule="auto"/>
              <w:jc w:val="left"/>
            </w:pPr>
            <w:r>
              <w:rPr>
                <w:rFonts w:ascii="Arial" w:hAnsi="Arial"/>
                <w:sz w:val="15"/>
              </w:rPr>
              <w:t xml:space="preserve">Operating profit (JPY bn)</w:t>
            </w:r>
          </w:p>
        </w:tc>
        <w:tc>
          <w:tcPr>
            <w:tcW w:type="dxa" w:w="1113"/>
          </w:tcPr>
          <w:p>
            <w:pPr>
              <w:pStyle w:val="Compact"/>
              <w:spacing w:after="0" w:before="0" w:line="240" w:lineRule="auto"/>
              <w:jc w:val="right"/>
            </w:pPr>
            <w:r>
              <w:rPr>
                <w:rFonts w:ascii="Arial" w:hAnsi="Arial"/>
                <w:sz w:val="15"/>
              </w:rPr>
              <w:t xml:space="preserve">136.5</w:t>
            </w:r>
          </w:p>
        </w:tc>
        <w:tc>
          <w:tcPr>
            <w:tcW w:type="dxa" w:w="1142"/>
          </w:tcPr>
          <w:p>
            <w:pPr>
              <w:pStyle w:val="Compact"/>
              <w:spacing w:after="0" w:before="0" w:line="240" w:lineRule="auto"/>
              <w:jc w:val="right"/>
            </w:pPr>
            <w:r>
              <w:rPr>
                <w:rFonts w:ascii="Arial" w:hAnsi="Arial"/>
                <w:sz w:val="15"/>
              </w:rPr>
              <w:t xml:space="preserve">155.5</w:t>
            </w:r>
          </w:p>
        </w:tc>
        <w:tc>
          <w:tcPr>
            <w:tcW w:type="dxa" w:w="1589"/>
          </w:tcPr>
          <w:p>
            <w:pPr>
              <w:pStyle w:val="Compact"/>
              <w:spacing w:after="0" w:before="0" w:line="240" w:lineRule="auto"/>
              <w:jc w:val="right"/>
            </w:pPr>
            <w:r>
              <w:rPr>
                <w:rFonts w:ascii="Arial" w:hAnsi="Arial"/>
                <w:sz w:val="15"/>
              </w:rPr>
              <w:t xml:space="preserve">146.0</w:t>
            </w:r>
          </w:p>
        </w:tc>
        <w:tc>
          <w:tcPr>
            <w:tcW w:type="dxa" w:w="1732"/>
          </w:tcPr>
          <w:p>
            <w:pPr>
              <w:pStyle w:val="Compact"/>
              <w:spacing w:after="0" w:before="0" w:line="240" w:lineRule="auto"/>
              <w:jc w:val="right"/>
            </w:pPr>
            <w:r>
              <w:rPr>
                <w:rFonts w:ascii="Arial" w:hAnsi="Arial"/>
                <w:sz w:val="15"/>
              </w:rPr>
              <w:t xml:space="preserve">150.4</w:t>
            </w:r>
          </w:p>
        </w:tc>
        <w:tc>
          <w:tcPr>
            <w:tcW w:type="dxa" w:w="1409"/>
          </w:tcPr>
          <w:p>
            <w:pPr>
              <w:pStyle w:val="Compact"/>
              <w:spacing w:after="0" w:before="0" w:line="240" w:lineRule="auto"/>
              <w:jc w:val="right"/>
            </w:pPr>
            <w:r>
              <w:rPr>
                <w:rFonts w:ascii="Arial" w:hAnsi="Arial"/>
                <w:sz w:val="15"/>
              </w:rPr>
              <w:t xml:space="preserve">145.0</w:t>
            </w:r>
          </w:p>
        </w:tc>
      </w:tr>
      <w:tr>
        <w:trPr>
          <w:cantSplit/>
        </w:trPr>
        <w:tc>
          <w:tcPr>
            <w:tcW w:type="dxa" w:w="2993"/>
            <w:shd w:val="clear" w:color="auto" w:fill="F1F2F5"/>
          </w:tcPr>
          <w:p>
            <w:pPr>
              <w:pStyle w:val="Compact"/>
              <w:spacing w:after="0" w:before="0" w:line="240" w:lineRule="auto"/>
              <w:jc w:val="left"/>
            </w:pPr>
            <w:r>
              <w:rPr>
                <w:rFonts w:ascii="Arial" w:hAnsi="Arial"/>
                <w:sz w:val="15"/>
              </w:rPr>
              <w:t xml:space="preserve">Net income (JPY bn)</w:t>
            </w:r>
          </w:p>
        </w:tc>
        <w:tc>
          <w:tcPr>
            <w:tcW w:type="dxa" w:w="1113"/>
            <w:shd w:val="clear" w:color="auto" w:fill="F1F2F5"/>
          </w:tcPr>
          <w:p>
            <w:pPr>
              <w:pStyle w:val="Compact"/>
              <w:spacing w:after="0" w:before="0" w:line="240" w:lineRule="auto"/>
              <w:jc w:val="right"/>
            </w:pPr>
            <w:r>
              <w:rPr>
                <w:rFonts w:ascii="Arial" w:hAnsi="Arial"/>
                <w:sz w:val="15"/>
              </w:rPr>
              <w:t xml:space="preserve">95.5</w:t>
            </w:r>
          </w:p>
        </w:tc>
        <w:tc>
          <w:tcPr>
            <w:tcW w:type="dxa" w:w="1142"/>
            <w:shd w:val="clear" w:color="auto" w:fill="F1F2F5"/>
          </w:tcPr>
          <w:p>
            <w:pPr>
              <w:pStyle w:val="Compact"/>
              <w:spacing w:after="0" w:before="0" w:line="240" w:lineRule="auto"/>
              <w:jc w:val="right"/>
            </w:pPr>
            <w:r>
              <w:rPr>
                <w:rFonts w:ascii="Arial" w:hAnsi="Arial"/>
                <w:sz w:val="15"/>
              </w:rPr>
              <w:t xml:space="preserve">109.0</w:t>
            </w:r>
          </w:p>
        </w:tc>
        <w:tc>
          <w:tcPr>
            <w:tcW w:type="dxa" w:w="1589"/>
            <w:shd w:val="clear" w:color="auto" w:fill="F1F2F5"/>
          </w:tcPr>
          <w:p>
            <w:pPr>
              <w:pStyle w:val="Compact"/>
              <w:spacing w:after="0" w:before="0" w:line="240" w:lineRule="auto"/>
              <w:jc w:val="right"/>
            </w:pPr>
            <w:r>
              <w:rPr>
                <w:rFonts w:ascii="Arial" w:hAnsi="Arial"/>
                <w:sz w:val="15"/>
              </w:rPr>
              <w:t xml:space="preserve">102.3</w:t>
            </w:r>
          </w:p>
        </w:tc>
        <w:tc>
          <w:tcPr>
            <w:tcW w:type="dxa" w:w="1732"/>
            <w:shd w:val="clear" w:color="auto" w:fill="F1F2F5"/>
          </w:tcPr>
          <w:p>
            <w:pPr>
              <w:pStyle w:val="Compact"/>
              <w:spacing w:after="0" w:before="0" w:line="240" w:lineRule="auto"/>
              <w:jc w:val="right"/>
            </w:pPr>
            <w:r>
              <w:rPr>
                <w:rFonts w:ascii="Arial" w:hAnsi="Arial"/>
                <w:sz w:val="15"/>
              </w:rPr>
              <w:t xml:space="preserve">105.5</w:t>
            </w:r>
          </w:p>
        </w:tc>
        <w:tc>
          <w:tcPr>
            <w:tcW w:type="dxa" w:w="1409"/>
            <w:shd w:val="clear" w:color="auto" w:fill="F1F2F5"/>
          </w:tcPr>
          <w:p>
            <w:pPr>
              <w:pStyle w:val="Compact"/>
              <w:spacing w:after="0" w:before="0" w:line="240" w:lineRule="auto"/>
              <w:jc w:val="right"/>
            </w:pPr>
            <w:r>
              <w:rPr>
                <w:rFonts w:ascii="Arial" w:hAnsi="Arial"/>
                <w:sz w:val="15"/>
              </w:rPr>
              <w:t xml:space="preserve">99.3</w:t>
            </w:r>
          </w:p>
        </w:tc>
      </w:tr>
      <w:tr>
        <w:trPr>
          <w:cantSplit/>
        </w:trPr>
        <w:tc>
          <w:tcPr>
            <w:tcW w:type="dxa" w:w="2993"/>
          </w:tcPr>
          <w:p>
            <w:pPr>
              <w:pStyle w:val="Compact"/>
              <w:spacing w:after="0" w:before="0" w:line="240" w:lineRule="auto"/>
              <w:jc w:val="left"/>
            </w:pPr>
            <w:r>
              <w:rPr>
                <w:rFonts w:ascii="Arial" w:hAnsi="Arial"/>
                <w:sz w:val="15"/>
              </w:rPr>
              <w:t xml:space="preserve">EPS (JPY)</w:t>
            </w:r>
          </w:p>
        </w:tc>
        <w:tc>
          <w:tcPr>
            <w:tcW w:type="dxa" w:w="1113"/>
          </w:tcPr>
          <w:p>
            <w:pPr>
              <w:pStyle w:val="Compact"/>
              <w:spacing w:after="0" w:before="0" w:line="240" w:lineRule="auto"/>
              <w:jc w:val="right"/>
            </w:pPr>
            <w:r>
              <w:rPr>
                <w:rFonts w:ascii="Arial" w:hAnsi="Arial"/>
                <w:sz w:val="15"/>
              </w:rPr>
              <w:t xml:space="preserve">89.6</w:t>
            </w:r>
          </w:p>
        </w:tc>
        <w:tc>
          <w:tcPr>
            <w:tcW w:type="dxa" w:w="1142"/>
          </w:tcPr>
          <w:p>
            <w:pPr>
              <w:pStyle w:val="Compact"/>
              <w:spacing w:after="0" w:before="0" w:line="240" w:lineRule="auto"/>
              <w:jc w:val="right"/>
            </w:pPr>
            <w:r>
              <w:rPr>
                <w:rFonts w:ascii="Arial" w:hAnsi="Arial"/>
                <w:sz w:val="15"/>
              </w:rPr>
              <w:t xml:space="preserve">102.2</w:t>
            </w:r>
          </w:p>
        </w:tc>
        <w:tc>
          <w:tcPr>
            <w:tcW w:type="dxa" w:w="1589"/>
          </w:tcPr>
          <w:p>
            <w:pPr>
              <w:pStyle w:val="Compact"/>
              <w:spacing w:after="0" w:before="0" w:line="240" w:lineRule="auto"/>
              <w:jc w:val="right"/>
            </w:pPr>
            <w:r>
              <w:rPr>
                <w:rFonts w:ascii="Arial" w:hAnsi="Arial"/>
                <w:sz w:val="15"/>
              </w:rPr>
              <w:t xml:space="preserve">95.9</w:t>
            </w:r>
          </w:p>
        </w:tc>
        <w:tc>
          <w:tcPr>
            <w:tcW w:type="dxa" w:w="1732"/>
          </w:tcPr>
          <w:p>
            <w:pPr>
              <w:pStyle w:val="Compact"/>
              <w:spacing w:after="0" w:before="0" w:line="240" w:lineRule="auto"/>
              <w:jc w:val="right"/>
            </w:pPr>
            <w:r>
              <w:rPr>
                <w:rFonts w:ascii="Arial" w:hAnsi="Arial"/>
                <w:sz w:val="15"/>
              </w:rPr>
              <w:t xml:space="preserve">98.0</w:t>
            </w:r>
          </w:p>
        </w:tc>
        <w:tc>
          <w:tcPr>
            <w:tcW w:type="dxa" w:w="1409"/>
          </w:tcPr>
          <w:p>
            <w:pPr>
              <w:pStyle w:val="Compact"/>
              <w:spacing w:after="0" w:before="0" w:line="240" w:lineRule="auto"/>
              <w:jc w:val="right"/>
            </w:pPr>
            <w:r>
              <w:rPr>
                <w:rFonts w:ascii="Arial" w:hAnsi="Arial"/>
                <w:sz w:val="15"/>
              </w:rPr>
              <w:t xml:space="preserve">93.1</w:t>
            </w:r>
          </w:p>
        </w:tc>
      </w:tr>
      <w:tr>
        <w:trPr>
          <w:cantSplit/>
        </w:trPr>
        <w:tc>
          <w:tcPr>
            <w:tcW w:type="dxa" w:w="2993"/>
            <w:shd w:val="clear" w:color="auto" w:fill="F1F2F5"/>
          </w:tcPr>
          <w:p>
            <w:pPr>
              <w:pStyle w:val="Compact"/>
              <w:spacing w:after="0" w:before="0" w:line="240" w:lineRule="auto"/>
              <w:jc w:val="left"/>
            </w:pPr>
            <w:r>
              <w:rPr>
                <w:rFonts w:ascii="Arial" w:hAnsi="Arial"/>
                <w:sz w:val="15"/>
              </w:rPr>
              <w:t xml:space="preserve">DPS (JPY)</w:t>
            </w:r>
          </w:p>
        </w:tc>
        <w:tc>
          <w:tcPr>
            <w:tcW w:type="dxa" w:w="1113"/>
            <w:shd w:val="clear" w:color="auto" w:fill="F1F2F5"/>
          </w:tcPr>
          <w:p>
            <w:pPr>
              <w:pStyle w:val="Compact"/>
              <w:spacing w:after="0" w:before="0" w:line="240" w:lineRule="auto"/>
              <w:jc w:val="right"/>
            </w:pPr>
            <w:r>
              <w:rPr>
                <w:rFonts w:ascii="Arial" w:hAnsi="Arial"/>
                <w:sz w:val="15"/>
              </w:rPr>
              <w:t xml:space="preserve">30</w:t>
            </w:r>
          </w:p>
        </w:tc>
        <w:tc>
          <w:tcPr>
            <w:tcW w:type="dxa" w:w="1142"/>
            <w:shd w:val="clear" w:color="auto" w:fill="F1F2F5"/>
          </w:tcPr>
          <w:p>
            <w:pPr>
              <w:pStyle w:val="Compact"/>
              <w:spacing w:after="0" w:before="0" w:line="240" w:lineRule="auto"/>
              <w:jc w:val="right"/>
            </w:pPr>
            <w:r>
              <w:rPr>
                <w:rFonts w:ascii="Arial" w:hAnsi="Arial"/>
                <w:sz w:val="15"/>
              </w:rPr>
              <w:t xml:space="preserve">30</w:t>
            </w:r>
          </w:p>
        </w:tc>
        <w:tc>
          <w:tcPr>
            <w:tcW w:type="dxa" w:w="1589"/>
            <w:shd w:val="clear" w:color="auto" w:fill="F1F2F5"/>
          </w:tcPr>
          <w:p>
            <w:pPr>
              <w:pStyle w:val="Compact"/>
              <w:spacing w:after="0" w:before="0" w:line="240" w:lineRule="auto"/>
              <w:jc w:val="right"/>
            </w:pPr>
            <w:r>
              <w:rPr>
                <w:rFonts w:ascii="Arial" w:hAnsi="Arial"/>
                <w:sz w:val="15"/>
              </w:rPr>
              <w:t xml:space="preserve">30</w:t>
            </w:r>
          </w:p>
        </w:tc>
        <w:tc>
          <w:tcPr>
            <w:tcW w:type="dxa" w:w="1732"/>
            <w:shd w:val="clear" w:color="auto" w:fill="F1F2F5"/>
          </w:tcPr>
          <w:p>
            <w:pPr>
              <w:pStyle w:val="Compact"/>
              <w:spacing w:after="0" w:before="0" w:line="240" w:lineRule="auto"/>
              <w:jc w:val="right"/>
            </w:pPr>
            <w:r>
              <w:rPr>
                <w:rFonts w:ascii="Arial" w:hAnsi="Arial"/>
                <w:sz w:val="15"/>
              </w:rPr>
              <w:t xml:space="preserve">30.6</w:t>
            </w:r>
          </w:p>
        </w:tc>
        <w:tc>
          <w:tcPr>
            <w:tcW w:type="dxa" w:w="1409"/>
            <w:shd w:val="clear" w:color="auto" w:fill="F1F2F5"/>
          </w:tcPr>
          <w:p>
            <w:pPr>
              <w:pStyle w:val="Compact"/>
              <w:spacing w:after="0" w:before="0" w:line="240" w:lineRule="auto"/>
              <w:jc w:val="right"/>
            </w:pPr>
            <w:r>
              <w:rPr>
                <w:rFonts w:ascii="Arial" w:hAnsi="Arial"/>
                <w:sz w:val="15"/>
              </w:rPr>
              <w:t xml:space="preserve">30</w:t>
            </w:r>
          </w:p>
        </w:tc>
      </w:tr>
    </w:tbl>
    <w:p>
      <w:pPr>
        <w:pStyle w:val="BodyText"/>
      </w:pPr>
      <w:r>
        <w:rPr>
          <w:iCs/>
          <w:i/>
        </w:rPr>
        <w:t xml:space="preserve">FX assumptions: JPY155/US$, JPY181/€, JPY22.5/CNY. A 15% US tariff assumed all year. Capex JPY95bn, D&amp;A JPY68bn, R&amp;D JPY119bn.</w:t>
      </w:r>
    </w:p>
    <w:p>
      <w:pPr>
        <w:pStyle w:val="BodyText"/>
      </w:pPr>
      <w:r>
        <w:t xml:space="preserve">Consensus sits above the guidance midpoint and above the top of the revenue range, mostly because of the weak yen [e]. With the Warning Letter not yet in most estimates (CIQ targets are dated 14-Oct),</w:t>
      </w:r>
      <w:r>
        <w:t xml:space="preserve"> </w:t>
      </w:r>
      <w:r>
        <w:rPr>
          <w:bCs/>
          <w:b/>
        </w:rPr>
        <w:t xml:space="preserve">the near-term revision risk is downward</w:t>
      </w:r>
      <w:r>
        <w:t xml:space="preserve">. The asymmetry is negative if Olympus only holds guidance at 2Q.</w:t>
      </w:r>
    </w:p>
    <w:bookmarkEnd w:id="74"/>
    <w:bookmarkStart w:id="75" w:name="balance-sheet-flags"/>
    <w:p>
      <w:pPr>
        <w:pStyle w:val="Heading2"/>
      </w:pPr>
      <w:r>
        <w:t xml:space="preserve">Balance-sheet flags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68"/>
        <w:gridCol w:w="1079"/>
        <w:gridCol w:w="1001"/>
        <w:gridCol w:w="982"/>
        <w:gridCol w:w="4745"/>
      </w:tblGrid>
      <w:tr>
        <w:trPr>
          <w:tblHeader w:val="true"/>
          <w:tblHeader w:val="true"/>
          <w:cantSplit/>
        </w:trPr>
        <w:tc>
          <w:tcPr>
            <w:tcW w:type="dxa" w:w="2168"/>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079"/>
            <w:shd w:val="clear" w:color="auto" w:fill="13213F"/>
          </w:tcPr>
          <w:p>
            <w:pPr>
              <w:pStyle w:val="Compact"/>
              <w:spacing w:after="0" w:before="0" w:line="240" w:lineRule="auto"/>
              <w:jc w:val="right"/>
            </w:pPr>
            <w:r>
              <w:rPr>
                <w:rFonts w:ascii="Arial" w:hAnsi="Arial"/>
                <w:b/>
                <w:color w:val="FFFFFF"/>
                <w:sz w:val="15"/>
              </w:rPr>
              <w:t xml:space="preserve">Mar-26</w:t>
            </w:r>
          </w:p>
        </w:tc>
        <w:tc>
          <w:tcPr>
            <w:tcW w:type="dxa" w:w="1002"/>
            <w:shd w:val="clear" w:color="auto" w:fill="13213F"/>
          </w:tcPr>
          <w:p>
            <w:pPr>
              <w:pStyle w:val="Compact"/>
              <w:spacing w:after="0" w:before="0" w:line="240" w:lineRule="auto"/>
              <w:jc w:val="right"/>
            </w:pPr>
            <w:r>
              <w:rPr>
                <w:rFonts w:ascii="Arial" w:hAnsi="Arial"/>
                <w:b/>
                <w:color w:val="FFFFFF"/>
                <w:sz w:val="15"/>
              </w:rPr>
              <w:t xml:space="preserve">Jun-26</w:t>
            </w:r>
          </w:p>
        </w:tc>
        <w:tc>
          <w:tcPr>
            <w:tcW w:type="dxa" w:w="983"/>
            <w:shd w:val="clear" w:color="auto" w:fill="13213F"/>
          </w:tcPr>
          <w:p>
            <w:pPr>
              <w:pStyle w:val="Compact"/>
              <w:spacing w:after="0" w:before="0" w:line="240" w:lineRule="auto"/>
              <w:jc w:val="right"/>
            </w:pPr>
            <w:r>
              <w:rPr>
                <w:rFonts w:ascii="Arial" w:hAnsi="Arial"/>
                <w:b/>
                <w:color w:val="FFFFFF"/>
                <w:sz w:val="15"/>
              </w:rPr>
              <w:t xml:space="preserve">Change</w:t>
            </w:r>
          </w:p>
        </w:tc>
        <w:tc>
          <w:tcPr>
            <w:tcW w:type="dxa" w:w="4746"/>
            <w:shd w:val="clear" w:color="auto" w:fill="13213F"/>
          </w:tcPr>
          <w:p>
            <w:pPr>
              <w:pStyle w:val="Compact"/>
              <w:spacing w:after="0" w:before="0" w:line="240" w:lineRule="auto"/>
              <w:jc w:val="left"/>
            </w:pPr>
            <w:r>
              <w:rPr>
                <w:rFonts w:ascii="Arial" w:hAnsi="Arial"/>
                <w:b/>
                <w:color w:val="FFFFFF"/>
                <w:sz w:val="15"/>
              </w:rPr>
              <w:t xml:space="preserve">Flag</w:t>
            </w:r>
          </w:p>
        </w:tc>
      </w:tr>
      <w:tr>
        <w:trPr>
          <w:cantSplit/>
        </w:trPr>
        <w:tc>
          <w:tcPr>
            <w:tcW w:type="dxa" w:w="2168"/>
          </w:tcPr>
          <w:p>
            <w:pPr>
              <w:pStyle w:val="Compact"/>
              <w:spacing w:after="0" w:before="0" w:line="240" w:lineRule="auto"/>
              <w:jc w:val="left"/>
            </w:pPr>
            <w:r>
              <w:rPr>
                <w:rFonts w:ascii="Arial" w:hAnsi="Arial"/>
                <w:sz w:val="15"/>
              </w:rPr>
              <w:t xml:space="preserve">Cash</w:t>
            </w:r>
          </w:p>
        </w:tc>
        <w:tc>
          <w:tcPr>
            <w:tcW w:type="dxa" w:w="1079"/>
          </w:tcPr>
          <w:p>
            <w:pPr>
              <w:pStyle w:val="Compact"/>
              <w:spacing w:after="0" w:before="0" w:line="240" w:lineRule="auto"/>
              <w:jc w:val="right"/>
            </w:pPr>
            <w:r>
              <w:rPr>
                <w:rFonts w:ascii="Arial" w:hAnsi="Arial"/>
                <w:sz w:val="15"/>
              </w:rPr>
              <w:t xml:space="preserve">188.0</w:t>
            </w:r>
          </w:p>
        </w:tc>
        <w:tc>
          <w:tcPr>
            <w:tcW w:type="dxa" w:w="1002"/>
          </w:tcPr>
          <w:p>
            <w:pPr>
              <w:pStyle w:val="Compact"/>
              <w:spacing w:after="0" w:before="0" w:line="240" w:lineRule="auto"/>
              <w:jc w:val="right"/>
            </w:pPr>
            <w:r>
              <w:rPr>
                <w:rFonts w:ascii="Arial" w:hAnsi="Arial"/>
                <w:sz w:val="15"/>
              </w:rPr>
              <w:t xml:space="preserve">118.5</w:t>
            </w:r>
          </w:p>
        </w:tc>
        <w:tc>
          <w:tcPr>
            <w:tcW w:type="dxa" w:w="983"/>
          </w:tcPr>
          <w:p>
            <w:pPr>
              <w:pStyle w:val="Compact"/>
              <w:spacing w:after="0" w:before="0" w:line="240" w:lineRule="auto"/>
              <w:jc w:val="right"/>
            </w:pPr>
            <w:r>
              <w:rPr>
                <w:rFonts w:ascii="Arial" w:hAnsi="Arial"/>
                <w:sz w:val="15"/>
              </w:rPr>
              <w:t xml:space="preserve">-69.5</w:t>
            </w:r>
          </w:p>
        </w:tc>
        <w:tc>
          <w:tcPr>
            <w:tcW w:type="dxa" w:w="4746"/>
          </w:tcPr>
          <w:p>
            <w:pPr>
              <w:pStyle w:val="Compact"/>
              <w:spacing w:after="0" w:before="0" w:line="240" w:lineRule="auto"/>
              <w:jc w:val="left"/>
            </w:pPr>
            <w:r>
              <w:rPr>
                <w:rFonts w:ascii="Arial" w:hAnsi="Arial"/>
                <w:sz w:val="15"/>
              </w:rPr>
              <w:t xml:space="preserve">JPY60bn buyback + JPY33bn dividend + JPY43bn BioProtect in one quarter</w:t>
            </w:r>
          </w:p>
        </w:tc>
      </w:tr>
      <w:tr>
        <w:trPr>
          <w:cantSplit/>
        </w:trPr>
        <w:tc>
          <w:tcPr>
            <w:tcW w:type="dxa" w:w="2168"/>
            <w:shd w:val="clear" w:color="auto" w:fill="F1F2F5"/>
          </w:tcPr>
          <w:p>
            <w:pPr>
              <w:pStyle w:val="Compact"/>
              <w:spacing w:after="0" w:before="0" w:line="240" w:lineRule="auto"/>
              <w:jc w:val="left"/>
            </w:pPr>
            <w:r>
              <w:rPr>
                <w:rFonts w:ascii="Arial" w:hAnsi="Arial"/>
                <w:sz w:val="15"/>
              </w:rPr>
              <w:t xml:space="preserve">Gross debt (bonds + borrowings)</w:t>
            </w:r>
          </w:p>
        </w:tc>
        <w:tc>
          <w:tcPr>
            <w:tcW w:type="dxa" w:w="1079"/>
            <w:shd w:val="clear" w:color="auto" w:fill="F1F2F5"/>
          </w:tcPr>
          <w:p>
            <w:pPr>
              <w:pStyle w:val="Compact"/>
              <w:spacing w:after="0" w:before="0" w:line="240" w:lineRule="auto"/>
              <w:jc w:val="right"/>
            </w:pPr>
            <w:r>
              <w:rPr>
                <w:rFonts w:ascii="Arial" w:hAnsi="Arial"/>
                <w:sz w:val="15"/>
              </w:rPr>
              <w:t xml:space="preserve">239.6</w:t>
            </w:r>
          </w:p>
        </w:tc>
        <w:tc>
          <w:tcPr>
            <w:tcW w:type="dxa" w:w="1002"/>
            <w:shd w:val="clear" w:color="auto" w:fill="F1F2F5"/>
          </w:tcPr>
          <w:p>
            <w:pPr>
              <w:pStyle w:val="Compact"/>
              <w:spacing w:after="0" w:before="0" w:line="240" w:lineRule="auto"/>
              <w:jc w:val="right"/>
            </w:pPr>
            <w:r>
              <w:rPr>
                <w:rFonts w:ascii="Arial" w:hAnsi="Arial"/>
                <w:sz w:val="15"/>
              </w:rPr>
              <w:t xml:space="preserve">318.9</w:t>
            </w:r>
          </w:p>
        </w:tc>
        <w:tc>
          <w:tcPr>
            <w:tcW w:type="dxa" w:w="983"/>
            <w:shd w:val="clear" w:color="auto" w:fill="F1F2F5"/>
          </w:tcPr>
          <w:p>
            <w:pPr>
              <w:pStyle w:val="Compact"/>
              <w:spacing w:after="0" w:before="0" w:line="240" w:lineRule="auto"/>
              <w:jc w:val="right"/>
            </w:pPr>
            <w:r>
              <w:rPr>
                <w:rFonts w:ascii="Arial" w:hAnsi="Arial"/>
                <w:sz w:val="15"/>
              </w:rPr>
              <w:t xml:space="preserve">+79.3</w:t>
            </w:r>
          </w:p>
        </w:tc>
        <w:tc>
          <w:tcPr>
            <w:tcW w:type="dxa" w:w="4746"/>
            <w:shd w:val="clear" w:color="auto" w:fill="F1F2F5"/>
          </w:tcPr>
          <w:p>
            <w:pPr>
              <w:pStyle w:val="Compact"/>
              <w:spacing w:after="0" w:before="0" w:line="240" w:lineRule="auto"/>
              <w:jc w:val="left"/>
            </w:pPr>
            <w:r>
              <w:rPr>
                <w:rFonts w:ascii="Arial" w:hAnsi="Arial"/>
                <w:sz w:val="15"/>
              </w:rPr>
              <w:t xml:space="preserve">Short-term borrowings JPY139bn; US$500m 2.143% notes due 8-Dec-2026 pre-funded by US$500m 5.526% notes due 2031 (Sep-2026)</w:t>
            </w:r>
          </w:p>
        </w:tc>
      </w:tr>
      <w:tr>
        <w:trPr>
          <w:cantSplit/>
        </w:trPr>
        <w:tc>
          <w:tcPr>
            <w:tcW w:type="dxa" w:w="2168"/>
            <w:shd w:val="clear" w:color="auto" w:fill="DCE4F2"/>
          </w:tcPr>
          <w:p>
            <w:pPr>
              <w:pStyle w:val="Compact"/>
              <w:spacing w:after="0" w:before="0" w:line="240" w:lineRule="auto"/>
              <w:jc w:val="left"/>
            </w:pPr>
            <w:r>
              <w:rPr>
                <w:rFonts w:ascii="Arial" w:hAnsi="Arial"/>
                <w:b/>
                <w:sz w:val="15"/>
              </w:rPr>
              <w:t xml:space="preserve">Net debt</w:t>
            </w:r>
          </w:p>
        </w:tc>
        <w:tc>
          <w:tcPr>
            <w:tcW w:type="dxa" w:w="1079"/>
            <w:shd w:val="clear" w:color="auto" w:fill="DCE4F2"/>
          </w:tcPr>
          <w:p>
            <w:pPr>
              <w:pStyle w:val="Compact"/>
              <w:spacing w:after="0" w:before="0" w:line="240" w:lineRule="auto"/>
              <w:jc w:val="right"/>
            </w:pPr>
            <w:r>
              <w:rPr>
                <w:rFonts w:ascii="Arial" w:hAnsi="Arial"/>
                <w:b/>
                <w:sz w:val="15"/>
              </w:rPr>
              <w:t xml:space="preserve">51.5</w:t>
            </w:r>
          </w:p>
        </w:tc>
        <w:tc>
          <w:tcPr>
            <w:tcW w:type="dxa" w:w="1002"/>
            <w:shd w:val="clear" w:color="auto" w:fill="DCE4F2"/>
          </w:tcPr>
          <w:p>
            <w:pPr>
              <w:pStyle w:val="Compact"/>
              <w:spacing w:after="0" w:before="0" w:line="240" w:lineRule="auto"/>
              <w:jc w:val="right"/>
            </w:pPr>
            <w:r>
              <w:rPr>
                <w:rFonts w:ascii="Arial" w:hAnsi="Arial"/>
                <w:b/>
                <w:sz w:val="15"/>
              </w:rPr>
              <w:t xml:space="preserve">~200</w:t>
            </w:r>
          </w:p>
        </w:tc>
        <w:tc>
          <w:tcPr>
            <w:tcW w:type="dxa" w:w="983"/>
            <w:shd w:val="clear" w:color="auto" w:fill="DCE4F2"/>
          </w:tcPr>
          <w:p>
            <w:pPr>
              <w:pStyle w:val="Compact"/>
              <w:spacing w:after="0" w:before="0" w:line="240" w:lineRule="auto"/>
              <w:jc w:val="right"/>
            </w:pPr>
            <w:r>
              <w:rPr>
                <w:rFonts w:ascii="Arial" w:hAnsi="Arial"/>
                <w:b/>
                <w:sz w:val="15"/>
              </w:rPr>
              <w:t xml:space="preserve">+149</w:t>
            </w:r>
          </w:p>
        </w:tc>
        <w:tc>
          <w:tcPr>
            <w:tcW w:type="dxa" w:w="4746"/>
            <w:shd w:val="clear" w:color="auto" w:fill="DCE4F2"/>
          </w:tcPr>
          <w:p>
            <w:pPr>
              <w:pStyle w:val="Compact"/>
              <w:spacing w:after="0" w:before="0" w:line="240" w:lineRule="auto"/>
              <w:jc w:val="left"/>
            </w:pPr>
            <w:r>
              <w:rPr>
                <w:rFonts w:ascii="Arial" w:hAnsi="Arial"/>
                <w:b/>
                <w:sz w:val="15"/>
              </w:rPr>
              <w:t xml:space="preserve">~0.9x LTM EBITDA; still investment grade (S&amp;P BBB+, Moody’s Baa1, R&amp;I A+)</w:t>
            </w:r>
          </w:p>
        </w:tc>
      </w:tr>
      <w:tr>
        <w:trPr>
          <w:cantSplit/>
        </w:trPr>
        <w:tc>
          <w:tcPr>
            <w:tcW w:type="dxa" w:w="2168"/>
            <w:shd w:val="clear" w:color="auto" w:fill="F1F2F5"/>
          </w:tcPr>
          <w:p>
            <w:pPr>
              <w:pStyle w:val="Compact"/>
              <w:spacing w:after="0" w:before="0" w:line="240" w:lineRule="auto"/>
              <w:jc w:val="left"/>
            </w:pPr>
            <w:r>
              <w:rPr>
                <w:rFonts w:ascii="Arial" w:hAnsi="Arial"/>
                <w:sz w:val="15"/>
              </w:rPr>
              <w:t xml:space="preserve">Inventory</w:t>
            </w:r>
          </w:p>
        </w:tc>
        <w:tc>
          <w:tcPr>
            <w:tcW w:type="dxa" w:w="1079"/>
            <w:shd w:val="clear" w:color="auto" w:fill="F1F2F5"/>
          </w:tcPr>
          <w:p>
            <w:pPr>
              <w:pStyle w:val="Compact"/>
              <w:spacing w:after="0" w:before="0" w:line="240" w:lineRule="auto"/>
              <w:jc w:val="right"/>
            </w:pPr>
            <w:r>
              <w:rPr>
                <w:rFonts w:ascii="Arial" w:hAnsi="Arial"/>
                <w:sz w:val="15"/>
              </w:rPr>
              <w:t xml:space="preserve">207.1</w:t>
            </w:r>
          </w:p>
        </w:tc>
        <w:tc>
          <w:tcPr>
            <w:tcW w:type="dxa" w:w="1002"/>
            <w:shd w:val="clear" w:color="auto" w:fill="F1F2F5"/>
          </w:tcPr>
          <w:p>
            <w:pPr>
              <w:pStyle w:val="Compact"/>
              <w:spacing w:after="0" w:before="0" w:line="240" w:lineRule="auto"/>
              <w:jc w:val="right"/>
            </w:pPr>
            <w:r>
              <w:rPr>
                <w:rFonts w:ascii="Arial" w:hAnsi="Arial"/>
                <w:sz w:val="15"/>
              </w:rPr>
              <w:t xml:space="preserve">221.3</w:t>
            </w:r>
          </w:p>
        </w:tc>
        <w:tc>
          <w:tcPr>
            <w:tcW w:type="dxa" w:w="983"/>
            <w:shd w:val="clear" w:color="auto" w:fill="F1F2F5"/>
          </w:tcPr>
          <w:p>
            <w:pPr>
              <w:pStyle w:val="Compact"/>
              <w:spacing w:after="0" w:before="0" w:line="240" w:lineRule="auto"/>
              <w:jc w:val="right"/>
            </w:pPr>
            <w:r>
              <w:rPr>
                <w:rFonts w:ascii="Arial" w:hAnsi="Arial"/>
                <w:sz w:val="15"/>
              </w:rPr>
              <w:t xml:space="preserve">+14.2</w:t>
            </w:r>
          </w:p>
        </w:tc>
        <w:tc>
          <w:tcPr>
            <w:tcW w:type="dxa" w:w="4746"/>
            <w:shd w:val="clear" w:color="auto" w:fill="F1F2F5"/>
          </w:tcPr>
          <w:p>
            <w:pPr>
              <w:pStyle w:val="Compact"/>
              <w:spacing w:after="0" w:before="0" w:line="240" w:lineRule="auto"/>
              <w:jc w:val="left"/>
            </w:pPr>
            <w:r>
              <w:rPr>
                <w:rFonts w:ascii="Arial" w:hAnsi="Arial"/>
                <w:sz w:val="15"/>
              </w:rPr>
              <w:t xml:space="preserve">~242 days; watch write-downs on ship-held products</w:t>
            </w:r>
          </w:p>
        </w:tc>
      </w:tr>
      <w:tr>
        <w:trPr>
          <w:cantSplit/>
        </w:trPr>
        <w:tc>
          <w:tcPr>
            <w:tcW w:type="dxa" w:w="2168"/>
          </w:tcPr>
          <w:p>
            <w:pPr>
              <w:pStyle w:val="Compact"/>
              <w:spacing w:after="0" w:before="0" w:line="240" w:lineRule="auto"/>
              <w:jc w:val="left"/>
            </w:pPr>
            <w:r>
              <w:rPr>
                <w:rFonts w:ascii="Arial" w:hAnsi="Arial"/>
                <w:sz w:val="15"/>
              </w:rPr>
              <w:t xml:space="preserve">Goodwill</w:t>
            </w:r>
          </w:p>
        </w:tc>
        <w:tc>
          <w:tcPr>
            <w:tcW w:type="dxa" w:w="1079"/>
          </w:tcPr>
          <w:p>
            <w:pPr>
              <w:pStyle w:val="Compact"/>
              <w:spacing w:after="0" w:before="0" w:line="240" w:lineRule="auto"/>
              <w:jc w:val="right"/>
            </w:pPr>
            <w:r>
              <w:rPr>
                <w:rFonts w:ascii="Arial" w:hAnsi="Arial"/>
                <w:sz w:val="15"/>
              </w:rPr>
              <w:t xml:space="preserve">194.2</w:t>
            </w:r>
          </w:p>
        </w:tc>
        <w:tc>
          <w:tcPr>
            <w:tcW w:type="dxa" w:w="1002"/>
          </w:tcPr>
          <w:p>
            <w:pPr>
              <w:pStyle w:val="Compact"/>
              <w:spacing w:after="0" w:before="0" w:line="240" w:lineRule="auto"/>
              <w:jc w:val="right"/>
            </w:pPr>
            <w:r>
              <w:rPr>
                <w:rFonts w:ascii="Arial" w:hAnsi="Arial"/>
                <w:sz w:val="15"/>
              </w:rPr>
              <w:t xml:space="preserve">240.1</w:t>
            </w:r>
          </w:p>
        </w:tc>
        <w:tc>
          <w:tcPr>
            <w:tcW w:type="dxa" w:w="983"/>
          </w:tcPr>
          <w:p>
            <w:pPr>
              <w:pStyle w:val="Compact"/>
              <w:spacing w:after="0" w:before="0" w:line="240" w:lineRule="auto"/>
              <w:jc w:val="right"/>
            </w:pPr>
            <w:r>
              <w:rPr>
                <w:rFonts w:ascii="Arial" w:hAnsi="Arial"/>
                <w:sz w:val="15"/>
              </w:rPr>
              <w:t xml:space="preserve">+45.9</w:t>
            </w:r>
          </w:p>
        </w:tc>
        <w:tc>
          <w:tcPr>
            <w:tcW w:type="dxa" w:w="4746"/>
          </w:tcPr>
          <w:p>
            <w:pPr>
              <w:pStyle w:val="Compact"/>
              <w:spacing w:after="0" w:before="0" w:line="240" w:lineRule="auto"/>
              <w:jc w:val="left"/>
            </w:pPr>
            <w:r>
              <w:rPr>
                <w:rFonts w:ascii="Arial" w:hAnsi="Arial"/>
                <w:sz w:val="15"/>
              </w:rPr>
              <w:t xml:space="preserve">BioProtect (US$270m for US$14.5m of sales)</w:t>
            </w:r>
          </w:p>
        </w:tc>
      </w:tr>
      <w:tr>
        <w:trPr>
          <w:cantSplit/>
        </w:trPr>
        <w:tc>
          <w:tcPr>
            <w:tcW w:type="dxa" w:w="2168"/>
            <w:shd w:val="clear" w:color="auto" w:fill="F1F2F5"/>
          </w:tcPr>
          <w:p>
            <w:pPr>
              <w:pStyle w:val="Compact"/>
              <w:spacing w:after="0" w:before="0" w:line="240" w:lineRule="auto"/>
              <w:jc w:val="left"/>
            </w:pPr>
            <w:r>
              <w:rPr>
                <w:rFonts w:ascii="Arial" w:hAnsi="Arial"/>
                <w:sz w:val="15"/>
              </w:rPr>
              <w:t xml:space="preserve">Treasury stock</w:t>
            </w:r>
          </w:p>
        </w:tc>
        <w:tc>
          <w:tcPr>
            <w:tcW w:type="dxa" w:w="1079"/>
            <w:shd w:val="clear" w:color="auto" w:fill="F1F2F5"/>
          </w:tcPr>
          <w:p>
            <w:pPr>
              <w:pStyle w:val="Compact"/>
              <w:spacing w:after="0" w:before="0" w:line="240" w:lineRule="auto"/>
              <w:jc w:val="right"/>
            </w:pPr>
            <w:r>
              <w:rPr>
                <w:rFonts w:ascii="Arial" w:hAnsi="Arial"/>
                <w:sz w:val="15"/>
              </w:rPr>
              <w:t xml:space="preserve">(26.6)</w:t>
            </w:r>
          </w:p>
        </w:tc>
        <w:tc>
          <w:tcPr>
            <w:tcW w:type="dxa" w:w="1002"/>
            <w:shd w:val="clear" w:color="auto" w:fill="F1F2F5"/>
          </w:tcPr>
          <w:p>
            <w:pPr>
              <w:pStyle w:val="Compact"/>
              <w:spacing w:after="0" w:before="0" w:line="240" w:lineRule="auto"/>
              <w:jc w:val="right"/>
            </w:pPr>
            <w:r>
              <w:rPr>
                <w:rFonts w:ascii="Arial" w:hAnsi="Arial"/>
                <w:sz w:val="15"/>
              </w:rPr>
              <w:t xml:space="preserve">(85.5)</w:t>
            </w:r>
          </w:p>
        </w:tc>
        <w:tc>
          <w:tcPr>
            <w:tcW w:type="dxa" w:w="983"/>
            <w:shd w:val="clear" w:color="auto" w:fill="F1F2F5"/>
          </w:tcPr>
          <w:p>
            <w:pPr>
              <w:pStyle w:val="Compact"/>
              <w:spacing w:after="0" w:before="0" w:line="240" w:lineRule="auto"/>
              <w:jc w:val="right"/>
            </w:pPr>
            <w:r>
              <w:rPr>
                <w:rFonts w:ascii="Arial" w:hAnsi="Arial"/>
                <w:sz w:val="15"/>
              </w:rPr>
              <w:t xml:space="preserve">(58.9)</w:t>
            </w:r>
          </w:p>
        </w:tc>
        <w:tc>
          <w:tcPr>
            <w:tcW w:type="dxa" w:w="4746"/>
            <w:shd w:val="clear" w:color="auto" w:fill="F1F2F5"/>
          </w:tcPr>
          <w:p>
            <w:pPr>
              <w:pStyle w:val="Compact"/>
              <w:spacing w:after="0" w:before="0" w:line="240" w:lineRule="auto"/>
              <w:jc w:val="left"/>
            </w:pPr>
            <w:r>
              <w:rPr>
                <w:rFonts w:ascii="Arial" w:hAnsi="Arial"/>
                <w:sz w:val="15"/>
              </w:rPr>
              <w:t xml:space="preserve">38.9m shares bought at JPY1,540.5; to be cancelled</w:t>
            </w:r>
          </w:p>
        </w:tc>
      </w:tr>
      <w:tr>
        <w:trPr>
          <w:cantSplit/>
        </w:trPr>
        <w:tc>
          <w:tcPr>
            <w:tcW w:type="dxa" w:w="2168"/>
          </w:tcPr>
          <w:p>
            <w:pPr>
              <w:pStyle w:val="Compact"/>
              <w:spacing w:after="0" w:before="0" w:line="240" w:lineRule="auto"/>
              <w:jc w:val="left"/>
            </w:pPr>
            <w:r>
              <w:rPr>
                <w:rFonts w:ascii="Arial" w:hAnsi="Arial"/>
                <w:sz w:val="15"/>
              </w:rPr>
              <w:t xml:space="preserve">Quarterly FCF</w:t>
            </w:r>
          </w:p>
        </w:tc>
        <w:tc>
          <w:tcPr>
            <w:tcW w:type="dxa" w:w="1079"/>
          </w:tcPr>
          <w:p>
            <w:pPr>
              <w:pStyle w:val="Compact"/>
              <w:spacing w:after="0" w:before="0" w:line="240" w:lineRule="auto"/>
              <w:jc w:val="right"/>
            </w:pPr>
            <w:r>
              <w:rPr>
                <w:rFonts w:ascii="Arial" w:hAnsi="Arial"/>
                <w:sz w:val="15"/>
              </w:rPr>
              <w:t xml:space="preserve">23.0 (4Q)</w:t>
            </w:r>
          </w:p>
        </w:tc>
        <w:tc>
          <w:tcPr>
            <w:tcW w:type="dxa" w:w="1002"/>
          </w:tcPr>
          <w:p>
            <w:pPr>
              <w:pStyle w:val="Compact"/>
              <w:spacing w:after="0" w:before="0" w:line="240" w:lineRule="auto"/>
              <w:jc w:val="right"/>
            </w:pPr>
            <w:r>
              <w:rPr>
                <w:rFonts w:ascii="Arial" w:hAnsi="Arial"/>
                <w:sz w:val="15"/>
              </w:rPr>
              <w:t xml:space="preserve">(7.1)</w:t>
            </w:r>
          </w:p>
        </w:tc>
        <w:tc>
          <w:tcPr>
            <w:tcW w:type="dxa" w:w="983"/>
          </w:tcPr>
          <w:p>
            <w:pPr>
              <w:pStyle w:val="Compact"/>
              <w:spacing w:after="0" w:before="0" w:line="240" w:lineRule="auto"/>
            </w:pPr>
          </w:p>
        </w:tc>
        <w:tc>
          <w:tcPr>
            <w:tcW w:type="dxa" w:w="4746"/>
          </w:tcPr>
          <w:p>
            <w:pPr>
              <w:pStyle w:val="Compact"/>
              <w:spacing w:after="0" w:before="0" w:line="240" w:lineRule="auto"/>
              <w:jc w:val="left"/>
            </w:pPr>
            <w:r>
              <w:rPr>
                <w:rFonts w:ascii="Arial" w:hAnsi="Arial"/>
                <w:sz w:val="15"/>
              </w:rPr>
              <w:t xml:space="preserve">~JPY(50)bn after the acquisition</w:t>
            </w:r>
          </w:p>
        </w:tc>
      </w:tr>
    </w:tbl>
    <w:bookmarkEnd w:id="75"/>
    <w:bookmarkStart w:id="76" w:name="market-reaction-and-what-was-priced-in"/>
    <w:p>
      <w:pPr>
        <w:pStyle w:val="Heading2"/>
      </w:pPr>
      <w:r>
        <w:t xml:space="preserve">Market reaction and what was priced in</w:t>
      </w:r>
    </w:p>
    <w:p>
      <w:pPr>
        <w:numPr>
          <w:ilvl w:val="0"/>
          <w:numId w:val="1025"/>
        </w:numPr>
        <w:pStyle w:val="Compact"/>
      </w:pPr>
      <w:r>
        <w:rPr>
          <w:bCs/>
          <w:b/>
        </w:rPr>
        <w:t xml:space="preserve">The result was rewarded.</w:t>
      </w:r>
      <w:r>
        <w:t xml:space="preserve"> </w:t>
      </w:r>
      <w:r>
        <w:t xml:space="preserve">The shares rose</w:t>
      </w:r>
      <w:r>
        <w:t xml:space="preserve"> </w:t>
      </w:r>
      <w:r>
        <w:rPr>
          <w:bCs/>
          <w:b/>
        </w:rPr>
        <w:t xml:space="preserve">10.1%</w:t>
      </w:r>
      <w:r>
        <w:t xml:space="preserve"> </w:t>
      </w:r>
      <w:r>
        <w:t xml:space="preserve">on 10-Aug-2026 to JPY2,098, on 2.5x average volume, and reached a 52-week high of JPY2,187 on 20-Aug.</w:t>
      </w:r>
    </w:p>
    <w:p>
      <w:pPr>
        <w:numPr>
          <w:ilvl w:val="0"/>
          <w:numId w:val="1025"/>
        </w:numPr>
        <w:pStyle w:val="Compact"/>
      </w:pPr>
      <w:r>
        <w:rPr>
          <w:bCs/>
          <w:b/>
        </w:rPr>
        <w:t xml:space="preserve">The gain has since reversed.</w:t>
      </w:r>
      <w:r>
        <w:t xml:space="preserve"> </w:t>
      </w:r>
      <w:r>
        <w:t xml:space="preserve">The Warning Letter (13-Oct) took the stock to JPY1,690 by 16-Oct. That is below the pre-result close (JPY1,906), and below the lowest sell-side target (JPY1,800).</w:t>
      </w:r>
    </w:p>
    <w:p>
      <w:pPr>
        <w:numPr>
          <w:ilvl w:val="0"/>
          <w:numId w:val="1025"/>
        </w:numPr>
        <w:pStyle w:val="Compact"/>
      </w:pPr>
      <w:r>
        <w:rPr>
          <w:bCs/>
          <w:b/>
        </w:rPr>
        <w:t xml:space="preserve">The market is now paying nothing for the recovery shown in 1Q.</w:t>
      </w:r>
    </w:p>
    <w:bookmarkEnd w:id="76"/>
    <w:bookmarkStart w:id="77" w:name="unusual-relative-to-recent-history"/>
    <w:p>
      <w:pPr>
        <w:pStyle w:val="Heading2"/>
      </w:pPr>
      <w:r>
        <w:t xml:space="preserve">Unusual relative to recent history</w:t>
      </w:r>
    </w:p>
    <w:p>
      <w:pPr>
        <w:numPr>
          <w:ilvl w:val="0"/>
          <w:numId w:val="1026"/>
        </w:numPr>
        <w:pStyle w:val="Compact"/>
      </w:pPr>
      <w:r>
        <w:rPr>
          <w:bCs/>
          <w:b/>
        </w:rPr>
        <w:t xml:space="preserve">The first clean beat-and-hold in a 1Q since FY3/23.</w:t>
      </w:r>
      <w:r>
        <w:t xml:space="preserve"> </w:t>
      </w:r>
      <w:r>
        <w:t xml:space="preserve">The prior three first quarters brought a fall in OP (FY3/24), a guidance cut (FY3/26) or a weak start.</w:t>
      </w:r>
    </w:p>
    <w:p>
      <w:pPr>
        <w:numPr>
          <w:ilvl w:val="0"/>
          <w:numId w:val="1026"/>
        </w:numPr>
        <w:pStyle w:val="Compact"/>
      </w:pPr>
      <w:r>
        <w:rPr>
          <w:bCs/>
          <w:b/>
        </w:rPr>
        <w:t xml:space="preserve">Q1 alone used the full JPY60bn buyback,</w:t>
      </w:r>
      <w:r>
        <w:t xml:space="preserve"> </w:t>
      </w:r>
      <w:r>
        <w:t xml:space="preserve">partly funded with short-term debt. Liquidity is thinner just as an FDA matter opens.</w:t>
      </w:r>
    </w:p>
    <w:p>
      <w:pPr>
        <w:numPr>
          <w:ilvl w:val="0"/>
          <w:numId w:val="1026"/>
        </w:numPr>
        <w:pStyle w:val="Compact"/>
      </w:pPr>
      <w:r>
        <w:rPr>
          <w:bCs/>
          <w:b/>
        </w:rPr>
        <w:t xml:space="preserve">The Surgical strategic review is open with no timetable.</w:t>
      </w:r>
      <w:r>
        <w:t xml:space="preserve"> </w:t>
      </w:r>
      <w:r>
        <w:t xml:space="preserve">No update was given in August [u].</w:t>
      </w:r>
    </w:p>
    <w:p>
      <w:pPr>
        <w:numPr>
          <w:ilvl w:val="0"/>
          <w:numId w:val="1026"/>
        </w:numPr>
        <w:pStyle w:val="Compact"/>
      </w:pPr>
      <w:r>
        <w:rPr>
          <w:bCs/>
          <w:b/>
        </w:rPr>
        <w:t xml:space="preserve">A sell-side question in May-2026 anticipated the Warning Letter.</w:t>
      </w:r>
      <w:r>
        <w:t xml:space="preserve"> </w:t>
      </w:r>
      <w:r>
        <w:t xml:space="preserve">Management had said it did not expect</w:t>
      </w:r>
      <w:r>
        <w:t xml:space="preserve"> </w:t>
      </w:r>
      <w:r>
        <w:t xml:space="preserve">“</w:t>
      </w:r>
      <w:r>
        <w:t xml:space="preserve">a bolus of costs</w:t>
      </w:r>
      <w:r>
        <w:t xml:space="preserve">”</w:t>
      </w:r>
      <w:r>
        <w:t xml:space="preserve"> </w:t>
      </w:r>
      <w:r>
        <w:t xml:space="preserve">from the inspections.</w:t>
      </w:r>
    </w:p>
    <w:bookmarkEnd w:id="77"/>
    <w:bookmarkEnd w:id="78"/>
    <w:bookmarkStart w:id="81" w:name="earnings-forecasts-fy327efy329e"/>
    <w:p>
      <w:pPr>
        <w:pStyle w:val="Heading1"/>
      </w:pPr>
      <w:r>
        <w:t xml:space="preserve">Earnings forecasts: FY3/27E–FY3/29E</w:t>
      </w:r>
    </w:p>
    <w:bookmarkStart w:id="79" w:name="key-assumptions"/>
    <w:p>
      <w:pPr>
        <w:pStyle w:val="Heading2"/>
      </w:pPr>
      <w:r>
        <w:t xml:space="preserve">Key assumptions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786"/>
        <w:gridCol w:w="1497"/>
        <w:gridCol w:w="1589"/>
        <w:gridCol w:w="1589"/>
        <w:gridCol w:w="3515"/>
      </w:tblGrid>
      <w:tr>
        <w:trPr>
          <w:tblHeader w:val="true"/>
          <w:tblHeader w:val="true"/>
          <w:cantSplit/>
        </w:trPr>
        <w:tc>
          <w:tcPr>
            <w:tcW w:type="dxa" w:w="1786"/>
            <w:shd w:val="clear" w:color="auto" w:fill="13213F"/>
          </w:tcPr>
          <w:p>
            <w:pPr>
              <w:pStyle w:val="Compact"/>
              <w:spacing w:after="0" w:before="0" w:line="240" w:lineRule="auto"/>
              <w:jc w:val="left"/>
            </w:pPr>
            <w:r>
              <w:rPr>
                <w:rFonts w:ascii="Arial" w:hAnsi="Arial"/>
                <w:b/>
                <w:color w:val="FFFFFF"/>
                <w:sz w:val="15"/>
              </w:rPr>
              <w:t xml:space="preserve">Driver</w:t>
            </w:r>
          </w:p>
        </w:tc>
        <w:tc>
          <w:tcPr>
            <w:tcW w:type="dxa" w:w="1498"/>
            <w:shd w:val="clear" w:color="auto" w:fill="13213F"/>
          </w:tcPr>
          <w:p>
            <w:pPr>
              <w:pStyle w:val="Compact"/>
              <w:spacing w:after="0" w:before="0" w:line="240" w:lineRule="auto"/>
              <w:jc w:val="left"/>
            </w:pPr>
            <w:r>
              <w:rPr>
                <w:rFonts w:ascii="Arial" w:hAnsi="Arial"/>
                <w:b/>
                <w:color w:val="FFFFFF"/>
                <w:sz w:val="15"/>
              </w:rPr>
              <w:t xml:space="preserve">FY3/27E</w:t>
            </w:r>
          </w:p>
        </w:tc>
        <w:tc>
          <w:tcPr>
            <w:tcW w:type="dxa" w:w="1589"/>
            <w:shd w:val="clear" w:color="auto" w:fill="13213F"/>
          </w:tcPr>
          <w:p>
            <w:pPr>
              <w:pStyle w:val="Compact"/>
              <w:spacing w:after="0" w:before="0" w:line="240" w:lineRule="auto"/>
              <w:jc w:val="left"/>
            </w:pPr>
            <w:r>
              <w:rPr>
                <w:rFonts w:ascii="Arial" w:hAnsi="Arial"/>
                <w:b/>
                <w:color w:val="FFFFFF"/>
                <w:sz w:val="15"/>
              </w:rPr>
              <w:t xml:space="preserve">FY3/28E</w:t>
            </w:r>
          </w:p>
        </w:tc>
        <w:tc>
          <w:tcPr>
            <w:tcW w:type="dxa" w:w="1589"/>
            <w:shd w:val="clear" w:color="auto" w:fill="13213F"/>
          </w:tcPr>
          <w:p>
            <w:pPr>
              <w:pStyle w:val="Compact"/>
              <w:spacing w:after="0" w:before="0" w:line="240" w:lineRule="auto"/>
              <w:jc w:val="left"/>
            </w:pPr>
            <w:r>
              <w:rPr>
                <w:rFonts w:ascii="Arial" w:hAnsi="Arial"/>
                <w:b/>
                <w:color w:val="FFFFFF"/>
                <w:sz w:val="15"/>
              </w:rPr>
              <w:t xml:space="preserve">FY3/29E</w:t>
            </w:r>
          </w:p>
        </w:tc>
        <w:tc>
          <w:tcPr>
            <w:tcW w:type="dxa" w:w="3516"/>
            <w:shd w:val="clear" w:color="auto" w:fill="13213F"/>
          </w:tcPr>
          <w:p>
            <w:pPr>
              <w:pStyle w:val="Compact"/>
              <w:spacing w:after="0" w:before="0" w:line="240" w:lineRule="auto"/>
              <w:jc w:val="left"/>
            </w:pPr>
            <w:r>
              <w:rPr>
                <w:rFonts w:ascii="Arial" w:hAnsi="Arial"/>
                <w:b/>
                <w:color w:val="FFFFFF"/>
                <w:sz w:val="15"/>
              </w:rPr>
              <w:t xml:space="preserve">Rationale</w:t>
            </w:r>
          </w:p>
        </w:tc>
      </w:tr>
      <w:tr>
        <w:trPr>
          <w:cantSplit/>
        </w:trPr>
        <w:tc>
          <w:tcPr>
            <w:tcW w:type="dxa" w:w="1786"/>
          </w:tcPr>
          <w:p>
            <w:pPr>
              <w:pStyle w:val="Compact"/>
              <w:spacing w:after="0" w:before="0" w:line="240" w:lineRule="auto"/>
              <w:jc w:val="left"/>
            </w:pPr>
            <w:r>
              <w:rPr>
                <w:rFonts w:ascii="Arial" w:hAnsi="Arial"/>
                <w:sz w:val="15"/>
              </w:rPr>
              <w:t xml:space="preserve">GIS revenue growth (reported)</w:t>
            </w:r>
          </w:p>
        </w:tc>
        <w:tc>
          <w:tcPr>
            <w:tcW w:type="dxa" w:w="1498"/>
          </w:tcPr>
          <w:p>
            <w:pPr>
              <w:pStyle w:val="Compact"/>
              <w:spacing w:after="0" w:before="0" w:line="240" w:lineRule="auto"/>
              <w:jc w:val="left"/>
            </w:pPr>
            <w:r>
              <w:rPr>
                <w:rFonts w:ascii="Arial" w:hAnsi="Arial"/>
                <w:sz w:val="15"/>
              </w:rPr>
              <w:t xml:space="preserve">+6.8%</w:t>
            </w:r>
          </w:p>
        </w:tc>
        <w:tc>
          <w:tcPr>
            <w:tcW w:type="dxa" w:w="1589"/>
          </w:tcPr>
          <w:p>
            <w:pPr>
              <w:pStyle w:val="Compact"/>
              <w:spacing w:after="0" w:before="0" w:line="240" w:lineRule="auto"/>
              <w:jc w:val="left"/>
            </w:pPr>
            <w:r>
              <w:rPr>
                <w:rFonts w:ascii="Arial" w:hAnsi="Arial"/>
                <w:sz w:val="15"/>
              </w:rPr>
              <w:t xml:space="preserve">+5.0%</w:t>
            </w:r>
          </w:p>
        </w:tc>
        <w:tc>
          <w:tcPr>
            <w:tcW w:type="dxa" w:w="1589"/>
          </w:tcPr>
          <w:p>
            <w:pPr>
              <w:pStyle w:val="Compact"/>
              <w:spacing w:after="0" w:before="0" w:line="240" w:lineRule="auto"/>
              <w:jc w:val="left"/>
            </w:pPr>
            <w:r>
              <w:rPr>
                <w:rFonts w:ascii="Arial" w:hAnsi="Arial"/>
                <w:sz w:val="15"/>
              </w:rPr>
              <w:t xml:space="preserve">+5.5%</w:t>
            </w:r>
          </w:p>
        </w:tc>
        <w:tc>
          <w:tcPr>
            <w:tcW w:type="dxa" w:w="3516"/>
          </w:tcPr>
          <w:p>
            <w:pPr>
              <w:pStyle w:val="Compact"/>
              <w:spacing w:after="0" w:before="0" w:line="240" w:lineRule="auto"/>
              <w:jc w:val="left"/>
            </w:pPr>
            <w:r>
              <w:rPr>
                <w:rFonts w:ascii="Arial" w:hAnsi="Arial"/>
                <w:sz w:val="15"/>
              </w:rPr>
              <w:t xml:space="preserve">~4% cc plus FX in FY3/27 (US$ ~156 vs 150.8 average in FY3/26); EDOF/EVIS X1 cycle; China drag fades</w:t>
            </w:r>
          </w:p>
        </w:tc>
      </w:tr>
      <w:tr>
        <w:trPr>
          <w:cantSplit/>
        </w:trPr>
        <w:tc>
          <w:tcPr>
            <w:tcW w:type="dxa" w:w="1786"/>
            <w:shd w:val="clear" w:color="auto" w:fill="F1F2F5"/>
          </w:tcPr>
          <w:p>
            <w:pPr>
              <w:pStyle w:val="Compact"/>
              <w:spacing w:after="0" w:before="0" w:line="240" w:lineRule="auto"/>
              <w:jc w:val="left"/>
            </w:pPr>
            <w:r>
              <w:rPr>
                <w:rFonts w:ascii="Arial" w:hAnsi="Arial"/>
                <w:sz w:val="15"/>
              </w:rPr>
              <w:t xml:space="preserve">SIS revenue growth (reported)</w:t>
            </w:r>
          </w:p>
        </w:tc>
        <w:tc>
          <w:tcPr>
            <w:tcW w:type="dxa" w:w="1498"/>
            <w:shd w:val="clear" w:color="auto" w:fill="F1F2F5"/>
          </w:tcPr>
          <w:p>
            <w:pPr>
              <w:pStyle w:val="Compact"/>
              <w:spacing w:after="0" w:before="0" w:line="240" w:lineRule="auto"/>
              <w:jc w:val="left"/>
            </w:pPr>
            <w:r>
              <w:rPr>
                <w:rFonts w:ascii="Arial" w:hAnsi="Arial"/>
                <w:sz w:val="15"/>
              </w:rPr>
              <w:t xml:space="preserve">+4.4%</w:t>
            </w:r>
          </w:p>
        </w:tc>
        <w:tc>
          <w:tcPr>
            <w:tcW w:type="dxa" w:w="1589"/>
            <w:shd w:val="clear" w:color="auto" w:fill="F1F2F5"/>
          </w:tcPr>
          <w:p>
            <w:pPr>
              <w:pStyle w:val="Compact"/>
              <w:spacing w:after="0" w:before="0" w:line="240" w:lineRule="auto"/>
              <w:jc w:val="left"/>
            </w:pPr>
            <w:r>
              <w:rPr>
                <w:rFonts w:ascii="Arial" w:hAnsi="Arial"/>
                <w:sz w:val="15"/>
              </w:rPr>
              <w:t xml:space="preserve">+3.0%</w:t>
            </w:r>
          </w:p>
        </w:tc>
        <w:tc>
          <w:tcPr>
            <w:tcW w:type="dxa" w:w="1589"/>
            <w:shd w:val="clear" w:color="auto" w:fill="F1F2F5"/>
          </w:tcPr>
          <w:p>
            <w:pPr>
              <w:pStyle w:val="Compact"/>
              <w:spacing w:after="0" w:before="0" w:line="240" w:lineRule="auto"/>
              <w:jc w:val="left"/>
            </w:pPr>
            <w:r>
              <w:rPr>
                <w:rFonts w:ascii="Arial" w:hAnsi="Arial"/>
                <w:sz w:val="15"/>
              </w:rPr>
              <w:t xml:space="preserve">+3.5%</w:t>
            </w:r>
          </w:p>
        </w:tc>
        <w:tc>
          <w:tcPr>
            <w:tcW w:type="dxa" w:w="3516"/>
            <w:shd w:val="clear" w:color="auto" w:fill="F1F2F5"/>
          </w:tcPr>
          <w:p>
            <w:pPr>
              <w:pStyle w:val="Compact"/>
              <w:spacing w:after="0" w:before="0" w:line="240" w:lineRule="auto"/>
              <w:jc w:val="left"/>
            </w:pPr>
            <w:r>
              <w:rPr>
                <w:rFonts w:ascii="Arial" w:hAnsi="Arial"/>
                <w:sz w:val="15"/>
              </w:rPr>
              <w:t xml:space="preserve">Ship-hold recovery in 2H; BioProtect; FX</w:t>
            </w:r>
          </w:p>
        </w:tc>
      </w:tr>
      <w:tr>
        <w:trPr>
          <w:cantSplit/>
        </w:trPr>
        <w:tc>
          <w:tcPr>
            <w:tcW w:type="dxa" w:w="1786"/>
          </w:tcPr>
          <w:p>
            <w:pPr>
              <w:pStyle w:val="Compact"/>
              <w:spacing w:after="0" w:before="0" w:line="240" w:lineRule="auto"/>
              <w:jc w:val="left"/>
            </w:pPr>
            <w:r>
              <w:rPr>
                <w:rFonts w:ascii="Arial" w:hAnsi="Arial"/>
                <w:sz w:val="15"/>
              </w:rPr>
              <w:t xml:space="preserve">GIS OP margin (IFRS)</w:t>
            </w:r>
          </w:p>
        </w:tc>
        <w:tc>
          <w:tcPr>
            <w:tcW w:type="dxa" w:w="1498"/>
          </w:tcPr>
          <w:p>
            <w:pPr>
              <w:pStyle w:val="Compact"/>
              <w:spacing w:after="0" w:before="0" w:line="240" w:lineRule="auto"/>
              <w:jc w:val="left"/>
            </w:pPr>
            <w:r>
              <w:rPr>
                <w:rFonts w:ascii="Arial" w:hAnsi="Arial"/>
                <w:sz w:val="15"/>
              </w:rPr>
              <w:t xml:space="preserve">22.5%</w:t>
            </w:r>
          </w:p>
        </w:tc>
        <w:tc>
          <w:tcPr>
            <w:tcW w:type="dxa" w:w="1589"/>
          </w:tcPr>
          <w:p>
            <w:pPr>
              <w:pStyle w:val="Compact"/>
              <w:spacing w:after="0" w:before="0" w:line="240" w:lineRule="auto"/>
              <w:jc w:val="left"/>
            </w:pPr>
            <w:r>
              <w:rPr>
                <w:rFonts w:ascii="Arial" w:hAnsi="Arial"/>
                <w:sz w:val="15"/>
              </w:rPr>
              <w:t xml:space="preserve">24.0%</w:t>
            </w:r>
          </w:p>
        </w:tc>
        <w:tc>
          <w:tcPr>
            <w:tcW w:type="dxa" w:w="1589"/>
          </w:tcPr>
          <w:p>
            <w:pPr>
              <w:pStyle w:val="Compact"/>
              <w:spacing w:after="0" w:before="0" w:line="240" w:lineRule="auto"/>
              <w:jc w:val="left"/>
            </w:pPr>
            <w:r>
              <w:rPr>
                <w:rFonts w:ascii="Arial" w:hAnsi="Arial"/>
                <w:sz w:val="15"/>
              </w:rPr>
              <w:t xml:space="preserve">25.0%</w:t>
            </w:r>
          </w:p>
        </w:tc>
        <w:tc>
          <w:tcPr>
            <w:tcW w:type="dxa" w:w="3516"/>
          </w:tcPr>
          <w:p>
            <w:pPr>
              <w:pStyle w:val="Compact"/>
              <w:spacing w:after="0" w:before="0" w:line="240" w:lineRule="auto"/>
              <w:jc w:val="left"/>
            </w:pPr>
            <w:r>
              <w:rPr>
                <w:rFonts w:ascii="Arial" w:hAnsi="Arial"/>
                <w:sz w:val="15"/>
              </w:rPr>
              <w:t xml:space="preserve">Restructuring tail fades; savings; FY3/25 was 25.4%</w:t>
            </w:r>
          </w:p>
        </w:tc>
      </w:tr>
      <w:tr>
        <w:trPr>
          <w:cantSplit/>
        </w:trPr>
        <w:tc>
          <w:tcPr>
            <w:tcW w:type="dxa" w:w="1786"/>
            <w:shd w:val="clear" w:color="auto" w:fill="F1F2F5"/>
          </w:tcPr>
          <w:p>
            <w:pPr>
              <w:pStyle w:val="Compact"/>
              <w:spacing w:after="0" w:before="0" w:line="240" w:lineRule="auto"/>
              <w:jc w:val="left"/>
            </w:pPr>
            <w:r>
              <w:rPr>
                <w:rFonts w:ascii="Arial" w:hAnsi="Arial"/>
                <w:sz w:val="15"/>
              </w:rPr>
              <w:t xml:space="preserve">SIS OP margin (IFRS)</w:t>
            </w:r>
          </w:p>
        </w:tc>
        <w:tc>
          <w:tcPr>
            <w:tcW w:type="dxa" w:w="1498"/>
            <w:shd w:val="clear" w:color="auto" w:fill="F1F2F5"/>
          </w:tcPr>
          <w:p>
            <w:pPr>
              <w:pStyle w:val="Compact"/>
              <w:spacing w:after="0" w:before="0" w:line="240" w:lineRule="auto"/>
              <w:jc w:val="left"/>
            </w:pPr>
            <w:r>
              <w:rPr>
                <w:rFonts w:ascii="Arial" w:hAnsi="Arial"/>
                <w:sz w:val="15"/>
              </w:rPr>
              <w:t xml:space="preserve">0.5%</w:t>
            </w:r>
          </w:p>
        </w:tc>
        <w:tc>
          <w:tcPr>
            <w:tcW w:type="dxa" w:w="1589"/>
            <w:shd w:val="clear" w:color="auto" w:fill="F1F2F5"/>
          </w:tcPr>
          <w:p>
            <w:pPr>
              <w:pStyle w:val="Compact"/>
              <w:spacing w:after="0" w:before="0" w:line="240" w:lineRule="auto"/>
              <w:jc w:val="left"/>
            </w:pPr>
            <w:r>
              <w:rPr>
                <w:rFonts w:ascii="Arial" w:hAnsi="Arial"/>
                <w:sz w:val="15"/>
              </w:rPr>
              <w:t xml:space="preserve">3.0%</w:t>
            </w:r>
          </w:p>
        </w:tc>
        <w:tc>
          <w:tcPr>
            <w:tcW w:type="dxa" w:w="1589"/>
            <w:shd w:val="clear" w:color="auto" w:fill="F1F2F5"/>
          </w:tcPr>
          <w:p>
            <w:pPr>
              <w:pStyle w:val="Compact"/>
              <w:spacing w:after="0" w:before="0" w:line="240" w:lineRule="auto"/>
              <w:jc w:val="left"/>
            </w:pPr>
            <w:r>
              <w:rPr>
                <w:rFonts w:ascii="Arial" w:hAnsi="Arial"/>
                <w:sz w:val="15"/>
              </w:rPr>
              <w:t xml:space="preserve">5.0%</w:t>
            </w:r>
          </w:p>
        </w:tc>
        <w:tc>
          <w:tcPr>
            <w:tcW w:type="dxa" w:w="3516"/>
            <w:shd w:val="clear" w:color="auto" w:fill="F1F2F5"/>
          </w:tcPr>
          <w:p>
            <w:pPr>
              <w:pStyle w:val="Compact"/>
              <w:spacing w:after="0" w:before="0" w:line="240" w:lineRule="auto"/>
              <w:jc w:val="left"/>
            </w:pPr>
            <w:r>
              <w:rPr>
                <w:rFonts w:ascii="Arial" w:hAnsi="Arial"/>
                <w:sz w:val="15"/>
              </w:rPr>
              <w:t xml:space="preserve">Ship-holds, remediation and Warning-Letter spend; back to FY3/25 levels only by FY3/29</w:t>
            </w:r>
          </w:p>
        </w:tc>
      </w:tr>
      <w:tr>
        <w:trPr>
          <w:cantSplit/>
        </w:trPr>
        <w:tc>
          <w:tcPr>
            <w:tcW w:type="dxa" w:w="1786"/>
          </w:tcPr>
          <w:p>
            <w:pPr>
              <w:pStyle w:val="Compact"/>
              <w:spacing w:after="0" w:before="0" w:line="240" w:lineRule="auto"/>
              <w:jc w:val="left"/>
            </w:pPr>
            <w:r>
              <w:rPr>
                <w:rFonts w:ascii="Arial" w:hAnsi="Arial"/>
                <w:sz w:val="15"/>
              </w:rPr>
              <w:t xml:space="preserve">Corporate cost</w:t>
            </w:r>
          </w:p>
        </w:tc>
        <w:tc>
          <w:tcPr>
            <w:tcW w:type="dxa" w:w="1498"/>
          </w:tcPr>
          <w:p>
            <w:pPr>
              <w:pStyle w:val="Compact"/>
              <w:spacing w:after="0" w:before="0" w:line="240" w:lineRule="auto"/>
              <w:jc w:val="left"/>
            </w:pPr>
            <w:r>
              <w:rPr>
                <w:rFonts w:ascii="Arial" w:hAnsi="Arial"/>
                <w:sz w:val="15"/>
              </w:rPr>
              <w:t xml:space="preserve">JPY(23.7)bn</w:t>
            </w:r>
          </w:p>
        </w:tc>
        <w:tc>
          <w:tcPr>
            <w:tcW w:type="dxa" w:w="1589"/>
          </w:tcPr>
          <w:p>
            <w:pPr>
              <w:pStyle w:val="Compact"/>
              <w:spacing w:after="0" w:before="0" w:line="240" w:lineRule="auto"/>
              <w:jc w:val="left"/>
            </w:pPr>
            <w:r>
              <w:rPr>
                <w:rFonts w:ascii="Arial" w:hAnsi="Arial"/>
                <w:sz w:val="15"/>
              </w:rPr>
              <w:t xml:space="preserve">JPY(23.0)bn</w:t>
            </w:r>
          </w:p>
        </w:tc>
        <w:tc>
          <w:tcPr>
            <w:tcW w:type="dxa" w:w="1589"/>
          </w:tcPr>
          <w:p>
            <w:pPr>
              <w:pStyle w:val="Compact"/>
              <w:spacing w:after="0" w:before="0" w:line="240" w:lineRule="auto"/>
              <w:jc w:val="left"/>
            </w:pPr>
            <w:r>
              <w:rPr>
                <w:rFonts w:ascii="Arial" w:hAnsi="Arial"/>
                <w:sz w:val="15"/>
              </w:rPr>
              <w:t xml:space="preserve">JPY(23.0)bn</w:t>
            </w:r>
          </w:p>
        </w:tc>
        <w:tc>
          <w:tcPr>
            <w:tcW w:type="dxa" w:w="3516"/>
          </w:tcPr>
          <w:p>
            <w:pPr>
              <w:pStyle w:val="Compact"/>
              <w:spacing w:after="0" w:before="0" w:line="240" w:lineRule="auto"/>
              <w:jc w:val="left"/>
            </w:pPr>
            <w:r>
              <w:rPr>
                <w:rFonts w:ascii="Arial" w:hAnsi="Arial"/>
                <w:sz w:val="15"/>
              </w:rPr>
              <w:t xml:space="preserve">Flat</w:t>
            </w:r>
          </w:p>
        </w:tc>
      </w:tr>
      <w:tr>
        <w:trPr>
          <w:cantSplit/>
        </w:trPr>
        <w:tc>
          <w:tcPr>
            <w:tcW w:type="dxa" w:w="1786"/>
            <w:shd w:val="clear" w:color="auto" w:fill="F1F2F5"/>
          </w:tcPr>
          <w:p>
            <w:pPr>
              <w:pStyle w:val="Compact"/>
              <w:spacing w:after="0" w:before="0" w:line="240" w:lineRule="auto"/>
              <w:jc w:val="left"/>
            </w:pPr>
            <w:r>
              <w:rPr>
                <w:rFonts w:ascii="Arial" w:hAnsi="Arial"/>
                <w:sz w:val="15"/>
              </w:rPr>
              <w:t xml:space="preserve">Adjusted OP − OP gap</w:t>
            </w:r>
          </w:p>
        </w:tc>
        <w:tc>
          <w:tcPr>
            <w:tcW w:type="dxa" w:w="1498"/>
            <w:shd w:val="clear" w:color="auto" w:fill="F1F2F5"/>
          </w:tcPr>
          <w:p>
            <w:pPr>
              <w:pStyle w:val="Compact"/>
              <w:spacing w:after="0" w:before="0" w:line="240" w:lineRule="auto"/>
              <w:jc w:val="left"/>
            </w:pPr>
            <w:r>
              <w:rPr>
                <w:rFonts w:ascii="Arial" w:hAnsi="Arial"/>
                <w:sz w:val="15"/>
              </w:rPr>
              <w:t xml:space="preserve">JPY26bn</w:t>
            </w:r>
          </w:p>
        </w:tc>
        <w:tc>
          <w:tcPr>
            <w:tcW w:type="dxa" w:w="1589"/>
            <w:shd w:val="clear" w:color="auto" w:fill="F1F2F5"/>
          </w:tcPr>
          <w:p>
            <w:pPr>
              <w:pStyle w:val="Compact"/>
              <w:spacing w:after="0" w:before="0" w:line="240" w:lineRule="auto"/>
              <w:jc w:val="left"/>
            </w:pPr>
            <w:r>
              <w:rPr>
                <w:rFonts w:ascii="Arial" w:hAnsi="Arial"/>
                <w:sz w:val="15"/>
              </w:rPr>
              <w:t xml:space="preserve">JPY14bn</w:t>
            </w:r>
          </w:p>
        </w:tc>
        <w:tc>
          <w:tcPr>
            <w:tcW w:type="dxa" w:w="1589"/>
            <w:shd w:val="clear" w:color="auto" w:fill="F1F2F5"/>
          </w:tcPr>
          <w:p>
            <w:pPr>
              <w:pStyle w:val="Compact"/>
              <w:spacing w:after="0" w:before="0" w:line="240" w:lineRule="auto"/>
              <w:jc w:val="left"/>
            </w:pPr>
            <w:r>
              <w:rPr>
                <w:rFonts w:ascii="Arial" w:hAnsi="Arial"/>
                <w:sz w:val="15"/>
              </w:rPr>
              <w:t xml:space="preserve">JPY10bn</w:t>
            </w:r>
          </w:p>
        </w:tc>
        <w:tc>
          <w:tcPr>
            <w:tcW w:type="dxa" w:w="3516"/>
            <w:shd w:val="clear" w:color="auto" w:fill="F1F2F5"/>
          </w:tcPr>
          <w:p>
            <w:pPr>
              <w:pStyle w:val="Compact"/>
              <w:spacing w:after="0" w:before="0" w:line="240" w:lineRule="auto"/>
              <w:jc w:val="left"/>
            </w:pPr>
            <w:r>
              <w:rPr>
                <w:rFonts w:ascii="Arial" w:hAnsi="Arial"/>
                <w:sz w:val="15"/>
              </w:rPr>
              <w:t xml:space="preserve">Guided ~JPY24bn plus ~JPY2bn for Warning-Letter remediation</w:t>
            </w:r>
          </w:p>
        </w:tc>
      </w:tr>
      <w:tr>
        <w:trPr>
          <w:cantSplit/>
        </w:trPr>
        <w:tc>
          <w:tcPr>
            <w:tcW w:type="dxa" w:w="1786"/>
          </w:tcPr>
          <w:p>
            <w:pPr>
              <w:pStyle w:val="Compact"/>
              <w:spacing w:after="0" w:before="0" w:line="240" w:lineRule="auto"/>
              <w:jc w:val="left"/>
            </w:pPr>
            <w:r>
              <w:rPr>
                <w:rFonts w:ascii="Arial" w:hAnsi="Arial"/>
                <w:sz w:val="15"/>
              </w:rPr>
              <w:t xml:space="preserve">D&amp;A</w:t>
            </w:r>
          </w:p>
        </w:tc>
        <w:tc>
          <w:tcPr>
            <w:tcW w:type="dxa" w:w="1498"/>
          </w:tcPr>
          <w:p>
            <w:pPr>
              <w:pStyle w:val="Compact"/>
              <w:spacing w:after="0" w:before="0" w:line="240" w:lineRule="auto"/>
              <w:jc w:val="left"/>
            </w:pPr>
            <w:r>
              <w:rPr>
                <w:rFonts w:ascii="Arial" w:hAnsi="Arial"/>
                <w:sz w:val="15"/>
              </w:rPr>
              <w:t xml:space="preserve">JPY71bn</w:t>
            </w:r>
          </w:p>
        </w:tc>
        <w:tc>
          <w:tcPr>
            <w:tcW w:type="dxa" w:w="1589"/>
          </w:tcPr>
          <w:p>
            <w:pPr>
              <w:pStyle w:val="Compact"/>
              <w:spacing w:after="0" w:before="0" w:line="240" w:lineRule="auto"/>
              <w:jc w:val="left"/>
            </w:pPr>
            <w:r>
              <w:rPr>
                <w:rFonts w:ascii="Arial" w:hAnsi="Arial"/>
                <w:sz w:val="15"/>
              </w:rPr>
              <w:t xml:space="preserve">JPY74bn</w:t>
            </w:r>
          </w:p>
        </w:tc>
        <w:tc>
          <w:tcPr>
            <w:tcW w:type="dxa" w:w="1589"/>
          </w:tcPr>
          <w:p>
            <w:pPr>
              <w:pStyle w:val="Compact"/>
              <w:spacing w:after="0" w:before="0" w:line="240" w:lineRule="auto"/>
              <w:jc w:val="left"/>
            </w:pPr>
            <w:r>
              <w:rPr>
                <w:rFonts w:ascii="Arial" w:hAnsi="Arial"/>
                <w:sz w:val="15"/>
              </w:rPr>
              <w:t xml:space="preserve">JPY77bn</w:t>
            </w:r>
          </w:p>
        </w:tc>
        <w:tc>
          <w:tcPr>
            <w:tcW w:type="dxa" w:w="3516"/>
          </w:tcPr>
          <w:p>
            <w:pPr>
              <w:pStyle w:val="Compact"/>
              <w:spacing w:after="0" w:before="0" w:line="240" w:lineRule="auto"/>
              <w:jc w:val="left"/>
            </w:pPr>
            <w:r>
              <w:rPr>
                <w:rFonts w:ascii="Arial" w:hAnsi="Arial"/>
                <w:sz w:val="15"/>
              </w:rPr>
              <w:t xml:space="preserve">Capex ~JPY92–95bn a year</w:t>
            </w:r>
          </w:p>
        </w:tc>
      </w:tr>
      <w:tr>
        <w:trPr>
          <w:cantSplit/>
        </w:trPr>
        <w:tc>
          <w:tcPr>
            <w:tcW w:type="dxa" w:w="1786"/>
            <w:shd w:val="clear" w:color="auto" w:fill="F1F2F5"/>
          </w:tcPr>
          <w:p>
            <w:pPr>
              <w:pStyle w:val="Compact"/>
              <w:spacing w:after="0" w:before="0" w:line="240" w:lineRule="auto"/>
              <w:jc w:val="left"/>
            </w:pPr>
            <w:r>
              <w:rPr>
                <w:rFonts w:ascii="Arial" w:hAnsi="Arial"/>
                <w:sz w:val="15"/>
              </w:rPr>
              <w:t xml:space="preserve">Net finance cost</w:t>
            </w:r>
          </w:p>
        </w:tc>
        <w:tc>
          <w:tcPr>
            <w:tcW w:type="dxa" w:w="1498"/>
            <w:shd w:val="clear" w:color="auto" w:fill="F1F2F5"/>
          </w:tcPr>
          <w:p>
            <w:pPr>
              <w:pStyle w:val="Compact"/>
              <w:spacing w:after="0" w:before="0" w:line="240" w:lineRule="auto"/>
              <w:jc w:val="left"/>
            </w:pPr>
            <w:r>
              <w:rPr>
                <w:rFonts w:ascii="Arial" w:hAnsi="Arial"/>
                <w:sz w:val="15"/>
              </w:rPr>
              <w:t xml:space="preserve">JPY(8)bn</w:t>
            </w:r>
          </w:p>
        </w:tc>
        <w:tc>
          <w:tcPr>
            <w:tcW w:type="dxa" w:w="1589"/>
            <w:shd w:val="clear" w:color="auto" w:fill="F1F2F5"/>
          </w:tcPr>
          <w:p>
            <w:pPr>
              <w:pStyle w:val="Compact"/>
              <w:spacing w:after="0" w:before="0" w:line="240" w:lineRule="auto"/>
              <w:jc w:val="left"/>
            </w:pPr>
            <w:r>
              <w:rPr>
                <w:rFonts w:ascii="Arial" w:hAnsi="Arial"/>
                <w:sz w:val="15"/>
              </w:rPr>
              <w:t xml:space="preserve">JPY(9)bn</w:t>
            </w:r>
          </w:p>
        </w:tc>
        <w:tc>
          <w:tcPr>
            <w:tcW w:type="dxa" w:w="1589"/>
            <w:shd w:val="clear" w:color="auto" w:fill="F1F2F5"/>
          </w:tcPr>
          <w:p>
            <w:pPr>
              <w:pStyle w:val="Compact"/>
              <w:spacing w:after="0" w:before="0" w:line="240" w:lineRule="auto"/>
              <w:jc w:val="left"/>
            </w:pPr>
            <w:r>
              <w:rPr>
                <w:rFonts w:ascii="Arial" w:hAnsi="Arial"/>
                <w:sz w:val="15"/>
              </w:rPr>
              <w:t xml:space="preserve">JPY(9)bn</w:t>
            </w:r>
          </w:p>
        </w:tc>
        <w:tc>
          <w:tcPr>
            <w:tcW w:type="dxa" w:w="3516"/>
            <w:shd w:val="clear" w:color="auto" w:fill="F1F2F5"/>
          </w:tcPr>
          <w:p>
            <w:pPr>
              <w:pStyle w:val="Compact"/>
              <w:spacing w:after="0" w:before="0" w:line="240" w:lineRule="auto"/>
              <w:jc w:val="left"/>
            </w:pPr>
            <w:r>
              <w:rPr>
                <w:rFonts w:ascii="Arial" w:hAnsi="Arial"/>
                <w:sz w:val="15"/>
              </w:rPr>
              <w:t xml:space="preserve">Refinancing at 5.5% (US$) and 1–1.6% (yen)</w:t>
            </w:r>
          </w:p>
        </w:tc>
      </w:tr>
      <w:tr>
        <w:trPr>
          <w:cantSplit/>
        </w:trPr>
        <w:tc>
          <w:tcPr>
            <w:tcW w:type="dxa" w:w="1786"/>
          </w:tcPr>
          <w:p>
            <w:pPr>
              <w:pStyle w:val="Compact"/>
              <w:spacing w:after="0" w:before="0" w:line="240" w:lineRule="auto"/>
              <w:jc w:val="left"/>
            </w:pPr>
            <w:r>
              <w:rPr>
                <w:rFonts w:ascii="Arial" w:hAnsi="Arial"/>
                <w:sz w:val="15"/>
              </w:rPr>
              <w:t xml:space="preserve">Effective tax rate</w:t>
            </w:r>
          </w:p>
        </w:tc>
        <w:tc>
          <w:tcPr>
            <w:tcW w:type="dxa" w:w="1498"/>
          </w:tcPr>
          <w:p>
            <w:pPr>
              <w:pStyle w:val="Compact"/>
              <w:spacing w:after="0" w:before="0" w:line="240" w:lineRule="auto"/>
              <w:jc w:val="left"/>
            </w:pPr>
            <w:r>
              <w:rPr>
                <w:rFonts w:ascii="Arial" w:hAnsi="Arial"/>
                <w:sz w:val="15"/>
              </w:rPr>
              <w:t xml:space="preserve">27.5%</w:t>
            </w:r>
          </w:p>
        </w:tc>
        <w:tc>
          <w:tcPr>
            <w:tcW w:type="dxa" w:w="1589"/>
          </w:tcPr>
          <w:p>
            <w:pPr>
              <w:pStyle w:val="Compact"/>
              <w:spacing w:after="0" w:before="0" w:line="240" w:lineRule="auto"/>
              <w:jc w:val="left"/>
            </w:pPr>
            <w:r>
              <w:rPr>
                <w:rFonts w:ascii="Arial" w:hAnsi="Arial"/>
                <w:sz w:val="15"/>
              </w:rPr>
              <w:t xml:space="preserve">27.5%</w:t>
            </w:r>
          </w:p>
        </w:tc>
        <w:tc>
          <w:tcPr>
            <w:tcW w:type="dxa" w:w="1589"/>
          </w:tcPr>
          <w:p>
            <w:pPr>
              <w:pStyle w:val="Compact"/>
              <w:spacing w:after="0" w:before="0" w:line="240" w:lineRule="auto"/>
              <w:jc w:val="left"/>
            </w:pPr>
            <w:r>
              <w:rPr>
                <w:rFonts w:ascii="Arial" w:hAnsi="Arial"/>
                <w:sz w:val="15"/>
              </w:rPr>
              <w:t xml:space="preserve">27.5%</w:t>
            </w:r>
          </w:p>
        </w:tc>
        <w:tc>
          <w:tcPr>
            <w:tcW w:type="dxa" w:w="3516"/>
          </w:tcPr>
          <w:p>
            <w:pPr>
              <w:pStyle w:val="Compact"/>
              <w:spacing w:after="0" w:before="0" w:line="240" w:lineRule="auto"/>
              <w:jc w:val="left"/>
            </w:pPr>
            <w:r>
              <w:rPr>
                <w:rFonts w:ascii="Arial" w:hAnsi="Arial"/>
                <w:sz w:val="15"/>
              </w:rPr>
              <w:t xml:space="preserve">FY3/26 27.5%</w:t>
            </w:r>
          </w:p>
        </w:tc>
      </w:tr>
      <w:tr>
        <w:trPr>
          <w:cantSplit/>
        </w:trPr>
        <w:tc>
          <w:tcPr>
            <w:tcW w:type="dxa" w:w="1786"/>
            <w:shd w:val="clear" w:color="auto" w:fill="F1F2F5"/>
          </w:tcPr>
          <w:p>
            <w:pPr>
              <w:pStyle w:val="Compact"/>
              <w:spacing w:after="0" w:before="0" w:line="240" w:lineRule="auto"/>
              <w:jc w:val="left"/>
            </w:pPr>
            <w:r>
              <w:rPr>
                <w:rFonts w:ascii="Arial" w:hAnsi="Arial"/>
                <w:sz w:val="15"/>
              </w:rPr>
              <w:t xml:space="preserve">Buybacks</w:t>
            </w:r>
          </w:p>
        </w:tc>
        <w:tc>
          <w:tcPr>
            <w:tcW w:type="dxa" w:w="1498"/>
            <w:shd w:val="clear" w:color="auto" w:fill="F1F2F5"/>
          </w:tcPr>
          <w:p>
            <w:pPr>
              <w:pStyle w:val="Compact"/>
              <w:spacing w:after="0" w:before="0" w:line="240" w:lineRule="auto"/>
              <w:jc w:val="left"/>
            </w:pPr>
            <w:r>
              <w:rPr>
                <w:rFonts w:ascii="Arial" w:hAnsi="Arial"/>
                <w:sz w:val="15"/>
              </w:rPr>
              <w:t xml:space="preserve">JPY60bn (done)</w:t>
            </w:r>
          </w:p>
        </w:tc>
        <w:tc>
          <w:tcPr>
            <w:tcW w:type="dxa" w:w="1589"/>
            <w:shd w:val="clear" w:color="auto" w:fill="F1F2F5"/>
          </w:tcPr>
          <w:p>
            <w:pPr>
              <w:pStyle w:val="Compact"/>
              <w:spacing w:after="0" w:before="0" w:line="240" w:lineRule="auto"/>
              <w:jc w:val="left"/>
            </w:pPr>
            <w:r>
              <w:rPr>
                <w:rFonts w:ascii="Arial" w:hAnsi="Arial"/>
                <w:sz w:val="15"/>
              </w:rPr>
              <w:t xml:space="preserve">JPY50bn at ~JPY1,950</w:t>
            </w:r>
          </w:p>
        </w:tc>
        <w:tc>
          <w:tcPr>
            <w:tcW w:type="dxa" w:w="1589"/>
            <w:shd w:val="clear" w:color="auto" w:fill="F1F2F5"/>
          </w:tcPr>
          <w:p>
            <w:pPr>
              <w:pStyle w:val="Compact"/>
              <w:spacing w:after="0" w:before="0" w:line="240" w:lineRule="auto"/>
              <w:jc w:val="left"/>
            </w:pPr>
            <w:r>
              <w:rPr>
                <w:rFonts w:ascii="Arial" w:hAnsi="Arial"/>
                <w:sz w:val="15"/>
              </w:rPr>
              <w:t xml:space="preserve">JPY50bn at ~JPY2,100</w:t>
            </w:r>
          </w:p>
        </w:tc>
        <w:tc>
          <w:tcPr>
            <w:tcW w:type="dxa" w:w="3516"/>
            <w:shd w:val="clear" w:color="auto" w:fill="F1F2F5"/>
          </w:tcPr>
          <w:p>
            <w:pPr>
              <w:pStyle w:val="Compact"/>
              <w:spacing w:after="0" w:before="0" w:line="240" w:lineRule="auto"/>
              <w:jc w:val="left"/>
            </w:pPr>
            <w:r>
              <w:rPr>
                <w:rFonts w:ascii="Arial" w:hAnsi="Arial"/>
                <w:sz w:val="15"/>
              </w:rPr>
              <w:t xml:space="preserve">In line with the pattern; leverage &lt; 1x</w:t>
            </w:r>
          </w:p>
        </w:tc>
      </w:tr>
      <w:tr>
        <w:trPr>
          <w:cantSplit/>
        </w:trPr>
        <w:tc>
          <w:tcPr>
            <w:tcW w:type="dxa" w:w="1786"/>
          </w:tcPr>
          <w:p>
            <w:pPr>
              <w:pStyle w:val="Compact"/>
              <w:spacing w:after="0" w:before="0" w:line="240" w:lineRule="auto"/>
              <w:jc w:val="left"/>
            </w:pPr>
            <w:r>
              <w:rPr>
                <w:rFonts w:ascii="Arial" w:hAnsi="Arial"/>
                <w:sz w:val="15"/>
              </w:rPr>
              <w:t xml:space="preserve">DPS</w:t>
            </w:r>
          </w:p>
        </w:tc>
        <w:tc>
          <w:tcPr>
            <w:tcW w:type="dxa" w:w="1498"/>
          </w:tcPr>
          <w:p>
            <w:pPr>
              <w:pStyle w:val="Compact"/>
              <w:spacing w:after="0" w:before="0" w:line="240" w:lineRule="auto"/>
              <w:jc w:val="left"/>
            </w:pPr>
            <w:r>
              <w:rPr>
                <w:rFonts w:ascii="Arial" w:hAnsi="Arial"/>
                <w:sz w:val="15"/>
              </w:rPr>
              <w:t xml:space="preserve">JPY30</w:t>
            </w:r>
          </w:p>
        </w:tc>
        <w:tc>
          <w:tcPr>
            <w:tcW w:type="dxa" w:w="1589"/>
          </w:tcPr>
          <w:p>
            <w:pPr>
              <w:pStyle w:val="Compact"/>
              <w:spacing w:after="0" w:before="0" w:line="240" w:lineRule="auto"/>
              <w:jc w:val="left"/>
            </w:pPr>
            <w:r>
              <w:rPr>
                <w:rFonts w:ascii="Arial" w:hAnsi="Arial"/>
                <w:sz w:val="15"/>
              </w:rPr>
              <w:t xml:space="preserve">JPY32</w:t>
            </w:r>
          </w:p>
        </w:tc>
        <w:tc>
          <w:tcPr>
            <w:tcW w:type="dxa" w:w="1589"/>
          </w:tcPr>
          <w:p>
            <w:pPr>
              <w:pStyle w:val="Compact"/>
              <w:spacing w:after="0" w:before="0" w:line="240" w:lineRule="auto"/>
              <w:jc w:val="left"/>
            </w:pPr>
            <w:r>
              <w:rPr>
                <w:rFonts w:ascii="Arial" w:hAnsi="Arial"/>
                <w:sz w:val="15"/>
              </w:rPr>
              <w:t xml:space="preserve">JPY34</w:t>
            </w:r>
          </w:p>
        </w:tc>
        <w:tc>
          <w:tcPr>
            <w:tcW w:type="dxa" w:w="3516"/>
          </w:tcPr>
          <w:p>
            <w:pPr>
              <w:pStyle w:val="Compact"/>
              <w:spacing w:after="0" w:before="0" w:line="240" w:lineRule="auto"/>
              <w:jc w:val="left"/>
            </w:pPr>
            <w:r>
              <w:rPr>
                <w:rFonts w:ascii="Arial" w:hAnsi="Arial"/>
                <w:sz w:val="15"/>
              </w:rPr>
              <w:t xml:space="preserve">“</w:t>
            </w:r>
            <w:r>
              <w:rPr>
                <w:rFonts w:ascii="Arial" w:hAnsi="Arial"/>
                <w:sz w:val="15"/>
              </w:rPr>
              <w:t xml:space="preserve">Maintain DPS</w:t>
            </w:r>
            <w:r>
              <w:rPr>
                <w:rFonts w:ascii="Arial" w:hAnsi="Arial"/>
                <w:sz w:val="15"/>
              </w:rPr>
              <w:t xml:space="preserve">”</w:t>
            </w:r>
            <w:r>
              <w:rPr>
                <w:rFonts w:ascii="Arial" w:hAnsi="Arial"/>
                <w:sz w:val="15"/>
              </w:rPr>
              <w:t xml:space="preserve"> </w:t>
            </w:r>
            <w:r>
              <w:rPr>
                <w:rFonts w:ascii="Arial" w:hAnsi="Arial"/>
                <w:sz w:val="15"/>
              </w:rPr>
              <w:t xml:space="preserve">policy plus modest growth</w:t>
            </w:r>
          </w:p>
        </w:tc>
      </w:tr>
    </w:tbl>
    <w:bookmarkEnd w:id="79"/>
    <w:bookmarkStart w:id="80" w:name="model-output-vs-consensus"/>
    <w:p>
      <w:pPr>
        <w:pStyle w:val="Heading2"/>
      </w:pPr>
      <w:r>
        <w:t xml:space="preserve">Model output vs consensus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074"/>
        <w:gridCol w:w="1170"/>
        <w:gridCol w:w="1154"/>
        <w:gridCol w:w="1085"/>
        <w:gridCol w:w="1159"/>
        <w:gridCol w:w="1085"/>
        <w:gridCol w:w="1163"/>
        <w:gridCol w:w="1085"/>
      </w:tblGrid>
      <w:tr>
        <w:trPr>
          <w:tblHeader w:val="true"/>
          <w:tblHeader w:val="true"/>
          <w:cantSplit/>
        </w:trPr>
        <w:tc>
          <w:tcPr>
            <w:tcW w:type="dxa" w:w="2075"/>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170"/>
            <w:shd w:val="clear" w:color="auto" w:fill="13213F"/>
          </w:tcPr>
          <w:p>
            <w:pPr>
              <w:pStyle w:val="Compact"/>
              <w:spacing w:after="0" w:before="0" w:line="240" w:lineRule="auto"/>
              <w:jc w:val="right"/>
            </w:pPr>
            <w:r>
              <w:rPr>
                <w:rFonts w:ascii="Arial" w:hAnsi="Arial"/>
                <w:b/>
                <w:color w:val="FFFFFF"/>
                <w:sz w:val="15"/>
              </w:rPr>
              <w:t xml:space="preserve">FY3/26A</w:t>
            </w:r>
          </w:p>
        </w:tc>
        <w:tc>
          <w:tcPr>
            <w:tcW w:type="dxa" w:w="1155"/>
            <w:shd w:val="clear" w:color="auto" w:fill="13213F"/>
          </w:tcPr>
          <w:p>
            <w:pPr>
              <w:pStyle w:val="Compact"/>
              <w:spacing w:after="0" w:before="0" w:line="240" w:lineRule="auto"/>
              <w:jc w:val="right"/>
            </w:pPr>
            <w:r>
              <w:rPr>
                <w:rFonts w:ascii="Arial" w:hAnsi="Arial"/>
                <w:b/>
                <w:color w:val="FFFFFF"/>
                <w:sz w:val="15"/>
              </w:rPr>
              <w:t xml:space="preserve">FY3/27E</w:t>
            </w:r>
          </w:p>
        </w:tc>
        <w:tc>
          <w:tcPr>
            <w:tcW w:type="dxa" w:w="1085"/>
            <w:shd w:val="clear" w:color="auto" w:fill="13213F"/>
          </w:tcPr>
          <w:p>
            <w:pPr>
              <w:pStyle w:val="Compact"/>
              <w:spacing w:after="0" w:before="0" w:line="240" w:lineRule="auto"/>
              <w:jc w:val="right"/>
            </w:pPr>
            <w:r>
              <w:rPr>
                <w:rFonts w:ascii="Arial" w:hAnsi="Arial"/>
                <w:b/>
                <w:color w:val="FFFFFF"/>
                <w:sz w:val="15"/>
              </w:rPr>
              <w:t xml:space="preserve">Cons.</w:t>
            </w:r>
          </w:p>
        </w:tc>
        <w:tc>
          <w:tcPr>
            <w:tcW w:type="dxa" w:w="1159"/>
            <w:shd w:val="clear" w:color="auto" w:fill="13213F"/>
          </w:tcPr>
          <w:p>
            <w:pPr>
              <w:pStyle w:val="Compact"/>
              <w:spacing w:after="0" w:before="0" w:line="240" w:lineRule="auto"/>
              <w:jc w:val="right"/>
            </w:pPr>
            <w:r>
              <w:rPr>
                <w:rFonts w:ascii="Arial" w:hAnsi="Arial"/>
                <w:b/>
                <w:color w:val="FFFFFF"/>
                <w:sz w:val="15"/>
              </w:rPr>
              <w:t xml:space="preserve">FY3/28E</w:t>
            </w:r>
          </w:p>
        </w:tc>
        <w:tc>
          <w:tcPr>
            <w:tcW w:type="dxa" w:w="1085"/>
            <w:shd w:val="clear" w:color="auto" w:fill="13213F"/>
          </w:tcPr>
          <w:p>
            <w:pPr>
              <w:pStyle w:val="Compact"/>
              <w:spacing w:after="0" w:before="0" w:line="240" w:lineRule="auto"/>
              <w:jc w:val="right"/>
            </w:pPr>
            <w:r>
              <w:rPr>
                <w:rFonts w:ascii="Arial" w:hAnsi="Arial"/>
                <w:b/>
                <w:color w:val="FFFFFF"/>
                <w:sz w:val="15"/>
              </w:rPr>
              <w:t xml:space="preserve">Cons.</w:t>
            </w:r>
          </w:p>
        </w:tc>
        <w:tc>
          <w:tcPr>
            <w:tcW w:type="dxa" w:w="1164"/>
            <w:shd w:val="clear" w:color="auto" w:fill="13213F"/>
          </w:tcPr>
          <w:p>
            <w:pPr>
              <w:pStyle w:val="Compact"/>
              <w:spacing w:after="0" w:before="0" w:line="240" w:lineRule="auto"/>
              <w:jc w:val="right"/>
            </w:pPr>
            <w:r>
              <w:rPr>
                <w:rFonts w:ascii="Arial" w:hAnsi="Arial"/>
                <w:b/>
                <w:color w:val="FFFFFF"/>
                <w:sz w:val="15"/>
              </w:rPr>
              <w:t xml:space="preserve">FY3/29E</w:t>
            </w:r>
          </w:p>
        </w:tc>
        <w:tc>
          <w:tcPr>
            <w:tcW w:type="dxa" w:w="1085"/>
            <w:shd w:val="clear" w:color="auto" w:fill="13213F"/>
          </w:tcPr>
          <w:p>
            <w:pPr>
              <w:pStyle w:val="Compact"/>
              <w:spacing w:after="0" w:before="0" w:line="240" w:lineRule="auto"/>
              <w:jc w:val="right"/>
            </w:pPr>
            <w:r>
              <w:rPr>
                <w:rFonts w:ascii="Arial" w:hAnsi="Arial"/>
                <w:b/>
                <w:color w:val="FFFFFF"/>
                <w:sz w:val="15"/>
              </w:rPr>
              <w:t xml:space="preserve">Cons.</w:t>
            </w:r>
          </w:p>
        </w:tc>
      </w:tr>
      <w:tr>
        <w:trPr>
          <w:cantSplit/>
        </w:trPr>
        <w:tc>
          <w:tcPr>
            <w:tcW w:type="dxa" w:w="2075"/>
          </w:tcPr>
          <w:p>
            <w:pPr>
              <w:pStyle w:val="Compact"/>
              <w:spacing w:after="0" w:before="0" w:line="240" w:lineRule="auto"/>
              <w:jc w:val="left"/>
            </w:pPr>
            <w:r>
              <w:rPr>
                <w:rFonts w:ascii="Arial" w:hAnsi="Arial"/>
                <w:sz w:val="15"/>
              </w:rPr>
              <w:t xml:space="preserve">Revenue</w:t>
            </w:r>
          </w:p>
        </w:tc>
        <w:tc>
          <w:tcPr>
            <w:tcW w:type="dxa" w:w="1170"/>
          </w:tcPr>
          <w:p>
            <w:pPr>
              <w:pStyle w:val="Compact"/>
              <w:spacing w:after="0" w:before="0" w:line="240" w:lineRule="auto"/>
              <w:jc w:val="right"/>
            </w:pPr>
            <w:r>
              <w:rPr>
                <w:rFonts w:ascii="Arial" w:hAnsi="Arial"/>
                <w:sz w:val="15"/>
              </w:rPr>
              <w:t xml:space="preserve">1,010.7</w:t>
            </w:r>
          </w:p>
        </w:tc>
        <w:tc>
          <w:tcPr>
            <w:tcW w:type="dxa" w:w="1155"/>
          </w:tcPr>
          <w:p>
            <w:pPr>
              <w:pStyle w:val="Compact"/>
              <w:spacing w:after="0" w:before="0" w:line="240" w:lineRule="auto"/>
              <w:jc w:val="right"/>
            </w:pPr>
            <w:r>
              <w:rPr>
                <w:rFonts w:ascii="Arial" w:hAnsi="Arial"/>
                <w:sz w:val="15"/>
              </w:rPr>
              <w:t xml:space="preserve">1,071.9</w:t>
            </w:r>
          </w:p>
        </w:tc>
        <w:tc>
          <w:tcPr>
            <w:tcW w:type="dxa" w:w="1085"/>
          </w:tcPr>
          <w:p>
            <w:pPr>
              <w:pStyle w:val="Compact"/>
              <w:spacing w:after="0" w:before="0" w:line="240" w:lineRule="auto"/>
              <w:jc w:val="right"/>
            </w:pPr>
            <w:r>
              <w:rPr>
                <w:rFonts w:ascii="Arial" w:hAnsi="Arial"/>
                <w:sz w:val="15"/>
              </w:rPr>
              <w:t xml:space="preserve">1,082.2</w:t>
            </w:r>
          </w:p>
        </w:tc>
        <w:tc>
          <w:tcPr>
            <w:tcW w:type="dxa" w:w="1159"/>
          </w:tcPr>
          <w:p>
            <w:pPr>
              <w:pStyle w:val="Compact"/>
              <w:spacing w:after="0" w:before="0" w:line="240" w:lineRule="auto"/>
              <w:jc w:val="right"/>
            </w:pPr>
            <w:r>
              <w:rPr>
                <w:rFonts w:ascii="Arial" w:hAnsi="Arial"/>
                <w:sz w:val="15"/>
              </w:rPr>
              <w:t xml:space="preserve">1,118.9</w:t>
            </w:r>
          </w:p>
        </w:tc>
        <w:tc>
          <w:tcPr>
            <w:tcW w:type="dxa" w:w="1085"/>
          </w:tcPr>
          <w:p>
            <w:pPr>
              <w:pStyle w:val="Compact"/>
              <w:spacing w:after="0" w:before="0" w:line="240" w:lineRule="auto"/>
              <w:jc w:val="right"/>
            </w:pPr>
            <w:r>
              <w:rPr>
                <w:rFonts w:ascii="Arial" w:hAnsi="Arial"/>
                <w:sz w:val="15"/>
              </w:rPr>
              <w:t xml:space="preserve">1,122.8</w:t>
            </w:r>
          </w:p>
        </w:tc>
        <w:tc>
          <w:tcPr>
            <w:tcW w:type="dxa" w:w="1164"/>
          </w:tcPr>
          <w:p>
            <w:pPr>
              <w:pStyle w:val="Compact"/>
              <w:spacing w:after="0" w:before="0" w:line="240" w:lineRule="auto"/>
              <w:jc w:val="right"/>
            </w:pPr>
            <w:r>
              <w:rPr>
                <w:rFonts w:ascii="Arial" w:hAnsi="Arial"/>
                <w:sz w:val="15"/>
              </w:rPr>
              <w:t xml:space="preserve">1,173.7</w:t>
            </w:r>
          </w:p>
        </w:tc>
        <w:tc>
          <w:tcPr>
            <w:tcW w:type="dxa" w:w="1085"/>
          </w:tcPr>
          <w:p>
            <w:pPr>
              <w:pStyle w:val="Compact"/>
              <w:spacing w:after="0" w:before="0" w:line="240" w:lineRule="auto"/>
              <w:jc w:val="right"/>
            </w:pPr>
            <w:r>
              <w:rPr>
                <w:rFonts w:ascii="Arial" w:hAnsi="Arial"/>
                <w:sz w:val="15"/>
              </w:rPr>
              <w:t xml:space="preserve">1,166.8</w:t>
            </w:r>
          </w:p>
        </w:tc>
      </w:tr>
      <w:tr>
        <w:trPr>
          <w:cantSplit/>
        </w:trPr>
        <w:tc>
          <w:tcPr>
            <w:tcW w:type="dxa" w:w="2075"/>
            <w:shd w:val="clear" w:color="auto" w:fill="F1F2F5"/>
          </w:tcPr>
          <w:p>
            <w:pPr>
              <w:pStyle w:val="Compact"/>
              <w:spacing w:after="0" w:before="0" w:line="240" w:lineRule="auto"/>
              <w:jc w:val="left"/>
            </w:pPr>
            <w:r>
              <w:rPr>
                <w:rFonts w:ascii="Arial" w:hAnsi="Arial"/>
                <w:sz w:val="15"/>
              </w:rPr>
              <w:t xml:space="preserve">GIS OP</w:t>
            </w:r>
          </w:p>
        </w:tc>
        <w:tc>
          <w:tcPr>
            <w:tcW w:type="dxa" w:w="1170"/>
            <w:shd w:val="clear" w:color="auto" w:fill="F1F2F5"/>
          </w:tcPr>
          <w:p>
            <w:pPr>
              <w:pStyle w:val="Compact"/>
              <w:spacing w:after="0" w:before="0" w:line="240" w:lineRule="auto"/>
              <w:jc w:val="right"/>
            </w:pPr>
            <w:r>
              <w:rPr>
                <w:rFonts w:ascii="Arial" w:hAnsi="Arial"/>
                <w:sz w:val="15"/>
              </w:rPr>
              <w:t xml:space="preserve">136.4</w:t>
            </w:r>
          </w:p>
        </w:tc>
        <w:tc>
          <w:tcPr>
            <w:tcW w:type="dxa" w:w="1155"/>
            <w:shd w:val="clear" w:color="auto" w:fill="F1F2F5"/>
          </w:tcPr>
          <w:p>
            <w:pPr>
              <w:pStyle w:val="Compact"/>
              <w:spacing w:after="0" w:before="0" w:line="240" w:lineRule="auto"/>
              <w:jc w:val="right"/>
            </w:pPr>
            <w:r>
              <w:rPr>
                <w:rFonts w:ascii="Arial" w:hAnsi="Arial"/>
                <w:sz w:val="15"/>
              </w:rPr>
              <w:t xml:space="preserve">167.6</w:t>
            </w:r>
          </w:p>
        </w:tc>
        <w:tc>
          <w:tcPr>
            <w:tcW w:type="dxa" w:w="1085"/>
            <w:shd w:val="clear" w:color="auto" w:fill="F1F2F5"/>
          </w:tcPr>
          <w:p>
            <w:pPr>
              <w:pStyle w:val="Compact"/>
              <w:spacing w:after="0" w:before="0" w:line="240" w:lineRule="auto"/>
              <w:jc w:val="right"/>
            </w:pPr>
            <w:r>
              <w:rPr>
                <w:rFonts w:ascii="Arial" w:hAnsi="Arial"/>
                <w:sz w:val="15"/>
              </w:rPr>
              <w:t xml:space="preserve">–</w:t>
            </w:r>
          </w:p>
        </w:tc>
        <w:tc>
          <w:tcPr>
            <w:tcW w:type="dxa" w:w="1159"/>
            <w:shd w:val="clear" w:color="auto" w:fill="F1F2F5"/>
          </w:tcPr>
          <w:p>
            <w:pPr>
              <w:pStyle w:val="Compact"/>
              <w:spacing w:after="0" w:before="0" w:line="240" w:lineRule="auto"/>
              <w:jc w:val="right"/>
            </w:pPr>
            <w:r>
              <w:rPr>
                <w:rFonts w:ascii="Arial" w:hAnsi="Arial"/>
                <w:sz w:val="15"/>
              </w:rPr>
              <w:t xml:space="preserve">187.7</w:t>
            </w:r>
          </w:p>
        </w:tc>
        <w:tc>
          <w:tcPr>
            <w:tcW w:type="dxa" w:w="1085"/>
            <w:shd w:val="clear" w:color="auto" w:fill="F1F2F5"/>
          </w:tcPr>
          <w:p>
            <w:pPr>
              <w:pStyle w:val="Compact"/>
              <w:spacing w:after="0" w:before="0" w:line="240" w:lineRule="auto"/>
              <w:jc w:val="right"/>
            </w:pPr>
            <w:r>
              <w:rPr>
                <w:rFonts w:ascii="Arial" w:hAnsi="Arial"/>
                <w:sz w:val="15"/>
              </w:rPr>
              <w:t xml:space="preserve">–</w:t>
            </w:r>
          </w:p>
        </w:tc>
        <w:tc>
          <w:tcPr>
            <w:tcW w:type="dxa" w:w="1164"/>
            <w:shd w:val="clear" w:color="auto" w:fill="F1F2F5"/>
          </w:tcPr>
          <w:p>
            <w:pPr>
              <w:pStyle w:val="Compact"/>
              <w:spacing w:after="0" w:before="0" w:line="240" w:lineRule="auto"/>
              <w:jc w:val="right"/>
            </w:pPr>
            <w:r>
              <w:rPr>
                <w:rFonts w:ascii="Arial" w:hAnsi="Arial"/>
                <w:sz w:val="15"/>
              </w:rPr>
              <w:t xml:space="preserve">206.3</w:t>
            </w:r>
          </w:p>
        </w:tc>
        <w:tc>
          <w:tcPr>
            <w:tcW w:type="dxa" w:w="1085"/>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075"/>
          </w:tcPr>
          <w:p>
            <w:pPr>
              <w:pStyle w:val="Compact"/>
              <w:spacing w:after="0" w:before="0" w:line="240" w:lineRule="auto"/>
              <w:jc w:val="left"/>
            </w:pPr>
            <w:r>
              <w:rPr>
                <w:rFonts w:ascii="Arial" w:hAnsi="Arial"/>
                <w:sz w:val="15"/>
              </w:rPr>
              <w:t xml:space="preserve">SIS OP</w:t>
            </w:r>
          </w:p>
        </w:tc>
        <w:tc>
          <w:tcPr>
            <w:tcW w:type="dxa" w:w="1170"/>
          </w:tcPr>
          <w:p>
            <w:pPr>
              <w:pStyle w:val="Compact"/>
              <w:spacing w:after="0" w:before="0" w:line="240" w:lineRule="auto"/>
              <w:jc w:val="right"/>
            </w:pPr>
            <w:r>
              <w:rPr>
                <w:rFonts w:ascii="Arial" w:hAnsi="Arial"/>
                <w:sz w:val="15"/>
              </w:rPr>
              <w:t xml:space="preserve">(15.0)</w:t>
            </w:r>
          </w:p>
        </w:tc>
        <w:tc>
          <w:tcPr>
            <w:tcW w:type="dxa" w:w="1155"/>
          </w:tcPr>
          <w:p>
            <w:pPr>
              <w:pStyle w:val="Compact"/>
              <w:spacing w:after="0" w:before="0" w:line="240" w:lineRule="auto"/>
              <w:jc w:val="right"/>
            </w:pPr>
            <w:r>
              <w:rPr>
                <w:rFonts w:ascii="Arial" w:hAnsi="Arial"/>
                <w:sz w:val="15"/>
              </w:rPr>
              <w:t xml:space="preserve">1.6</w:t>
            </w:r>
          </w:p>
        </w:tc>
        <w:tc>
          <w:tcPr>
            <w:tcW w:type="dxa" w:w="1085"/>
          </w:tcPr>
          <w:p>
            <w:pPr>
              <w:pStyle w:val="Compact"/>
              <w:spacing w:after="0" w:before="0" w:line="240" w:lineRule="auto"/>
              <w:jc w:val="right"/>
            </w:pPr>
            <w:r>
              <w:rPr>
                <w:rFonts w:ascii="Arial" w:hAnsi="Arial"/>
                <w:sz w:val="15"/>
              </w:rPr>
              <w:t xml:space="preserve">–</w:t>
            </w:r>
          </w:p>
        </w:tc>
        <w:tc>
          <w:tcPr>
            <w:tcW w:type="dxa" w:w="1159"/>
          </w:tcPr>
          <w:p>
            <w:pPr>
              <w:pStyle w:val="Compact"/>
              <w:spacing w:after="0" w:before="0" w:line="240" w:lineRule="auto"/>
              <w:jc w:val="right"/>
            </w:pPr>
            <w:r>
              <w:rPr>
                <w:rFonts w:ascii="Arial" w:hAnsi="Arial"/>
                <w:sz w:val="15"/>
              </w:rPr>
              <w:t xml:space="preserve">10.1</w:t>
            </w:r>
          </w:p>
        </w:tc>
        <w:tc>
          <w:tcPr>
            <w:tcW w:type="dxa" w:w="1085"/>
          </w:tcPr>
          <w:p>
            <w:pPr>
              <w:pStyle w:val="Compact"/>
              <w:spacing w:after="0" w:before="0" w:line="240" w:lineRule="auto"/>
              <w:jc w:val="right"/>
            </w:pPr>
            <w:r>
              <w:rPr>
                <w:rFonts w:ascii="Arial" w:hAnsi="Arial"/>
                <w:sz w:val="15"/>
              </w:rPr>
              <w:t xml:space="preserve">–</w:t>
            </w:r>
          </w:p>
        </w:tc>
        <w:tc>
          <w:tcPr>
            <w:tcW w:type="dxa" w:w="1164"/>
          </w:tcPr>
          <w:p>
            <w:pPr>
              <w:pStyle w:val="Compact"/>
              <w:spacing w:after="0" w:before="0" w:line="240" w:lineRule="auto"/>
              <w:jc w:val="right"/>
            </w:pPr>
            <w:r>
              <w:rPr>
                <w:rFonts w:ascii="Arial" w:hAnsi="Arial"/>
                <w:sz w:val="15"/>
              </w:rPr>
              <w:t xml:space="preserve">17.4</w:t>
            </w:r>
          </w:p>
        </w:tc>
        <w:tc>
          <w:tcPr>
            <w:tcW w:type="dxa" w:w="1085"/>
          </w:tcPr>
          <w:p>
            <w:pPr>
              <w:pStyle w:val="Compact"/>
              <w:spacing w:after="0" w:before="0" w:line="240" w:lineRule="auto"/>
              <w:jc w:val="right"/>
            </w:pPr>
            <w:r>
              <w:rPr>
                <w:rFonts w:ascii="Arial" w:hAnsi="Arial"/>
                <w:sz w:val="15"/>
              </w:rPr>
              <w:t xml:space="preserve">–</w:t>
            </w:r>
          </w:p>
        </w:tc>
      </w:tr>
      <w:tr>
        <w:trPr>
          <w:cantSplit/>
        </w:trPr>
        <w:tc>
          <w:tcPr>
            <w:tcW w:type="dxa" w:w="2075"/>
            <w:shd w:val="clear" w:color="auto" w:fill="F1F2F5"/>
          </w:tcPr>
          <w:p>
            <w:pPr>
              <w:pStyle w:val="Compact"/>
              <w:spacing w:after="0" w:before="0" w:line="240" w:lineRule="auto"/>
              <w:jc w:val="left"/>
            </w:pPr>
            <w:r>
              <w:rPr>
                <w:rFonts w:ascii="Arial" w:hAnsi="Arial"/>
                <w:sz w:val="15"/>
              </w:rPr>
              <w:t xml:space="preserve">Adjusted OP</w:t>
            </w:r>
          </w:p>
        </w:tc>
        <w:tc>
          <w:tcPr>
            <w:tcW w:type="dxa" w:w="1170"/>
            <w:shd w:val="clear" w:color="auto" w:fill="F1F2F5"/>
          </w:tcPr>
          <w:p>
            <w:pPr>
              <w:pStyle w:val="Compact"/>
              <w:spacing w:after="0" w:before="0" w:line="240" w:lineRule="auto"/>
              <w:jc w:val="right"/>
            </w:pPr>
            <w:r>
              <w:rPr>
                <w:rFonts w:ascii="Arial" w:hAnsi="Arial"/>
                <w:sz w:val="15"/>
              </w:rPr>
              <w:t xml:space="preserve">143.3</w:t>
            </w:r>
          </w:p>
        </w:tc>
        <w:tc>
          <w:tcPr>
            <w:tcW w:type="dxa" w:w="1155"/>
            <w:shd w:val="clear" w:color="auto" w:fill="F1F2F5"/>
          </w:tcPr>
          <w:p>
            <w:pPr>
              <w:pStyle w:val="Compact"/>
              <w:spacing w:after="0" w:before="0" w:line="240" w:lineRule="auto"/>
              <w:jc w:val="right"/>
            </w:pPr>
            <w:r>
              <w:rPr>
                <w:rFonts w:ascii="Arial" w:hAnsi="Arial"/>
                <w:sz w:val="15"/>
              </w:rPr>
              <w:t xml:space="preserve">171.0</w:t>
            </w:r>
          </w:p>
        </w:tc>
        <w:tc>
          <w:tcPr>
            <w:tcW w:type="dxa" w:w="1085"/>
            <w:shd w:val="clear" w:color="auto" w:fill="F1F2F5"/>
          </w:tcPr>
          <w:p>
            <w:pPr>
              <w:pStyle w:val="Compact"/>
              <w:spacing w:after="0" w:before="0" w:line="240" w:lineRule="auto"/>
              <w:jc w:val="right"/>
            </w:pPr>
            <w:r>
              <w:rPr>
                <w:rFonts w:ascii="Arial" w:hAnsi="Arial"/>
                <w:sz w:val="15"/>
              </w:rPr>
              <w:t xml:space="preserve">–</w:t>
            </w:r>
          </w:p>
        </w:tc>
        <w:tc>
          <w:tcPr>
            <w:tcW w:type="dxa" w:w="1159"/>
            <w:shd w:val="clear" w:color="auto" w:fill="F1F2F5"/>
          </w:tcPr>
          <w:p>
            <w:pPr>
              <w:pStyle w:val="Compact"/>
              <w:spacing w:after="0" w:before="0" w:line="240" w:lineRule="auto"/>
              <w:jc w:val="right"/>
            </w:pPr>
            <w:r>
              <w:rPr>
                <w:rFonts w:ascii="Arial" w:hAnsi="Arial"/>
                <w:sz w:val="15"/>
              </w:rPr>
              <w:t xml:space="preserve">188.3</w:t>
            </w:r>
          </w:p>
        </w:tc>
        <w:tc>
          <w:tcPr>
            <w:tcW w:type="dxa" w:w="1085"/>
            <w:shd w:val="clear" w:color="auto" w:fill="F1F2F5"/>
          </w:tcPr>
          <w:p>
            <w:pPr>
              <w:pStyle w:val="Compact"/>
              <w:spacing w:after="0" w:before="0" w:line="240" w:lineRule="auto"/>
              <w:jc w:val="right"/>
            </w:pPr>
            <w:r>
              <w:rPr>
                <w:rFonts w:ascii="Arial" w:hAnsi="Arial"/>
                <w:sz w:val="15"/>
              </w:rPr>
              <w:t xml:space="preserve">–</w:t>
            </w:r>
          </w:p>
        </w:tc>
        <w:tc>
          <w:tcPr>
            <w:tcW w:type="dxa" w:w="1164"/>
            <w:shd w:val="clear" w:color="auto" w:fill="F1F2F5"/>
          </w:tcPr>
          <w:p>
            <w:pPr>
              <w:pStyle w:val="Compact"/>
              <w:spacing w:after="0" w:before="0" w:line="240" w:lineRule="auto"/>
              <w:jc w:val="right"/>
            </w:pPr>
            <w:r>
              <w:rPr>
                <w:rFonts w:ascii="Arial" w:hAnsi="Arial"/>
                <w:sz w:val="15"/>
              </w:rPr>
              <w:t xml:space="preserve">210.2</w:t>
            </w:r>
          </w:p>
        </w:tc>
        <w:tc>
          <w:tcPr>
            <w:tcW w:type="dxa" w:w="1085"/>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075"/>
          </w:tcPr>
          <w:p>
            <w:pPr>
              <w:pStyle w:val="Compact"/>
              <w:spacing w:after="0" w:before="0" w:line="240" w:lineRule="auto"/>
              <w:jc w:val="left"/>
            </w:pPr>
            <w:r>
              <w:rPr>
                <w:rFonts w:ascii="Arial" w:hAnsi="Arial"/>
                <w:sz w:val="15"/>
              </w:rPr>
              <w:t xml:space="preserve">Adjusted OP margin</w:t>
            </w:r>
          </w:p>
        </w:tc>
        <w:tc>
          <w:tcPr>
            <w:tcW w:type="dxa" w:w="1170"/>
          </w:tcPr>
          <w:p>
            <w:pPr>
              <w:pStyle w:val="Compact"/>
              <w:spacing w:after="0" w:before="0" w:line="240" w:lineRule="auto"/>
              <w:jc w:val="right"/>
            </w:pPr>
            <w:r>
              <w:rPr>
                <w:rFonts w:ascii="Arial" w:hAnsi="Arial"/>
                <w:sz w:val="15"/>
              </w:rPr>
              <w:t xml:space="preserve">14.2%</w:t>
            </w:r>
          </w:p>
        </w:tc>
        <w:tc>
          <w:tcPr>
            <w:tcW w:type="dxa" w:w="1155"/>
          </w:tcPr>
          <w:p>
            <w:pPr>
              <w:pStyle w:val="Compact"/>
              <w:spacing w:after="0" w:before="0" w:line="240" w:lineRule="auto"/>
              <w:jc w:val="right"/>
            </w:pPr>
            <w:r>
              <w:rPr>
                <w:rFonts w:ascii="Arial" w:hAnsi="Arial"/>
                <w:sz w:val="15"/>
              </w:rPr>
              <w:t xml:space="preserve">16.0%</w:t>
            </w:r>
          </w:p>
        </w:tc>
        <w:tc>
          <w:tcPr>
            <w:tcW w:type="dxa" w:w="1085"/>
          </w:tcPr>
          <w:p>
            <w:pPr>
              <w:pStyle w:val="Compact"/>
              <w:spacing w:after="0" w:before="0" w:line="240" w:lineRule="auto"/>
              <w:jc w:val="right"/>
            </w:pPr>
            <w:r>
              <w:rPr>
                <w:rFonts w:ascii="Arial" w:hAnsi="Arial"/>
                <w:sz w:val="15"/>
              </w:rPr>
              <w:t xml:space="preserve">–</w:t>
            </w:r>
          </w:p>
        </w:tc>
        <w:tc>
          <w:tcPr>
            <w:tcW w:type="dxa" w:w="1159"/>
          </w:tcPr>
          <w:p>
            <w:pPr>
              <w:pStyle w:val="Compact"/>
              <w:spacing w:after="0" w:before="0" w:line="240" w:lineRule="auto"/>
              <w:jc w:val="right"/>
            </w:pPr>
            <w:r>
              <w:rPr>
                <w:rFonts w:ascii="Arial" w:hAnsi="Arial"/>
                <w:sz w:val="15"/>
              </w:rPr>
              <w:t xml:space="preserve">16.8%</w:t>
            </w:r>
          </w:p>
        </w:tc>
        <w:tc>
          <w:tcPr>
            <w:tcW w:type="dxa" w:w="1085"/>
          </w:tcPr>
          <w:p>
            <w:pPr>
              <w:pStyle w:val="Compact"/>
              <w:spacing w:after="0" w:before="0" w:line="240" w:lineRule="auto"/>
              <w:jc w:val="right"/>
            </w:pPr>
            <w:r>
              <w:rPr>
                <w:rFonts w:ascii="Arial" w:hAnsi="Arial"/>
                <w:sz w:val="15"/>
              </w:rPr>
              <w:t xml:space="preserve">–</w:t>
            </w:r>
          </w:p>
        </w:tc>
        <w:tc>
          <w:tcPr>
            <w:tcW w:type="dxa" w:w="1164"/>
          </w:tcPr>
          <w:p>
            <w:pPr>
              <w:pStyle w:val="Compact"/>
              <w:spacing w:after="0" w:before="0" w:line="240" w:lineRule="auto"/>
              <w:jc w:val="right"/>
            </w:pPr>
            <w:r>
              <w:rPr>
                <w:rFonts w:ascii="Arial" w:hAnsi="Arial"/>
                <w:sz w:val="15"/>
              </w:rPr>
              <w:t xml:space="preserve">17.9%</w:t>
            </w:r>
          </w:p>
        </w:tc>
        <w:tc>
          <w:tcPr>
            <w:tcW w:type="dxa" w:w="1085"/>
          </w:tcPr>
          <w:p>
            <w:pPr>
              <w:pStyle w:val="Compact"/>
              <w:spacing w:after="0" w:before="0" w:line="240" w:lineRule="auto"/>
              <w:jc w:val="right"/>
            </w:pPr>
            <w:r>
              <w:rPr>
                <w:rFonts w:ascii="Arial" w:hAnsi="Arial"/>
                <w:sz w:val="15"/>
              </w:rPr>
              <w:t xml:space="preserve">–</w:t>
            </w:r>
          </w:p>
        </w:tc>
      </w:tr>
      <w:tr>
        <w:trPr>
          <w:cantSplit/>
        </w:trPr>
        <w:tc>
          <w:tcPr>
            <w:tcW w:type="dxa" w:w="2075"/>
            <w:shd w:val="clear" w:color="auto" w:fill="F1F2F5"/>
          </w:tcPr>
          <w:p>
            <w:pPr>
              <w:pStyle w:val="Compact"/>
              <w:spacing w:after="0" w:before="0" w:line="240" w:lineRule="auto"/>
              <w:jc w:val="left"/>
            </w:pPr>
            <w:r>
              <w:rPr>
                <w:rFonts w:ascii="Arial" w:hAnsi="Arial"/>
                <w:sz w:val="15"/>
              </w:rPr>
              <w:t xml:space="preserve">Operating profit (IFRS)</w:t>
            </w:r>
          </w:p>
        </w:tc>
        <w:tc>
          <w:tcPr>
            <w:tcW w:type="dxa" w:w="1170"/>
            <w:shd w:val="clear" w:color="auto" w:fill="F1F2F5"/>
          </w:tcPr>
          <w:p>
            <w:pPr>
              <w:pStyle w:val="Compact"/>
              <w:spacing w:after="0" w:before="0" w:line="240" w:lineRule="auto"/>
              <w:jc w:val="right"/>
            </w:pPr>
            <w:r>
              <w:rPr>
                <w:rFonts w:ascii="Arial" w:hAnsi="Arial"/>
                <w:sz w:val="15"/>
              </w:rPr>
              <w:t xml:space="preserve">97.1</w:t>
            </w:r>
          </w:p>
        </w:tc>
        <w:tc>
          <w:tcPr>
            <w:tcW w:type="dxa" w:w="1155"/>
            <w:shd w:val="clear" w:color="auto" w:fill="F1F2F5"/>
          </w:tcPr>
          <w:p>
            <w:pPr>
              <w:pStyle w:val="Compact"/>
              <w:spacing w:after="0" w:before="0" w:line="240" w:lineRule="auto"/>
              <w:jc w:val="right"/>
            </w:pPr>
            <w:r>
              <w:rPr>
                <w:rFonts w:ascii="Arial" w:hAnsi="Arial"/>
                <w:sz w:val="15"/>
              </w:rPr>
              <w:t xml:space="preserve">145.0</w:t>
            </w:r>
          </w:p>
        </w:tc>
        <w:tc>
          <w:tcPr>
            <w:tcW w:type="dxa" w:w="1085"/>
            <w:shd w:val="clear" w:color="auto" w:fill="F1F2F5"/>
          </w:tcPr>
          <w:p>
            <w:pPr>
              <w:pStyle w:val="Compact"/>
              <w:spacing w:after="0" w:before="0" w:line="240" w:lineRule="auto"/>
              <w:jc w:val="right"/>
            </w:pPr>
            <w:r>
              <w:rPr>
                <w:rFonts w:ascii="Arial" w:hAnsi="Arial"/>
                <w:sz w:val="15"/>
              </w:rPr>
              <w:t xml:space="preserve">150.4</w:t>
            </w:r>
          </w:p>
        </w:tc>
        <w:tc>
          <w:tcPr>
            <w:tcW w:type="dxa" w:w="1159"/>
            <w:shd w:val="clear" w:color="auto" w:fill="F1F2F5"/>
          </w:tcPr>
          <w:p>
            <w:pPr>
              <w:pStyle w:val="Compact"/>
              <w:spacing w:after="0" w:before="0" w:line="240" w:lineRule="auto"/>
              <w:jc w:val="right"/>
            </w:pPr>
            <w:r>
              <w:rPr>
                <w:rFonts w:ascii="Arial" w:hAnsi="Arial"/>
                <w:sz w:val="15"/>
              </w:rPr>
              <w:t xml:space="preserve">174.3</w:t>
            </w:r>
          </w:p>
        </w:tc>
        <w:tc>
          <w:tcPr>
            <w:tcW w:type="dxa" w:w="1085"/>
            <w:shd w:val="clear" w:color="auto" w:fill="F1F2F5"/>
          </w:tcPr>
          <w:p>
            <w:pPr>
              <w:pStyle w:val="Compact"/>
              <w:spacing w:after="0" w:before="0" w:line="240" w:lineRule="auto"/>
              <w:jc w:val="right"/>
            </w:pPr>
            <w:r>
              <w:rPr>
                <w:rFonts w:ascii="Arial" w:hAnsi="Arial"/>
                <w:sz w:val="15"/>
              </w:rPr>
              <w:t xml:space="preserve">171.7</w:t>
            </w:r>
          </w:p>
        </w:tc>
        <w:tc>
          <w:tcPr>
            <w:tcW w:type="dxa" w:w="1164"/>
            <w:shd w:val="clear" w:color="auto" w:fill="F1F2F5"/>
          </w:tcPr>
          <w:p>
            <w:pPr>
              <w:pStyle w:val="Compact"/>
              <w:spacing w:after="0" w:before="0" w:line="240" w:lineRule="auto"/>
              <w:jc w:val="right"/>
            </w:pPr>
            <w:r>
              <w:rPr>
                <w:rFonts w:ascii="Arial" w:hAnsi="Arial"/>
                <w:sz w:val="15"/>
              </w:rPr>
              <w:t xml:space="preserve">200.2</w:t>
            </w:r>
          </w:p>
        </w:tc>
        <w:tc>
          <w:tcPr>
            <w:tcW w:type="dxa" w:w="1085"/>
            <w:shd w:val="clear" w:color="auto" w:fill="F1F2F5"/>
          </w:tcPr>
          <w:p>
            <w:pPr>
              <w:pStyle w:val="Compact"/>
              <w:spacing w:after="0" w:before="0" w:line="240" w:lineRule="auto"/>
              <w:jc w:val="right"/>
            </w:pPr>
            <w:r>
              <w:rPr>
                <w:rFonts w:ascii="Arial" w:hAnsi="Arial"/>
                <w:sz w:val="15"/>
              </w:rPr>
              <w:t xml:space="preserve">186.5</w:t>
            </w:r>
          </w:p>
        </w:tc>
      </w:tr>
      <w:tr>
        <w:trPr>
          <w:cantSplit/>
        </w:trPr>
        <w:tc>
          <w:tcPr>
            <w:tcW w:type="dxa" w:w="2075"/>
          </w:tcPr>
          <w:p>
            <w:pPr>
              <w:pStyle w:val="Compact"/>
              <w:spacing w:after="0" w:before="0" w:line="240" w:lineRule="auto"/>
              <w:jc w:val="left"/>
            </w:pPr>
            <w:r>
              <w:rPr>
                <w:rFonts w:ascii="Arial" w:hAnsi="Arial"/>
                <w:sz w:val="15"/>
              </w:rPr>
              <w:t xml:space="preserve">EBITDA</w:t>
            </w:r>
          </w:p>
        </w:tc>
        <w:tc>
          <w:tcPr>
            <w:tcW w:type="dxa" w:w="1170"/>
          </w:tcPr>
          <w:p>
            <w:pPr>
              <w:pStyle w:val="Compact"/>
              <w:spacing w:after="0" w:before="0" w:line="240" w:lineRule="auto"/>
              <w:jc w:val="right"/>
            </w:pPr>
            <w:r>
              <w:rPr>
                <w:rFonts w:ascii="Arial" w:hAnsi="Arial"/>
                <w:sz w:val="15"/>
              </w:rPr>
              <w:t xml:space="preserve">164.3</w:t>
            </w:r>
          </w:p>
        </w:tc>
        <w:tc>
          <w:tcPr>
            <w:tcW w:type="dxa" w:w="1155"/>
          </w:tcPr>
          <w:p>
            <w:pPr>
              <w:pStyle w:val="Compact"/>
              <w:spacing w:after="0" w:before="0" w:line="240" w:lineRule="auto"/>
              <w:jc w:val="right"/>
            </w:pPr>
            <w:r>
              <w:rPr>
                <w:rFonts w:ascii="Arial" w:hAnsi="Arial"/>
                <w:sz w:val="15"/>
              </w:rPr>
              <w:t xml:space="preserve">216.0</w:t>
            </w:r>
          </w:p>
        </w:tc>
        <w:tc>
          <w:tcPr>
            <w:tcW w:type="dxa" w:w="1085"/>
          </w:tcPr>
          <w:p>
            <w:pPr>
              <w:pStyle w:val="Compact"/>
              <w:spacing w:after="0" w:before="0" w:line="240" w:lineRule="auto"/>
              <w:jc w:val="right"/>
            </w:pPr>
            <w:r>
              <w:rPr>
                <w:rFonts w:ascii="Arial" w:hAnsi="Arial"/>
                <w:sz w:val="15"/>
              </w:rPr>
              <w:t xml:space="preserve">217.8</w:t>
            </w:r>
          </w:p>
        </w:tc>
        <w:tc>
          <w:tcPr>
            <w:tcW w:type="dxa" w:w="1159"/>
          </w:tcPr>
          <w:p>
            <w:pPr>
              <w:pStyle w:val="Compact"/>
              <w:spacing w:after="0" w:before="0" w:line="240" w:lineRule="auto"/>
              <w:jc w:val="right"/>
            </w:pPr>
            <w:r>
              <w:rPr>
                <w:rFonts w:ascii="Arial" w:hAnsi="Arial"/>
                <w:sz w:val="15"/>
              </w:rPr>
              <w:t xml:space="preserve">248.3</w:t>
            </w:r>
          </w:p>
        </w:tc>
        <w:tc>
          <w:tcPr>
            <w:tcW w:type="dxa" w:w="1085"/>
          </w:tcPr>
          <w:p>
            <w:pPr>
              <w:pStyle w:val="Compact"/>
              <w:spacing w:after="0" w:before="0" w:line="240" w:lineRule="auto"/>
              <w:jc w:val="right"/>
            </w:pPr>
            <w:r>
              <w:rPr>
                <w:rFonts w:ascii="Arial" w:hAnsi="Arial"/>
                <w:sz w:val="15"/>
              </w:rPr>
              <w:t xml:space="preserve">243.8</w:t>
            </w:r>
          </w:p>
        </w:tc>
        <w:tc>
          <w:tcPr>
            <w:tcW w:type="dxa" w:w="1164"/>
          </w:tcPr>
          <w:p>
            <w:pPr>
              <w:pStyle w:val="Compact"/>
              <w:spacing w:after="0" w:before="0" w:line="240" w:lineRule="auto"/>
              <w:jc w:val="right"/>
            </w:pPr>
            <w:r>
              <w:rPr>
                <w:rFonts w:ascii="Arial" w:hAnsi="Arial"/>
                <w:sz w:val="15"/>
              </w:rPr>
              <w:t xml:space="preserve">277.2</w:t>
            </w:r>
          </w:p>
        </w:tc>
        <w:tc>
          <w:tcPr>
            <w:tcW w:type="dxa" w:w="1085"/>
          </w:tcPr>
          <w:p>
            <w:pPr>
              <w:pStyle w:val="Compact"/>
              <w:spacing w:after="0" w:before="0" w:line="240" w:lineRule="auto"/>
              <w:jc w:val="right"/>
            </w:pPr>
            <w:r>
              <w:rPr>
                <w:rFonts w:ascii="Arial" w:hAnsi="Arial"/>
                <w:sz w:val="15"/>
              </w:rPr>
              <w:t xml:space="preserve">260.3</w:t>
            </w:r>
          </w:p>
        </w:tc>
      </w:tr>
      <w:tr>
        <w:trPr>
          <w:cantSplit/>
        </w:trPr>
        <w:tc>
          <w:tcPr>
            <w:tcW w:type="dxa" w:w="2075"/>
            <w:shd w:val="clear" w:color="auto" w:fill="F1F2F5"/>
          </w:tcPr>
          <w:p>
            <w:pPr>
              <w:pStyle w:val="Compact"/>
              <w:spacing w:after="0" w:before="0" w:line="240" w:lineRule="auto"/>
              <w:jc w:val="left"/>
            </w:pPr>
            <w:r>
              <w:rPr>
                <w:rFonts w:ascii="Arial" w:hAnsi="Arial"/>
                <w:sz w:val="15"/>
              </w:rPr>
              <w:t xml:space="preserve">Net income</w:t>
            </w:r>
          </w:p>
        </w:tc>
        <w:tc>
          <w:tcPr>
            <w:tcW w:type="dxa" w:w="1170"/>
            <w:shd w:val="clear" w:color="auto" w:fill="F1F2F5"/>
          </w:tcPr>
          <w:p>
            <w:pPr>
              <w:pStyle w:val="Compact"/>
              <w:spacing w:after="0" w:before="0" w:line="240" w:lineRule="auto"/>
              <w:jc w:val="right"/>
            </w:pPr>
            <w:r>
              <w:rPr>
                <w:rFonts w:ascii="Arial" w:hAnsi="Arial"/>
                <w:sz w:val="15"/>
              </w:rPr>
              <w:t xml:space="preserve">68.2</w:t>
            </w:r>
          </w:p>
        </w:tc>
        <w:tc>
          <w:tcPr>
            <w:tcW w:type="dxa" w:w="1155"/>
            <w:shd w:val="clear" w:color="auto" w:fill="F1F2F5"/>
          </w:tcPr>
          <w:p>
            <w:pPr>
              <w:pStyle w:val="Compact"/>
              <w:spacing w:after="0" w:before="0" w:line="240" w:lineRule="auto"/>
              <w:jc w:val="right"/>
            </w:pPr>
            <w:r>
              <w:rPr>
                <w:rFonts w:ascii="Arial" w:hAnsi="Arial"/>
                <w:sz w:val="15"/>
              </w:rPr>
              <w:t xml:space="preserve">99.3</w:t>
            </w:r>
          </w:p>
        </w:tc>
        <w:tc>
          <w:tcPr>
            <w:tcW w:type="dxa" w:w="1085"/>
            <w:shd w:val="clear" w:color="auto" w:fill="F1F2F5"/>
          </w:tcPr>
          <w:p>
            <w:pPr>
              <w:pStyle w:val="Compact"/>
              <w:spacing w:after="0" w:before="0" w:line="240" w:lineRule="auto"/>
              <w:jc w:val="right"/>
            </w:pPr>
            <w:r>
              <w:rPr>
                <w:rFonts w:ascii="Arial" w:hAnsi="Arial"/>
                <w:sz w:val="15"/>
              </w:rPr>
              <w:t xml:space="preserve">105.5</w:t>
            </w:r>
          </w:p>
        </w:tc>
        <w:tc>
          <w:tcPr>
            <w:tcW w:type="dxa" w:w="1159"/>
            <w:shd w:val="clear" w:color="auto" w:fill="F1F2F5"/>
          </w:tcPr>
          <w:p>
            <w:pPr>
              <w:pStyle w:val="Compact"/>
              <w:spacing w:after="0" w:before="0" w:line="240" w:lineRule="auto"/>
              <w:jc w:val="right"/>
            </w:pPr>
            <w:r>
              <w:rPr>
                <w:rFonts w:ascii="Arial" w:hAnsi="Arial"/>
                <w:sz w:val="15"/>
              </w:rPr>
              <w:t xml:space="preserve">119.8</w:t>
            </w:r>
          </w:p>
        </w:tc>
        <w:tc>
          <w:tcPr>
            <w:tcW w:type="dxa" w:w="1085"/>
            <w:shd w:val="clear" w:color="auto" w:fill="F1F2F5"/>
          </w:tcPr>
          <w:p>
            <w:pPr>
              <w:pStyle w:val="Compact"/>
              <w:spacing w:after="0" w:before="0" w:line="240" w:lineRule="auto"/>
              <w:jc w:val="right"/>
            </w:pPr>
            <w:r>
              <w:rPr>
                <w:rFonts w:ascii="Arial" w:hAnsi="Arial"/>
                <w:sz w:val="15"/>
              </w:rPr>
              <w:t xml:space="preserve">121.8</w:t>
            </w:r>
          </w:p>
        </w:tc>
        <w:tc>
          <w:tcPr>
            <w:tcW w:type="dxa" w:w="1164"/>
            <w:shd w:val="clear" w:color="auto" w:fill="F1F2F5"/>
          </w:tcPr>
          <w:p>
            <w:pPr>
              <w:pStyle w:val="Compact"/>
              <w:spacing w:after="0" w:before="0" w:line="240" w:lineRule="auto"/>
              <w:jc w:val="right"/>
            </w:pPr>
            <w:r>
              <w:rPr>
                <w:rFonts w:ascii="Arial" w:hAnsi="Arial"/>
                <w:sz w:val="15"/>
              </w:rPr>
              <w:t xml:space="preserve">138.6</w:t>
            </w:r>
          </w:p>
        </w:tc>
        <w:tc>
          <w:tcPr>
            <w:tcW w:type="dxa" w:w="1085"/>
            <w:shd w:val="clear" w:color="auto" w:fill="F1F2F5"/>
          </w:tcPr>
          <w:p>
            <w:pPr>
              <w:pStyle w:val="Compact"/>
              <w:spacing w:after="0" w:before="0" w:line="240" w:lineRule="auto"/>
              <w:jc w:val="right"/>
            </w:pPr>
            <w:r>
              <w:rPr>
                <w:rFonts w:ascii="Arial" w:hAnsi="Arial"/>
                <w:sz w:val="15"/>
              </w:rPr>
              <w:t xml:space="preserve">132.2</w:t>
            </w:r>
          </w:p>
        </w:tc>
      </w:tr>
      <w:tr>
        <w:trPr>
          <w:cantSplit/>
        </w:trPr>
        <w:tc>
          <w:tcPr>
            <w:tcW w:type="dxa" w:w="2075"/>
            <w:shd w:val="clear" w:color="auto" w:fill="DCE4F2"/>
          </w:tcPr>
          <w:p>
            <w:pPr>
              <w:pStyle w:val="Compact"/>
              <w:spacing w:after="0" w:before="0" w:line="240" w:lineRule="auto"/>
              <w:jc w:val="left"/>
            </w:pPr>
            <w:r>
              <w:rPr>
                <w:rFonts w:ascii="Arial" w:hAnsi="Arial"/>
                <w:b/>
                <w:sz w:val="15"/>
              </w:rPr>
              <w:t xml:space="preserve">Average shares (m)</w:t>
            </w:r>
          </w:p>
        </w:tc>
        <w:tc>
          <w:tcPr>
            <w:tcW w:type="dxa" w:w="1170"/>
            <w:shd w:val="clear" w:color="auto" w:fill="DCE4F2"/>
          </w:tcPr>
          <w:p>
            <w:pPr>
              <w:pStyle w:val="Compact"/>
              <w:spacing w:after="0" w:before="0" w:line="240" w:lineRule="auto"/>
              <w:jc w:val="right"/>
            </w:pPr>
            <w:r>
              <w:rPr>
                <w:rFonts w:ascii="Arial" w:hAnsi="Arial"/>
                <w:b/>
                <w:sz w:val="15"/>
              </w:rPr>
              <w:t xml:space="preserve">1,111.8</w:t>
            </w:r>
          </w:p>
        </w:tc>
        <w:tc>
          <w:tcPr>
            <w:tcW w:type="dxa" w:w="1155"/>
            <w:shd w:val="clear" w:color="auto" w:fill="DCE4F2"/>
          </w:tcPr>
          <w:p>
            <w:pPr>
              <w:pStyle w:val="Compact"/>
              <w:spacing w:after="0" w:before="0" w:line="240" w:lineRule="auto"/>
              <w:jc w:val="right"/>
            </w:pPr>
            <w:r>
              <w:rPr>
                <w:rFonts w:ascii="Arial" w:hAnsi="Arial"/>
                <w:b/>
                <w:sz w:val="15"/>
              </w:rPr>
              <w:t xml:space="preserve">1,067.6</w:t>
            </w:r>
          </w:p>
        </w:tc>
        <w:tc>
          <w:tcPr>
            <w:tcW w:type="dxa" w:w="1085"/>
            <w:shd w:val="clear" w:color="auto" w:fill="DCE4F2"/>
          </w:tcPr>
          <w:p>
            <w:pPr>
              <w:pStyle w:val="Compact"/>
              <w:spacing w:after="0" w:before="0" w:line="240" w:lineRule="auto"/>
              <w:jc w:val="right"/>
            </w:pPr>
            <w:r>
              <w:rPr>
                <w:rFonts w:ascii="Arial" w:hAnsi="Arial"/>
                <w:b/>
                <w:sz w:val="15"/>
              </w:rPr>
              <w:t xml:space="preserve">–</w:t>
            </w:r>
          </w:p>
        </w:tc>
        <w:tc>
          <w:tcPr>
            <w:tcW w:type="dxa" w:w="1159"/>
            <w:shd w:val="clear" w:color="auto" w:fill="DCE4F2"/>
          </w:tcPr>
          <w:p>
            <w:pPr>
              <w:pStyle w:val="Compact"/>
              <w:spacing w:after="0" w:before="0" w:line="240" w:lineRule="auto"/>
              <w:jc w:val="right"/>
            </w:pPr>
            <w:r>
              <w:rPr>
                <w:rFonts w:ascii="Arial" w:hAnsi="Arial"/>
                <w:b/>
                <w:sz w:val="15"/>
              </w:rPr>
              <w:t xml:space="preserve">1,050.0</w:t>
            </w:r>
          </w:p>
        </w:tc>
        <w:tc>
          <w:tcPr>
            <w:tcW w:type="dxa" w:w="1085"/>
            <w:shd w:val="clear" w:color="auto" w:fill="DCE4F2"/>
          </w:tcPr>
          <w:p>
            <w:pPr>
              <w:pStyle w:val="Compact"/>
              <w:spacing w:after="0" w:before="0" w:line="240" w:lineRule="auto"/>
              <w:jc w:val="right"/>
            </w:pPr>
            <w:r>
              <w:rPr>
                <w:rFonts w:ascii="Arial" w:hAnsi="Arial"/>
                <w:b/>
                <w:sz w:val="15"/>
              </w:rPr>
              <w:t xml:space="preserve">–</w:t>
            </w:r>
          </w:p>
        </w:tc>
        <w:tc>
          <w:tcPr>
            <w:tcW w:type="dxa" w:w="1164"/>
            <w:shd w:val="clear" w:color="auto" w:fill="DCE4F2"/>
          </w:tcPr>
          <w:p>
            <w:pPr>
              <w:pStyle w:val="Compact"/>
              <w:spacing w:after="0" w:before="0" w:line="240" w:lineRule="auto"/>
              <w:jc w:val="right"/>
            </w:pPr>
            <w:r>
              <w:rPr>
                <w:rFonts w:ascii="Arial" w:hAnsi="Arial"/>
                <w:b/>
                <w:sz w:val="15"/>
              </w:rPr>
              <w:t xml:space="preserve">1,025.3</w:t>
            </w:r>
          </w:p>
        </w:tc>
        <w:tc>
          <w:tcPr>
            <w:tcW w:type="dxa" w:w="1085"/>
            <w:shd w:val="clear" w:color="auto" w:fill="DCE4F2"/>
          </w:tcPr>
          <w:p>
            <w:pPr>
              <w:pStyle w:val="Compact"/>
              <w:spacing w:after="0" w:before="0" w:line="240" w:lineRule="auto"/>
              <w:jc w:val="right"/>
            </w:pPr>
            <w:r>
              <w:rPr>
                <w:rFonts w:ascii="Arial" w:hAnsi="Arial"/>
                <w:b/>
                <w:sz w:val="15"/>
              </w:rPr>
              <w:t xml:space="preserve">–</w:t>
            </w:r>
          </w:p>
        </w:tc>
      </w:tr>
      <w:tr>
        <w:trPr>
          <w:cantSplit/>
        </w:trPr>
        <w:tc>
          <w:tcPr>
            <w:tcW w:type="dxa" w:w="2075"/>
            <w:shd w:val="clear" w:color="auto" w:fill="F1F2F5"/>
          </w:tcPr>
          <w:p>
            <w:pPr>
              <w:pStyle w:val="Compact"/>
              <w:spacing w:after="0" w:before="0" w:line="240" w:lineRule="auto"/>
              <w:jc w:val="left"/>
            </w:pPr>
            <w:r>
              <w:rPr>
                <w:bCs/>
                <w:rFonts w:ascii="Arial" w:hAnsi="Arial"/>
                <w:b/>
                <w:sz w:val="15"/>
              </w:rPr>
              <w:t xml:space="preserve">EPS (JPY)</w:t>
            </w:r>
          </w:p>
        </w:tc>
        <w:tc>
          <w:tcPr>
            <w:tcW w:type="dxa" w:w="1170"/>
            <w:shd w:val="clear" w:color="auto" w:fill="F1F2F5"/>
          </w:tcPr>
          <w:p>
            <w:pPr>
              <w:pStyle w:val="Compact"/>
              <w:spacing w:after="0" w:before="0" w:line="240" w:lineRule="auto"/>
              <w:jc w:val="right"/>
            </w:pPr>
            <w:r>
              <w:rPr>
                <w:bCs/>
                <w:rFonts w:ascii="Arial" w:hAnsi="Arial"/>
                <w:b/>
                <w:sz w:val="15"/>
              </w:rPr>
              <w:t xml:space="preserve">61.32</w:t>
            </w:r>
          </w:p>
        </w:tc>
        <w:tc>
          <w:tcPr>
            <w:tcW w:type="dxa" w:w="1155"/>
            <w:shd w:val="clear" w:color="auto" w:fill="F1F2F5"/>
          </w:tcPr>
          <w:p>
            <w:pPr>
              <w:pStyle w:val="Compact"/>
              <w:spacing w:after="0" w:before="0" w:line="240" w:lineRule="auto"/>
              <w:jc w:val="right"/>
            </w:pPr>
            <w:r>
              <w:rPr>
                <w:bCs/>
                <w:rFonts w:ascii="Arial" w:hAnsi="Arial"/>
                <w:b/>
                <w:sz w:val="15"/>
              </w:rPr>
              <w:t xml:space="preserve">93.1</w:t>
            </w:r>
          </w:p>
        </w:tc>
        <w:tc>
          <w:tcPr>
            <w:tcW w:type="dxa" w:w="1085"/>
            <w:shd w:val="clear" w:color="auto" w:fill="F1F2F5"/>
          </w:tcPr>
          <w:p>
            <w:pPr>
              <w:pStyle w:val="Compact"/>
              <w:spacing w:after="0" w:before="0" w:line="240" w:lineRule="auto"/>
              <w:jc w:val="right"/>
            </w:pPr>
            <w:r>
              <w:rPr>
                <w:bCs/>
                <w:rFonts w:ascii="Arial" w:hAnsi="Arial"/>
                <w:b/>
                <w:sz w:val="15"/>
              </w:rPr>
              <w:t xml:space="preserve">98.0</w:t>
            </w:r>
          </w:p>
        </w:tc>
        <w:tc>
          <w:tcPr>
            <w:tcW w:type="dxa" w:w="1159"/>
            <w:shd w:val="clear" w:color="auto" w:fill="F1F2F5"/>
          </w:tcPr>
          <w:p>
            <w:pPr>
              <w:pStyle w:val="Compact"/>
              <w:spacing w:after="0" w:before="0" w:line="240" w:lineRule="auto"/>
              <w:jc w:val="right"/>
            </w:pPr>
            <w:r>
              <w:rPr>
                <w:bCs/>
                <w:rFonts w:ascii="Arial" w:hAnsi="Arial"/>
                <w:b/>
                <w:sz w:val="15"/>
              </w:rPr>
              <w:t xml:space="preserve">114.1</w:t>
            </w:r>
          </w:p>
        </w:tc>
        <w:tc>
          <w:tcPr>
            <w:tcW w:type="dxa" w:w="1085"/>
            <w:shd w:val="clear" w:color="auto" w:fill="F1F2F5"/>
          </w:tcPr>
          <w:p>
            <w:pPr>
              <w:pStyle w:val="Compact"/>
              <w:spacing w:after="0" w:before="0" w:line="240" w:lineRule="auto"/>
              <w:jc w:val="right"/>
            </w:pPr>
            <w:r>
              <w:rPr>
                <w:bCs/>
                <w:rFonts w:ascii="Arial" w:hAnsi="Arial"/>
                <w:b/>
                <w:sz w:val="15"/>
              </w:rPr>
              <w:t xml:space="preserve">113.9</w:t>
            </w:r>
          </w:p>
        </w:tc>
        <w:tc>
          <w:tcPr>
            <w:tcW w:type="dxa" w:w="1164"/>
            <w:shd w:val="clear" w:color="auto" w:fill="F1F2F5"/>
          </w:tcPr>
          <w:p>
            <w:pPr>
              <w:pStyle w:val="Compact"/>
              <w:spacing w:after="0" w:before="0" w:line="240" w:lineRule="auto"/>
              <w:jc w:val="right"/>
            </w:pPr>
            <w:r>
              <w:rPr>
                <w:bCs/>
                <w:rFonts w:ascii="Arial" w:hAnsi="Arial"/>
                <w:b/>
                <w:sz w:val="15"/>
              </w:rPr>
              <w:t xml:space="preserve">135.2</w:t>
            </w:r>
          </w:p>
        </w:tc>
        <w:tc>
          <w:tcPr>
            <w:tcW w:type="dxa" w:w="1085"/>
            <w:shd w:val="clear" w:color="auto" w:fill="F1F2F5"/>
          </w:tcPr>
          <w:p>
            <w:pPr>
              <w:pStyle w:val="Compact"/>
              <w:spacing w:after="0" w:before="0" w:line="240" w:lineRule="auto"/>
              <w:jc w:val="right"/>
            </w:pPr>
            <w:r>
              <w:rPr>
                <w:bCs/>
                <w:rFonts w:ascii="Arial" w:hAnsi="Arial"/>
                <w:b/>
                <w:sz w:val="15"/>
              </w:rPr>
              <w:t xml:space="preserve">124.8</w:t>
            </w:r>
          </w:p>
        </w:tc>
      </w:tr>
      <w:tr>
        <w:trPr>
          <w:cantSplit/>
        </w:trPr>
        <w:tc>
          <w:tcPr>
            <w:tcW w:type="dxa" w:w="2075"/>
          </w:tcPr>
          <w:p>
            <w:pPr>
              <w:pStyle w:val="Compact"/>
              <w:spacing w:after="0" w:before="0" w:line="240" w:lineRule="auto"/>
              <w:jc w:val="left"/>
            </w:pPr>
            <w:r>
              <w:rPr>
                <w:rFonts w:ascii="Arial" w:hAnsi="Arial"/>
                <w:sz w:val="15"/>
              </w:rPr>
              <w:t xml:space="preserve">Ours vs consensus</w:t>
            </w:r>
          </w:p>
        </w:tc>
        <w:tc>
          <w:tcPr>
            <w:tcW w:type="dxa" w:w="1170"/>
          </w:tcPr>
          <w:p>
            <w:pPr>
              <w:pStyle w:val="Compact"/>
              <w:spacing w:after="0" w:before="0" w:line="240" w:lineRule="auto"/>
              <w:jc w:val="right"/>
            </w:pPr>
            <w:r>
              <w:rPr>
                <w:rFonts w:ascii="Arial" w:hAnsi="Arial"/>
                <w:sz w:val="15"/>
              </w:rPr>
              <w:t xml:space="preserve">–</w:t>
            </w:r>
          </w:p>
        </w:tc>
        <w:tc>
          <w:tcPr>
            <w:tcW w:type="dxa" w:w="1155"/>
          </w:tcPr>
          <w:p>
            <w:pPr>
              <w:pStyle w:val="Compact"/>
              <w:spacing w:after="0" w:before="0" w:line="240" w:lineRule="auto"/>
              <w:jc w:val="right"/>
            </w:pPr>
            <w:r>
              <w:rPr>
                <w:bCs/>
                <w:rFonts w:ascii="Arial" w:hAnsi="Arial"/>
                <w:b/>
                <w:sz w:val="15"/>
              </w:rPr>
              <w:t xml:space="preserve">-5%</w:t>
            </w:r>
          </w:p>
        </w:tc>
        <w:tc>
          <w:tcPr>
            <w:tcW w:type="dxa" w:w="1085"/>
          </w:tcPr>
          <w:p>
            <w:pPr>
              <w:pStyle w:val="Compact"/>
              <w:spacing w:after="0" w:before="0" w:line="240" w:lineRule="auto"/>
            </w:pPr>
          </w:p>
        </w:tc>
        <w:tc>
          <w:tcPr>
            <w:tcW w:type="dxa" w:w="1159"/>
          </w:tcPr>
          <w:p>
            <w:pPr>
              <w:pStyle w:val="Compact"/>
              <w:spacing w:after="0" w:before="0" w:line="240" w:lineRule="auto"/>
              <w:jc w:val="right"/>
            </w:pPr>
            <w:r>
              <w:rPr>
                <w:bCs/>
                <w:rFonts w:ascii="Arial" w:hAnsi="Arial"/>
                <w:b/>
                <w:sz w:val="15"/>
              </w:rPr>
              <w:t xml:space="preserve">0%</w:t>
            </w:r>
          </w:p>
        </w:tc>
        <w:tc>
          <w:tcPr>
            <w:tcW w:type="dxa" w:w="1085"/>
          </w:tcPr>
          <w:p>
            <w:pPr>
              <w:pStyle w:val="Compact"/>
              <w:spacing w:after="0" w:before="0" w:line="240" w:lineRule="auto"/>
            </w:pPr>
          </w:p>
        </w:tc>
        <w:tc>
          <w:tcPr>
            <w:tcW w:type="dxa" w:w="1164"/>
          </w:tcPr>
          <w:p>
            <w:pPr>
              <w:pStyle w:val="Compact"/>
              <w:spacing w:after="0" w:before="0" w:line="240" w:lineRule="auto"/>
              <w:jc w:val="right"/>
            </w:pPr>
            <w:r>
              <w:rPr>
                <w:bCs/>
                <w:rFonts w:ascii="Arial" w:hAnsi="Arial"/>
                <w:b/>
                <w:sz w:val="15"/>
              </w:rPr>
              <w:t xml:space="preserve">+8%</w:t>
            </w:r>
          </w:p>
        </w:tc>
        <w:tc>
          <w:tcPr>
            <w:tcW w:type="dxa" w:w="1085"/>
          </w:tcPr>
          <w:p>
            <w:pPr>
              <w:pStyle w:val="Compact"/>
              <w:spacing w:after="0" w:before="0" w:line="240" w:lineRule="auto"/>
            </w:pPr>
          </w:p>
        </w:tc>
      </w:tr>
      <w:tr>
        <w:trPr>
          <w:cantSplit/>
        </w:trPr>
        <w:tc>
          <w:tcPr>
            <w:tcW w:type="dxa" w:w="2075"/>
            <w:shd w:val="clear" w:color="auto" w:fill="F1F2F5"/>
          </w:tcPr>
          <w:p>
            <w:pPr>
              <w:pStyle w:val="Compact"/>
              <w:spacing w:after="0" w:before="0" w:line="240" w:lineRule="auto"/>
              <w:jc w:val="left"/>
            </w:pPr>
            <w:r>
              <w:rPr>
                <w:rFonts w:ascii="Arial" w:hAnsi="Arial"/>
                <w:sz w:val="15"/>
              </w:rPr>
              <w:t xml:space="preserve">CFO</w:t>
            </w:r>
          </w:p>
        </w:tc>
        <w:tc>
          <w:tcPr>
            <w:tcW w:type="dxa" w:w="1170"/>
            <w:shd w:val="clear" w:color="auto" w:fill="F1F2F5"/>
          </w:tcPr>
          <w:p>
            <w:pPr>
              <w:pStyle w:val="Compact"/>
              <w:spacing w:after="0" w:before="0" w:line="240" w:lineRule="auto"/>
              <w:jc w:val="right"/>
            </w:pPr>
            <w:r>
              <w:rPr>
                <w:rFonts w:ascii="Arial" w:hAnsi="Arial"/>
                <w:sz w:val="15"/>
              </w:rPr>
              <w:t xml:space="preserve">100.6</w:t>
            </w:r>
          </w:p>
        </w:tc>
        <w:tc>
          <w:tcPr>
            <w:tcW w:type="dxa" w:w="1155"/>
            <w:shd w:val="clear" w:color="auto" w:fill="F1F2F5"/>
          </w:tcPr>
          <w:p>
            <w:pPr>
              <w:pStyle w:val="Compact"/>
              <w:spacing w:after="0" w:before="0" w:line="240" w:lineRule="auto"/>
              <w:jc w:val="right"/>
            </w:pPr>
            <w:r>
              <w:rPr>
                <w:rFonts w:ascii="Arial" w:hAnsi="Arial"/>
                <w:sz w:val="15"/>
              </w:rPr>
              <w:t xml:space="preserve">150</w:t>
            </w:r>
          </w:p>
        </w:tc>
        <w:tc>
          <w:tcPr>
            <w:tcW w:type="dxa" w:w="1085"/>
            <w:shd w:val="clear" w:color="auto" w:fill="F1F2F5"/>
          </w:tcPr>
          <w:p>
            <w:pPr>
              <w:pStyle w:val="Compact"/>
              <w:spacing w:after="0" w:before="0" w:line="240" w:lineRule="auto"/>
              <w:jc w:val="right"/>
            </w:pPr>
            <w:r>
              <w:rPr>
                <w:rFonts w:ascii="Arial" w:hAnsi="Arial"/>
                <w:sz w:val="15"/>
              </w:rPr>
              <w:t xml:space="preserve">–</w:t>
            </w:r>
          </w:p>
        </w:tc>
        <w:tc>
          <w:tcPr>
            <w:tcW w:type="dxa" w:w="1159"/>
            <w:shd w:val="clear" w:color="auto" w:fill="F1F2F5"/>
          </w:tcPr>
          <w:p>
            <w:pPr>
              <w:pStyle w:val="Compact"/>
              <w:spacing w:after="0" w:before="0" w:line="240" w:lineRule="auto"/>
              <w:jc w:val="right"/>
            </w:pPr>
            <w:r>
              <w:rPr>
                <w:rFonts w:ascii="Arial" w:hAnsi="Arial"/>
                <w:sz w:val="15"/>
              </w:rPr>
              <w:t xml:space="preserve">185</w:t>
            </w:r>
          </w:p>
        </w:tc>
        <w:tc>
          <w:tcPr>
            <w:tcW w:type="dxa" w:w="1085"/>
            <w:shd w:val="clear" w:color="auto" w:fill="F1F2F5"/>
          </w:tcPr>
          <w:p>
            <w:pPr>
              <w:pStyle w:val="Compact"/>
              <w:spacing w:after="0" w:before="0" w:line="240" w:lineRule="auto"/>
              <w:jc w:val="right"/>
            </w:pPr>
            <w:r>
              <w:rPr>
                <w:rFonts w:ascii="Arial" w:hAnsi="Arial"/>
                <w:sz w:val="15"/>
              </w:rPr>
              <w:t xml:space="preserve">–</w:t>
            </w:r>
          </w:p>
        </w:tc>
        <w:tc>
          <w:tcPr>
            <w:tcW w:type="dxa" w:w="1164"/>
            <w:shd w:val="clear" w:color="auto" w:fill="F1F2F5"/>
          </w:tcPr>
          <w:p>
            <w:pPr>
              <w:pStyle w:val="Compact"/>
              <w:spacing w:after="0" w:before="0" w:line="240" w:lineRule="auto"/>
              <w:jc w:val="right"/>
            </w:pPr>
            <w:r>
              <w:rPr>
                <w:rFonts w:ascii="Arial" w:hAnsi="Arial"/>
                <w:sz w:val="15"/>
              </w:rPr>
              <w:t xml:space="preserve">205</w:t>
            </w:r>
          </w:p>
        </w:tc>
        <w:tc>
          <w:tcPr>
            <w:tcW w:type="dxa" w:w="1085"/>
            <w:shd w:val="clear" w:color="auto" w:fill="F1F2F5"/>
          </w:tcPr>
          <w:p>
            <w:pPr>
              <w:pStyle w:val="Compact"/>
              <w:spacing w:after="0" w:before="0" w:line="240" w:lineRule="auto"/>
              <w:jc w:val="right"/>
            </w:pPr>
            <w:r>
              <w:rPr>
                <w:rFonts w:ascii="Arial" w:hAnsi="Arial"/>
                <w:sz w:val="15"/>
              </w:rPr>
              <w:t xml:space="preserve">–</w:t>
            </w:r>
          </w:p>
        </w:tc>
      </w:tr>
      <w:tr>
        <w:trPr>
          <w:cantSplit/>
        </w:trPr>
        <w:tc>
          <w:tcPr>
            <w:tcW w:type="dxa" w:w="2075"/>
          </w:tcPr>
          <w:p>
            <w:pPr>
              <w:pStyle w:val="Compact"/>
              <w:spacing w:after="0" w:before="0" w:line="240" w:lineRule="auto"/>
              <w:jc w:val="left"/>
            </w:pPr>
            <w:r>
              <w:rPr>
                <w:rFonts w:ascii="Arial" w:hAnsi="Arial"/>
                <w:sz w:val="15"/>
              </w:rPr>
              <w:t xml:space="preserve">Capex</w:t>
            </w:r>
          </w:p>
        </w:tc>
        <w:tc>
          <w:tcPr>
            <w:tcW w:type="dxa" w:w="1170"/>
          </w:tcPr>
          <w:p>
            <w:pPr>
              <w:pStyle w:val="Compact"/>
              <w:spacing w:after="0" w:before="0" w:line="240" w:lineRule="auto"/>
              <w:jc w:val="right"/>
            </w:pPr>
            <w:r>
              <w:rPr>
                <w:rFonts w:ascii="Arial" w:hAnsi="Arial"/>
                <w:sz w:val="15"/>
              </w:rPr>
              <w:t xml:space="preserve">82.4</w:t>
            </w:r>
          </w:p>
        </w:tc>
        <w:tc>
          <w:tcPr>
            <w:tcW w:type="dxa" w:w="1155"/>
          </w:tcPr>
          <w:p>
            <w:pPr>
              <w:pStyle w:val="Compact"/>
              <w:spacing w:after="0" w:before="0" w:line="240" w:lineRule="auto"/>
              <w:jc w:val="right"/>
            </w:pPr>
            <w:r>
              <w:rPr>
                <w:rFonts w:ascii="Arial" w:hAnsi="Arial"/>
                <w:sz w:val="15"/>
              </w:rPr>
              <w:t xml:space="preserve">95</w:t>
            </w:r>
          </w:p>
        </w:tc>
        <w:tc>
          <w:tcPr>
            <w:tcW w:type="dxa" w:w="1085"/>
          </w:tcPr>
          <w:p>
            <w:pPr>
              <w:pStyle w:val="Compact"/>
              <w:spacing w:after="0" w:before="0" w:line="240" w:lineRule="auto"/>
              <w:jc w:val="right"/>
            </w:pPr>
            <w:r>
              <w:rPr>
                <w:rFonts w:ascii="Arial" w:hAnsi="Arial"/>
                <w:sz w:val="15"/>
              </w:rPr>
              <w:t xml:space="preserve">94</w:t>
            </w:r>
          </w:p>
        </w:tc>
        <w:tc>
          <w:tcPr>
            <w:tcW w:type="dxa" w:w="1159"/>
          </w:tcPr>
          <w:p>
            <w:pPr>
              <w:pStyle w:val="Compact"/>
              <w:spacing w:after="0" w:before="0" w:line="240" w:lineRule="auto"/>
              <w:jc w:val="right"/>
            </w:pPr>
            <w:r>
              <w:rPr>
                <w:rFonts w:ascii="Arial" w:hAnsi="Arial"/>
                <w:sz w:val="15"/>
              </w:rPr>
              <w:t xml:space="preserve">92</w:t>
            </w:r>
          </w:p>
        </w:tc>
        <w:tc>
          <w:tcPr>
            <w:tcW w:type="dxa" w:w="1085"/>
          </w:tcPr>
          <w:p>
            <w:pPr>
              <w:pStyle w:val="Compact"/>
              <w:spacing w:after="0" w:before="0" w:line="240" w:lineRule="auto"/>
              <w:jc w:val="right"/>
            </w:pPr>
            <w:r>
              <w:rPr>
                <w:rFonts w:ascii="Arial" w:hAnsi="Arial"/>
                <w:sz w:val="15"/>
              </w:rPr>
              <w:t xml:space="preserve">–</w:t>
            </w:r>
          </w:p>
        </w:tc>
        <w:tc>
          <w:tcPr>
            <w:tcW w:type="dxa" w:w="1164"/>
          </w:tcPr>
          <w:p>
            <w:pPr>
              <w:pStyle w:val="Compact"/>
              <w:spacing w:after="0" w:before="0" w:line="240" w:lineRule="auto"/>
              <w:jc w:val="right"/>
            </w:pPr>
            <w:r>
              <w:rPr>
                <w:rFonts w:ascii="Arial" w:hAnsi="Arial"/>
                <w:sz w:val="15"/>
              </w:rPr>
              <w:t xml:space="preserve">95</w:t>
            </w:r>
          </w:p>
        </w:tc>
        <w:tc>
          <w:tcPr>
            <w:tcW w:type="dxa" w:w="1085"/>
          </w:tcPr>
          <w:p>
            <w:pPr>
              <w:pStyle w:val="Compact"/>
              <w:spacing w:after="0" w:before="0" w:line="240" w:lineRule="auto"/>
              <w:jc w:val="right"/>
            </w:pPr>
            <w:r>
              <w:rPr>
                <w:rFonts w:ascii="Arial" w:hAnsi="Arial"/>
                <w:sz w:val="15"/>
              </w:rPr>
              <w:t xml:space="preserve">–</w:t>
            </w:r>
          </w:p>
        </w:tc>
      </w:tr>
      <w:tr>
        <w:trPr>
          <w:cantSplit/>
        </w:trPr>
        <w:tc>
          <w:tcPr>
            <w:tcW w:type="dxa" w:w="2075"/>
            <w:shd w:val="clear" w:color="auto" w:fill="F1F2F5"/>
          </w:tcPr>
          <w:p>
            <w:pPr>
              <w:pStyle w:val="Compact"/>
              <w:spacing w:after="0" w:before="0" w:line="240" w:lineRule="auto"/>
              <w:jc w:val="left"/>
            </w:pPr>
            <w:r>
              <w:rPr>
                <w:rFonts w:ascii="Arial" w:hAnsi="Arial"/>
                <w:sz w:val="15"/>
              </w:rPr>
              <w:t xml:space="preserve">FCF</w:t>
            </w:r>
          </w:p>
        </w:tc>
        <w:tc>
          <w:tcPr>
            <w:tcW w:type="dxa" w:w="1170"/>
            <w:shd w:val="clear" w:color="auto" w:fill="F1F2F5"/>
          </w:tcPr>
          <w:p>
            <w:pPr>
              <w:pStyle w:val="Compact"/>
              <w:spacing w:after="0" w:before="0" w:line="240" w:lineRule="auto"/>
              <w:jc w:val="right"/>
            </w:pPr>
            <w:r>
              <w:rPr>
                <w:rFonts w:ascii="Arial" w:hAnsi="Arial"/>
                <w:sz w:val="15"/>
              </w:rPr>
              <w:t xml:space="preserve">18.2</w:t>
            </w:r>
          </w:p>
        </w:tc>
        <w:tc>
          <w:tcPr>
            <w:tcW w:type="dxa" w:w="1155"/>
            <w:shd w:val="clear" w:color="auto" w:fill="F1F2F5"/>
          </w:tcPr>
          <w:p>
            <w:pPr>
              <w:pStyle w:val="Compact"/>
              <w:spacing w:after="0" w:before="0" w:line="240" w:lineRule="auto"/>
              <w:jc w:val="right"/>
            </w:pPr>
            <w:r>
              <w:rPr>
                <w:rFonts w:ascii="Arial" w:hAnsi="Arial"/>
                <w:sz w:val="15"/>
              </w:rPr>
              <w:t xml:space="preserve">55</w:t>
            </w:r>
          </w:p>
        </w:tc>
        <w:tc>
          <w:tcPr>
            <w:tcW w:type="dxa" w:w="1085"/>
            <w:shd w:val="clear" w:color="auto" w:fill="F1F2F5"/>
          </w:tcPr>
          <w:p>
            <w:pPr>
              <w:pStyle w:val="Compact"/>
              <w:spacing w:after="0" w:before="0" w:line="240" w:lineRule="auto"/>
              <w:jc w:val="right"/>
            </w:pPr>
            <w:r>
              <w:rPr>
                <w:rFonts w:ascii="Arial" w:hAnsi="Arial"/>
                <w:sz w:val="15"/>
              </w:rPr>
              <w:t xml:space="preserve">63</w:t>
            </w:r>
          </w:p>
        </w:tc>
        <w:tc>
          <w:tcPr>
            <w:tcW w:type="dxa" w:w="1159"/>
            <w:shd w:val="clear" w:color="auto" w:fill="F1F2F5"/>
          </w:tcPr>
          <w:p>
            <w:pPr>
              <w:pStyle w:val="Compact"/>
              <w:spacing w:after="0" w:before="0" w:line="240" w:lineRule="auto"/>
              <w:jc w:val="right"/>
            </w:pPr>
            <w:r>
              <w:rPr>
                <w:rFonts w:ascii="Arial" w:hAnsi="Arial"/>
                <w:sz w:val="15"/>
              </w:rPr>
              <w:t xml:space="preserve">93</w:t>
            </w:r>
          </w:p>
        </w:tc>
        <w:tc>
          <w:tcPr>
            <w:tcW w:type="dxa" w:w="1085"/>
            <w:shd w:val="clear" w:color="auto" w:fill="F1F2F5"/>
          </w:tcPr>
          <w:p>
            <w:pPr>
              <w:pStyle w:val="Compact"/>
              <w:spacing w:after="0" w:before="0" w:line="240" w:lineRule="auto"/>
              <w:jc w:val="right"/>
            </w:pPr>
            <w:r>
              <w:rPr>
                <w:rFonts w:ascii="Arial" w:hAnsi="Arial"/>
                <w:sz w:val="15"/>
              </w:rPr>
              <w:t xml:space="preserve">84</w:t>
            </w:r>
          </w:p>
        </w:tc>
        <w:tc>
          <w:tcPr>
            <w:tcW w:type="dxa" w:w="1164"/>
            <w:shd w:val="clear" w:color="auto" w:fill="F1F2F5"/>
          </w:tcPr>
          <w:p>
            <w:pPr>
              <w:pStyle w:val="Compact"/>
              <w:spacing w:after="0" w:before="0" w:line="240" w:lineRule="auto"/>
              <w:jc w:val="right"/>
            </w:pPr>
            <w:r>
              <w:rPr>
                <w:rFonts w:ascii="Arial" w:hAnsi="Arial"/>
                <w:sz w:val="15"/>
              </w:rPr>
              <w:t xml:space="preserve">110</w:t>
            </w:r>
          </w:p>
        </w:tc>
        <w:tc>
          <w:tcPr>
            <w:tcW w:type="dxa" w:w="1085"/>
            <w:shd w:val="clear" w:color="auto" w:fill="F1F2F5"/>
          </w:tcPr>
          <w:p>
            <w:pPr>
              <w:pStyle w:val="Compact"/>
              <w:spacing w:after="0" w:before="0" w:line="240" w:lineRule="auto"/>
              <w:jc w:val="right"/>
            </w:pPr>
            <w:r>
              <w:rPr>
                <w:rFonts w:ascii="Arial" w:hAnsi="Arial"/>
                <w:sz w:val="15"/>
              </w:rPr>
              <w:t xml:space="preserve">92</w:t>
            </w:r>
          </w:p>
        </w:tc>
      </w:tr>
      <w:tr>
        <w:trPr>
          <w:cantSplit/>
        </w:trPr>
        <w:tc>
          <w:tcPr>
            <w:tcW w:type="dxa" w:w="2075"/>
            <w:shd w:val="clear" w:color="auto" w:fill="DCE4F2"/>
          </w:tcPr>
          <w:p>
            <w:pPr>
              <w:pStyle w:val="Compact"/>
              <w:spacing w:after="0" w:before="0" w:line="240" w:lineRule="auto"/>
              <w:jc w:val="left"/>
            </w:pPr>
            <w:r>
              <w:rPr>
                <w:rFonts w:ascii="Arial" w:hAnsi="Arial"/>
                <w:b/>
                <w:sz w:val="15"/>
              </w:rPr>
              <w:t xml:space="preserve">Net debt (year-end)</w:t>
            </w:r>
          </w:p>
        </w:tc>
        <w:tc>
          <w:tcPr>
            <w:tcW w:type="dxa" w:w="1170"/>
            <w:shd w:val="clear" w:color="auto" w:fill="DCE4F2"/>
          </w:tcPr>
          <w:p>
            <w:pPr>
              <w:pStyle w:val="Compact"/>
              <w:spacing w:after="0" w:before="0" w:line="240" w:lineRule="auto"/>
              <w:jc w:val="right"/>
            </w:pPr>
            <w:r>
              <w:rPr>
                <w:rFonts w:ascii="Arial" w:hAnsi="Arial"/>
                <w:b/>
                <w:sz w:val="15"/>
              </w:rPr>
              <w:t xml:space="preserve">51.5</w:t>
            </w:r>
          </w:p>
        </w:tc>
        <w:tc>
          <w:tcPr>
            <w:tcW w:type="dxa" w:w="1155"/>
            <w:shd w:val="clear" w:color="auto" w:fill="DCE4F2"/>
          </w:tcPr>
          <w:p>
            <w:pPr>
              <w:pStyle w:val="Compact"/>
              <w:spacing w:after="0" w:before="0" w:line="240" w:lineRule="auto"/>
              <w:jc w:val="right"/>
            </w:pPr>
            <w:r>
              <w:rPr>
                <w:rFonts w:ascii="Arial" w:hAnsi="Arial"/>
                <w:b/>
                <w:sz w:val="15"/>
              </w:rPr>
              <w:t xml:space="preserve">138</w:t>
            </w:r>
          </w:p>
        </w:tc>
        <w:tc>
          <w:tcPr>
            <w:tcW w:type="dxa" w:w="1085"/>
            <w:shd w:val="clear" w:color="auto" w:fill="DCE4F2"/>
          </w:tcPr>
          <w:p>
            <w:pPr>
              <w:pStyle w:val="Compact"/>
              <w:spacing w:after="0" w:before="0" w:line="240" w:lineRule="auto"/>
              <w:jc w:val="right"/>
            </w:pPr>
            <w:r>
              <w:rPr>
                <w:rFonts w:ascii="Arial" w:hAnsi="Arial"/>
                <w:b/>
                <w:sz w:val="15"/>
              </w:rPr>
              <w:t xml:space="preserve">84</w:t>
            </w:r>
          </w:p>
        </w:tc>
        <w:tc>
          <w:tcPr>
            <w:tcW w:type="dxa" w:w="1159"/>
            <w:shd w:val="clear" w:color="auto" w:fill="DCE4F2"/>
          </w:tcPr>
          <w:p>
            <w:pPr>
              <w:pStyle w:val="Compact"/>
              <w:spacing w:after="0" w:before="0" w:line="240" w:lineRule="auto"/>
              <w:jc w:val="right"/>
            </w:pPr>
            <w:r>
              <w:rPr>
                <w:rFonts w:ascii="Arial" w:hAnsi="Arial"/>
                <w:b/>
                <w:sz w:val="15"/>
              </w:rPr>
              <w:t xml:space="preserve">127</w:t>
            </w:r>
          </w:p>
        </w:tc>
        <w:tc>
          <w:tcPr>
            <w:tcW w:type="dxa" w:w="1085"/>
            <w:shd w:val="clear" w:color="auto" w:fill="DCE4F2"/>
          </w:tcPr>
          <w:p>
            <w:pPr>
              <w:pStyle w:val="Compact"/>
              <w:spacing w:after="0" w:before="0" w:line="240" w:lineRule="auto"/>
              <w:jc w:val="right"/>
            </w:pPr>
            <w:r>
              <w:rPr>
                <w:rFonts w:ascii="Arial" w:hAnsi="Arial"/>
                <w:b/>
                <w:sz w:val="15"/>
              </w:rPr>
              <w:t xml:space="preserve">66</w:t>
            </w:r>
          </w:p>
        </w:tc>
        <w:tc>
          <w:tcPr>
            <w:tcW w:type="dxa" w:w="1164"/>
            <w:shd w:val="clear" w:color="auto" w:fill="DCE4F2"/>
          </w:tcPr>
          <w:p>
            <w:pPr>
              <w:pStyle w:val="Compact"/>
              <w:spacing w:after="0" w:before="0" w:line="240" w:lineRule="auto"/>
              <w:jc w:val="right"/>
            </w:pPr>
            <w:r>
              <w:rPr>
                <w:rFonts w:ascii="Arial" w:hAnsi="Arial"/>
                <w:b/>
                <w:sz w:val="15"/>
              </w:rPr>
              <w:t xml:space="preserve">100</w:t>
            </w:r>
          </w:p>
        </w:tc>
        <w:tc>
          <w:tcPr>
            <w:tcW w:type="dxa" w:w="1085"/>
            <w:shd w:val="clear" w:color="auto" w:fill="DCE4F2"/>
          </w:tcPr>
          <w:p>
            <w:pPr>
              <w:pStyle w:val="Compact"/>
              <w:spacing w:after="0" w:before="0" w:line="240" w:lineRule="auto"/>
              <w:jc w:val="right"/>
            </w:pPr>
            <w:r>
              <w:rPr>
                <w:rFonts w:ascii="Arial" w:hAnsi="Arial"/>
                <w:b/>
                <w:sz w:val="15"/>
              </w:rPr>
              <w:t xml:space="preserve">63</w:t>
            </w:r>
          </w:p>
        </w:tc>
      </w:tr>
      <w:tr>
        <w:trPr>
          <w:cantSplit/>
        </w:trPr>
        <w:tc>
          <w:tcPr>
            <w:tcW w:type="dxa" w:w="2075"/>
            <w:shd w:val="clear" w:color="auto" w:fill="DCE4F2"/>
          </w:tcPr>
          <w:p>
            <w:pPr>
              <w:pStyle w:val="Compact"/>
              <w:spacing w:after="0" w:before="0" w:line="240" w:lineRule="auto"/>
              <w:jc w:val="left"/>
            </w:pPr>
            <w:r>
              <w:rPr>
                <w:rFonts w:ascii="Arial" w:hAnsi="Arial"/>
                <w:b/>
                <w:sz w:val="15"/>
              </w:rPr>
              <w:t xml:space="preserve">Net debt / EBITDA</w:t>
            </w:r>
          </w:p>
        </w:tc>
        <w:tc>
          <w:tcPr>
            <w:tcW w:type="dxa" w:w="1170"/>
            <w:shd w:val="clear" w:color="auto" w:fill="DCE4F2"/>
          </w:tcPr>
          <w:p>
            <w:pPr>
              <w:pStyle w:val="Compact"/>
              <w:spacing w:after="0" w:before="0" w:line="240" w:lineRule="auto"/>
              <w:jc w:val="right"/>
            </w:pPr>
            <w:r>
              <w:rPr>
                <w:rFonts w:ascii="Arial" w:hAnsi="Arial"/>
                <w:b/>
                <w:sz w:val="15"/>
              </w:rPr>
              <w:t xml:space="preserve">0.3x</w:t>
            </w:r>
          </w:p>
        </w:tc>
        <w:tc>
          <w:tcPr>
            <w:tcW w:type="dxa" w:w="1155"/>
            <w:shd w:val="clear" w:color="auto" w:fill="DCE4F2"/>
          </w:tcPr>
          <w:p>
            <w:pPr>
              <w:pStyle w:val="Compact"/>
              <w:spacing w:after="0" w:before="0" w:line="240" w:lineRule="auto"/>
              <w:jc w:val="right"/>
            </w:pPr>
            <w:r>
              <w:rPr>
                <w:rFonts w:ascii="Arial" w:hAnsi="Arial"/>
                <w:b/>
                <w:sz w:val="15"/>
              </w:rPr>
              <w:t xml:space="preserve">0.64x</w:t>
            </w:r>
          </w:p>
        </w:tc>
        <w:tc>
          <w:tcPr>
            <w:tcW w:type="dxa" w:w="1085"/>
            <w:shd w:val="clear" w:color="auto" w:fill="DCE4F2"/>
          </w:tcPr>
          <w:p>
            <w:pPr>
              <w:pStyle w:val="Compact"/>
              <w:spacing w:after="0" w:before="0" w:line="240" w:lineRule="auto"/>
              <w:jc w:val="right"/>
            </w:pPr>
            <w:r>
              <w:rPr>
                <w:rFonts w:ascii="Arial" w:hAnsi="Arial"/>
                <w:b/>
                <w:sz w:val="15"/>
              </w:rPr>
              <w:t xml:space="preserve">–</w:t>
            </w:r>
          </w:p>
        </w:tc>
        <w:tc>
          <w:tcPr>
            <w:tcW w:type="dxa" w:w="1159"/>
            <w:shd w:val="clear" w:color="auto" w:fill="DCE4F2"/>
          </w:tcPr>
          <w:p>
            <w:pPr>
              <w:pStyle w:val="Compact"/>
              <w:spacing w:after="0" w:before="0" w:line="240" w:lineRule="auto"/>
              <w:jc w:val="right"/>
            </w:pPr>
            <w:r>
              <w:rPr>
                <w:rFonts w:ascii="Arial" w:hAnsi="Arial"/>
                <w:b/>
                <w:sz w:val="15"/>
              </w:rPr>
              <w:t xml:space="preserve">0.51x</w:t>
            </w:r>
          </w:p>
        </w:tc>
        <w:tc>
          <w:tcPr>
            <w:tcW w:type="dxa" w:w="1085"/>
            <w:shd w:val="clear" w:color="auto" w:fill="DCE4F2"/>
          </w:tcPr>
          <w:p>
            <w:pPr>
              <w:pStyle w:val="Compact"/>
              <w:spacing w:after="0" w:before="0" w:line="240" w:lineRule="auto"/>
              <w:jc w:val="right"/>
            </w:pPr>
            <w:r>
              <w:rPr>
                <w:rFonts w:ascii="Arial" w:hAnsi="Arial"/>
                <w:b/>
                <w:sz w:val="15"/>
              </w:rPr>
              <w:t xml:space="preserve">–</w:t>
            </w:r>
          </w:p>
        </w:tc>
        <w:tc>
          <w:tcPr>
            <w:tcW w:type="dxa" w:w="1164"/>
            <w:shd w:val="clear" w:color="auto" w:fill="DCE4F2"/>
          </w:tcPr>
          <w:p>
            <w:pPr>
              <w:pStyle w:val="Compact"/>
              <w:spacing w:after="0" w:before="0" w:line="240" w:lineRule="auto"/>
              <w:jc w:val="right"/>
            </w:pPr>
            <w:r>
              <w:rPr>
                <w:rFonts w:ascii="Arial" w:hAnsi="Arial"/>
                <w:b/>
                <w:sz w:val="15"/>
              </w:rPr>
              <w:t xml:space="preserve">0.36x</w:t>
            </w:r>
          </w:p>
        </w:tc>
        <w:tc>
          <w:tcPr>
            <w:tcW w:type="dxa" w:w="1085"/>
            <w:shd w:val="clear" w:color="auto" w:fill="DCE4F2"/>
          </w:tcPr>
          <w:p>
            <w:pPr>
              <w:pStyle w:val="Compact"/>
              <w:spacing w:after="0" w:before="0" w:line="240" w:lineRule="auto"/>
              <w:jc w:val="right"/>
            </w:pPr>
            <w:r>
              <w:rPr>
                <w:rFonts w:ascii="Arial" w:hAnsi="Arial"/>
                <w:b/>
                <w:sz w:val="15"/>
              </w:rPr>
              <w:t xml:space="preserve">–</w:t>
            </w:r>
          </w:p>
        </w:tc>
      </w:tr>
    </w:tbl>
    <w:p>
      <w:pPr>
        <w:pStyle w:val="BodyText"/>
      </w:pPr>
      <w:r>
        <w:rPr>
          <w:iCs/>
          <w:i/>
        </w:rPr>
        <w:t xml:space="preserve">Consensus: S&amp;P Capital IQ, 14–18 Oct 2026. Our FY3/27E net debt is higher than consensus because the Jun-26 balance sheet already shows ~JPY200bn after the buyback and the acquisition.</w:t>
      </w:r>
    </w:p>
    <w:p>
      <w:pPr>
        <w:pStyle w:val="BodyText"/>
      </w:pPr>
      <w:r>
        <w:rPr>
          <w:bCs/>
          <w:b/>
        </w:rPr>
        <w:t xml:space="preserve">Sensitivities (FY3/28E EPS).</w:t>
      </w:r>
    </w:p>
    <w:p>
      <w:pPr>
        <w:numPr>
          <w:ilvl w:val="0"/>
          <w:numId w:val="1027"/>
        </w:numPr>
        <w:pStyle w:val="Compact"/>
      </w:pPr>
      <w:r>
        <w:t xml:space="preserve">±1pt of GIS margin = ±JPY5.4 (±5%).</w:t>
      </w:r>
    </w:p>
    <w:p>
      <w:pPr>
        <w:numPr>
          <w:ilvl w:val="0"/>
          <w:numId w:val="1027"/>
        </w:numPr>
        <w:pStyle w:val="Compact"/>
      </w:pPr>
      <w:r>
        <w:t xml:space="preserve">±JPY5/US$ = ±JPY1.7 [e, from the ~JPY0.5bn OP per JPY1 sensitivity].</w:t>
      </w:r>
    </w:p>
    <w:p>
      <w:pPr>
        <w:numPr>
          <w:ilvl w:val="0"/>
          <w:numId w:val="1027"/>
        </w:numPr>
        <w:pStyle w:val="Compact"/>
      </w:pPr>
      <w:r>
        <w:t xml:space="preserve">An SIS sale at 1.2x sales (~JPY390bn) would be</w:t>
      </w:r>
      <w:r>
        <w:t xml:space="preserve"> </w:t>
      </w:r>
      <w:r>
        <w:rPr>
          <w:bCs/>
          <w:b/>
        </w:rPr>
        <w:t xml:space="preserve">~+4% accretive to FY3/28E EPS</w:t>
      </w:r>
      <w:r>
        <w:t xml:space="preserve"> </w:t>
      </w:r>
      <w:r>
        <w:t xml:space="preserve">if half the proceeds fund buybacks at JPY2,000 and half repay debt, and</w:t>
      </w:r>
      <w:r>
        <w:t xml:space="preserve"> </w:t>
      </w:r>
      <w:r>
        <w:rPr>
          <w:bCs/>
          <w:b/>
        </w:rPr>
        <w:t xml:space="preserve">~+12%</w:t>
      </w:r>
      <w:r>
        <w:t xml:space="preserve"> </w:t>
      </w:r>
      <w:r>
        <w:t xml:space="preserve">if all go to buybacks [e]. The calculation gives up SIS OP of ~JPY10bn and assumes ~JPY5bn of stranded corporate cost.</w:t>
      </w:r>
    </w:p>
    <w:p>
      <w:pPr>
        <w:numPr>
          <w:ilvl w:val="0"/>
          <w:numId w:val="1027"/>
        </w:numPr>
        <w:pStyle w:val="Compact"/>
      </w:pPr>
      <w:r>
        <w:t xml:space="preserve">A consent-decree scenario (US sales disruption at selected sites, plus JPY30–50bn a year of remediation) would cut EPS by 25–35% [e].</w:t>
      </w:r>
    </w:p>
    <w:bookmarkEnd w:id="80"/>
    <w:bookmarkEnd w:id="81"/>
    <w:bookmarkStart w:id="85" w:name="X5f519a6a33702f31831f75f01214944ee6f8464"/>
    <w:p>
      <w:pPr>
        <w:pStyle w:val="Heading1"/>
      </w:pPr>
      <w:r>
        <w:t xml:space="preserve">Capital structure, debt, liquidity and ratings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329"/>
        <w:gridCol w:w="1120"/>
        <w:gridCol w:w="1012"/>
        <w:gridCol w:w="1092"/>
        <w:gridCol w:w="1100"/>
        <w:gridCol w:w="1040"/>
        <w:gridCol w:w="1283"/>
      </w:tblGrid>
      <w:tr>
        <w:trPr>
          <w:tblHeader w:val="true"/>
          <w:tblHeader w:val="true"/>
          <w:cantSplit/>
        </w:trPr>
        <w:tc>
          <w:tcPr>
            <w:tcW w:type="dxa" w:w="3329"/>
            <w:shd w:val="clear" w:color="auto" w:fill="13213F"/>
          </w:tcPr>
          <w:p>
            <w:pPr>
              <w:pStyle w:val="Compact"/>
              <w:spacing w:after="0" w:before="0" w:line="240" w:lineRule="auto"/>
              <w:jc w:val="left"/>
            </w:pPr>
            <w:r>
              <w:rPr>
                <w:rFonts w:ascii="Arial" w:hAnsi="Arial"/>
                <w:b/>
                <w:color w:val="FFFFFF"/>
                <w:sz w:val="15"/>
              </w:rPr>
              <w:t xml:space="preserve">JPY bn</w:t>
            </w:r>
          </w:p>
        </w:tc>
        <w:tc>
          <w:tcPr>
            <w:tcW w:type="dxa" w:w="1120"/>
            <w:shd w:val="clear" w:color="auto" w:fill="13213F"/>
          </w:tcPr>
          <w:p>
            <w:pPr>
              <w:pStyle w:val="Compact"/>
              <w:spacing w:after="0" w:before="0" w:line="240" w:lineRule="auto"/>
              <w:jc w:val="right"/>
            </w:pPr>
            <w:r>
              <w:rPr>
                <w:rFonts w:ascii="Arial" w:hAnsi="Arial"/>
                <w:b/>
                <w:color w:val="FFFFFF"/>
                <w:sz w:val="15"/>
              </w:rPr>
              <w:t xml:space="preserve">Mar-22*</w:t>
            </w:r>
          </w:p>
        </w:tc>
        <w:tc>
          <w:tcPr>
            <w:tcW w:type="dxa" w:w="1012"/>
            <w:shd w:val="clear" w:color="auto" w:fill="13213F"/>
          </w:tcPr>
          <w:p>
            <w:pPr>
              <w:pStyle w:val="Compact"/>
              <w:spacing w:after="0" w:before="0" w:line="240" w:lineRule="auto"/>
              <w:jc w:val="right"/>
            </w:pPr>
            <w:r>
              <w:rPr>
                <w:rFonts w:ascii="Arial" w:hAnsi="Arial"/>
                <w:b/>
                <w:color w:val="FFFFFF"/>
                <w:sz w:val="15"/>
              </w:rPr>
              <w:t xml:space="preserve">Mar-23</w:t>
            </w:r>
          </w:p>
        </w:tc>
        <w:tc>
          <w:tcPr>
            <w:tcW w:type="dxa" w:w="1093"/>
            <w:shd w:val="clear" w:color="auto" w:fill="13213F"/>
          </w:tcPr>
          <w:p>
            <w:pPr>
              <w:pStyle w:val="Compact"/>
              <w:spacing w:after="0" w:before="0" w:line="240" w:lineRule="auto"/>
              <w:jc w:val="right"/>
            </w:pPr>
            <w:r>
              <w:rPr>
                <w:rFonts w:ascii="Arial" w:hAnsi="Arial"/>
                <w:b/>
                <w:color w:val="FFFFFF"/>
                <w:sz w:val="15"/>
              </w:rPr>
              <w:t xml:space="preserve">Mar-24</w:t>
            </w:r>
          </w:p>
        </w:tc>
        <w:tc>
          <w:tcPr>
            <w:tcW w:type="dxa" w:w="1100"/>
            <w:shd w:val="clear" w:color="auto" w:fill="13213F"/>
          </w:tcPr>
          <w:p>
            <w:pPr>
              <w:pStyle w:val="Compact"/>
              <w:spacing w:after="0" w:before="0" w:line="240" w:lineRule="auto"/>
              <w:jc w:val="right"/>
            </w:pPr>
            <w:r>
              <w:rPr>
                <w:rFonts w:ascii="Arial" w:hAnsi="Arial"/>
                <w:b/>
                <w:color w:val="FFFFFF"/>
                <w:sz w:val="15"/>
              </w:rPr>
              <w:t xml:space="preserve">Mar-25</w:t>
            </w:r>
          </w:p>
        </w:tc>
        <w:tc>
          <w:tcPr>
            <w:tcW w:type="dxa" w:w="1040"/>
            <w:shd w:val="clear" w:color="auto" w:fill="13213F"/>
          </w:tcPr>
          <w:p>
            <w:pPr>
              <w:pStyle w:val="Compact"/>
              <w:spacing w:after="0" w:before="0" w:line="240" w:lineRule="auto"/>
              <w:jc w:val="right"/>
            </w:pPr>
            <w:r>
              <w:rPr>
                <w:rFonts w:ascii="Arial" w:hAnsi="Arial"/>
                <w:b/>
                <w:color w:val="FFFFFF"/>
                <w:sz w:val="15"/>
              </w:rPr>
              <w:t xml:space="preserve">Mar-26</w:t>
            </w:r>
          </w:p>
        </w:tc>
        <w:tc>
          <w:tcPr>
            <w:tcW w:type="dxa" w:w="1283"/>
            <w:shd w:val="clear" w:color="auto" w:fill="13213F"/>
          </w:tcPr>
          <w:p>
            <w:pPr>
              <w:pStyle w:val="Compact"/>
              <w:spacing w:after="0" w:before="0" w:line="240" w:lineRule="auto"/>
              <w:jc w:val="right"/>
            </w:pPr>
            <w:r>
              <w:rPr>
                <w:rFonts w:ascii="Arial" w:hAnsi="Arial"/>
                <w:b/>
                <w:color w:val="FFFFFF"/>
                <w:sz w:val="15"/>
              </w:rPr>
              <w:t xml:space="preserve">Jun-26</w:t>
            </w:r>
          </w:p>
        </w:tc>
      </w:tr>
      <w:tr>
        <w:trPr>
          <w:cantSplit/>
        </w:trPr>
        <w:tc>
          <w:tcPr>
            <w:tcW w:type="dxa" w:w="3329"/>
          </w:tcPr>
          <w:p>
            <w:pPr>
              <w:pStyle w:val="Compact"/>
              <w:spacing w:after="0" w:before="0" w:line="240" w:lineRule="auto"/>
              <w:jc w:val="left"/>
            </w:pPr>
            <w:r>
              <w:rPr>
                <w:rFonts w:ascii="Arial" w:hAnsi="Arial"/>
                <w:sz w:val="15"/>
              </w:rPr>
              <w:t xml:space="preserve">Cash and equivalents</w:t>
            </w:r>
          </w:p>
        </w:tc>
        <w:tc>
          <w:tcPr>
            <w:tcW w:type="dxa" w:w="1120"/>
          </w:tcPr>
          <w:p>
            <w:pPr>
              <w:pStyle w:val="Compact"/>
              <w:spacing w:after="0" w:before="0" w:line="240" w:lineRule="auto"/>
              <w:jc w:val="right"/>
            </w:pPr>
            <w:r>
              <w:rPr>
                <w:rFonts w:ascii="Arial" w:hAnsi="Arial"/>
                <w:sz w:val="15"/>
              </w:rPr>
              <w:t xml:space="preserve">302.6</w:t>
            </w:r>
          </w:p>
        </w:tc>
        <w:tc>
          <w:tcPr>
            <w:tcW w:type="dxa" w:w="1012"/>
          </w:tcPr>
          <w:p>
            <w:pPr>
              <w:pStyle w:val="Compact"/>
              <w:spacing w:after="0" w:before="0" w:line="240" w:lineRule="auto"/>
              <w:jc w:val="right"/>
            </w:pPr>
            <w:r>
              <w:rPr>
                <w:rFonts w:ascii="Arial" w:hAnsi="Arial"/>
                <w:sz w:val="15"/>
              </w:rPr>
              <w:t xml:space="preserve">169.3</w:t>
            </w:r>
          </w:p>
        </w:tc>
        <w:tc>
          <w:tcPr>
            <w:tcW w:type="dxa" w:w="1093"/>
          </w:tcPr>
          <w:p>
            <w:pPr>
              <w:pStyle w:val="Compact"/>
              <w:spacing w:after="0" w:before="0" w:line="240" w:lineRule="auto"/>
              <w:jc w:val="right"/>
            </w:pPr>
            <w:r>
              <w:rPr>
                <w:rFonts w:ascii="Arial" w:hAnsi="Arial"/>
                <w:sz w:val="15"/>
              </w:rPr>
              <w:t xml:space="preserve">340.9</w:t>
            </w:r>
          </w:p>
        </w:tc>
        <w:tc>
          <w:tcPr>
            <w:tcW w:type="dxa" w:w="1100"/>
          </w:tcPr>
          <w:p>
            <w:pPr>
              <w:pStyle w:val="Compact"/>
              <w:spacing w:after="0" w:before="0" w:line="240" w:lineRule="auto"/>
              <w:jc w:val="right"/>
            </w:pPr>
            <w:r>
              <w:rPr>
                <w:rFonts w:ascii="Arial" w:hAnsi="Arial"/>
                <w:sz w:val="15"/>
              </w:rPr>
              <w:t xml:space="preserve">252.5</w:t>
            </w:r>
          </w:p>
        </w:tc>
        <w:tc>
          <w:tcPr>
            <w:tcW w:type="dxa" w:w="1040"/>
          </w:tcPr>
          <w:p>
            <w:pPr>
              <w:pStyle w:val="Compact"/>
              <w:spacing w:after="0" w:before="0" w:line="240" w:lineRule="auto"/>
              <w:jc w:val="right"/>
            </w:pPr>
            <w:r>
              <w:rPr>
                <w:rFonts w:ascii="Arial" w:hAnsi="Arial"/>
                <w:sz w:val="15"/>
              </w:rPr>
              <w:t xml:space="preserve">188.0</w:t>
            </w:r>
          </w:p>
        </w:tc>
        <w:tc>
          <w:tcPr>
            <w:tcW w:type="dxa" w:w="1283"/>
          </w:tcPr>
          <w:p>
            <w:pPr>
              <w:pStyle w:val="Compact"/>
              <w:spacing w:after="0" w:before="0" w:line="240" w:lineRule="auto"/>
              <w:jc w:val="right"/>
            </w:pPr>
            <w:r>
              <w:rPr>
                <w:rFonts w:ascii="Arial" w:hAnsi="Arial"/>
                <w:sz w:val="15"/>
              </w:rPr>
              <w:t xml:space="preserve">118.5</w:t>
            </w:r>
          </w:p>
        </w:tc>
      </w:tr>
      <w:tr>
        <w:trPr>
          <w:cantSplit/>
        </w:trPr>
        <w:tc>
          <w:tcPr>
            <w:tcW w:type="dxa" w:w="3329"/>
            <w:shd w:val="clear" w:color="auto" w:fill="F1F2F5"/>
          </w:tcPr>
          <w:p>
            <w:pPr>
              <w:pStyle w:val="Compact"/>
              <w:spacing w:after="0" w:before="0" w:line="240" w:lineRule="auto"/>
              <w:jc w:val="left"/>
            </w:pPr>
            <w:r>
              <w:rPr>
                <w:rFonts w:ascii="Arial" w:hAnsi="Arial"/>
                <w:sz w:val="15"/>
              </w:rPr>
              <w:t xml:space="preserve">Bonds</w:t>
            </w:r>
          </w:p>
        </w:tc>
        <w:tc>
          <w:tcPr>
            <w:tcW w:type="dxa" w:w="1120"/>
            <w:shd w:val="clear" w:color="auto" w:fill="F1F2F5"/>
          </w:tcPr>
          <w:p>
            <w:pPr>
              <w:pStyle w:val="Compact"/>
              <w:spacing w:after="0" w:before="0" w:line="240" w:lineRule="auto"/>
              <w:jc w:val="right"/>
            </w:pPr>
            <w:r>
              <w:rPr>
                <w:rFonts w:ascii="Arial" w:hAnsi="Arial"/>
                <w:sz w:val="15"/>
              </w:rPr>
              <w:t xml:space="preserve">n/d</w:t>
            </w:r>
          </w:p>
        </w:tc>
        <w:tc>
          <w:tcPr>
            <w:tcW w:type="dxa" w:w="1012"/>
            <w:shd w:val="clear" w:color="auto" w:fill="F1F2F5"/>
          </w:tcPr>
          <w:p>
            <w:pPr>
              <w:pStyle w:val="Compact"/>
              <w:spacing w:after="0" w:before="0" w:line="240" w:lineRule="auto"/>
              <w:jc w:val="right"/>
            </w:pPr>
            <w:r>
              <w:rPr>
                <w:rFonts w:ascii="Arial" w:hAnsi="Arial"/>
                <w:sz w:val="15"/>
              </w:rPr>
              <w:t xml:space="preserve">n/d</w:t>
            </w:r>
          </w:p>
        </w:tc>
        <w:tc>
          <w:tcPr>
            <w:tcW w:type="dxa" w:w="1093"/>
            <w:shd w:val="clear" w:color="auto" w:fill="F1F2F5"/>
          </w:tcPr>
          <w:p>
            <w:pPr>
              <w:pStyle w:val="Compact"/>
              <w:spacing w:after="0" w:before="0" w:line="240" w:lineRule="auto"/>
              <w:jc w:val="right"/>
            </w:pPr>
            <w:r>
              <w:rPr>
                <w:rFonts w:ascii="Arial" w:hAnsi="Arial"/>
                <w:sz w:val="15"/>
              </w:rPr>
              <w:t xml:space="preserve">145.3</w:t>
            </w:r>
          </w:p>
        </w:tc>
        <w:tc>
          <w:tcPr>
            <w:tcW w:type="dxa" w:w="1100"/>
            <w:shd w:val="clear" w:color="auto" w:fill="F1F2F5"/>
          </w:tcPr>
          <w:p>
            <w:pPr>
              <w:pStyle w:val="Compact"/>
              <w:spacing w:after="0" w:before="0" w:line="240" w:lineRule="auto"/>
              <w:jc w:val="right"/>
            </w:pPr>
            <w:r>
              <w:rPr>
                <w:rFonts w:ascii="Arial" w:hAnsi="Arial"/>
                <w:sz w:val="15"/>
              </w:rPr>
              <w:t xml:space="preserve">124.5</w:t>
            </w:r>
          </w:p>
        </w:tc>
        <w:tc>
          <w:tcPr>
            <w:tcW w:type="dxa" w:w="1040"/>
            <w:shd w:val="clear" w:color="auto" w:fill="F1F2F5"/>
          </w:tcPr>
          <w:p>
            <w:pPr>
              <w:pStyle w:val="Compact"/>
              <w:spacing w:after="0" w:before="0" w:line="240" w:lineRule="auto"/>
              <w:jc w:val="right"/>
            </w:pPr>
            <w:r>
              <w:rPr>
                <w:rFonts w:ascii="Arial" w:hAnsi="Arial"/>
                <w:sz w:val="15"/>
              </w:rPr>
              <w:t xml:space="preserve">134.7</w:t>
            </w:r>
          </w:p>
        </w:tc>
        <w:tc>
          <w:tcPr>
            <w:tcW w:type="dxa" w:w="1283"/>
            <w:shd w:val="clear" w:color="auto" w:fill="F1F2F5"/>
          </w:tcPr>
          <w:p>
            <w:pPr>
              <w:pStyle w:val="Compact"/>
              <w:spacing w:after="0" w:before="0" w:line="240" w:lineRule="auto"/>
              <w:jc w:val="right"/>
            </w:pPr>
            <w:r>
              <w:rPr>
                <w:rFonts w:ascii="Arial" w:hAnsi="Arial"/>
                <w:sz w:val="15"/>
              </w:rPr>
              <w:t xml:space="preserve">n/d</w:t>
            </w:r>
          </w:p>
        </w:tc>
      </w:tr>
      <w:tr>
        <w:trPr>
          <w:cantSplit/>
        </w:trPr>
        <w:tc>
          <w:tcPr>
            <w:tcW w:type="dxa" w:w="3329"/>
          </w:tcPr>
          <w:p>
            <w:pPr>
              <w:pStyle w:val="Compact"/>
              <w:spacing w:after="0" w:before="0" w:line="240" w:lineRule="auto"/>
              <w:jc w:val="left"/>
            </w:pPr>
            <w:r>
              <w:rPr>
                <w:rFonts w:ascii="Arial" w:hAnsi="Arial"/>
                <w:sz w:val="15"/>
              </w:rPr>
              <w:t xml:space="preserve">Borrowings</w:t>
            </w:r>
          </w:p>
        </w:tc>
        <w:tc>
          <w:tcPr>
            <w:tcW w:type="dxa" w:w="1120"/>
          </w:tcPr>
          <w:p>
            <w:pPr>
              <w:pStyle w:val="Compact"/>
              <w:spacing w:after="0" w:before="0" w:line="240" w:lineRule="auto"/>
              <w:jc w:val="right"/>
            </w:pPr>
            <w:r>
              <w:rPr>
                <w:rFonts w:ascii="Arial" w:hAnsi="Arial"/>
                <w:sz w:val="15"/>
              </w:rPr>
              <w:t xml:space="preserve">n/d</w:t>
            </w:r>
          </w:p>
        </w:tc>
        <w:tc>
          <w:tcPr>
            <w:tcW w:type="dxa" w:w="1012"/>
          </w:tcPr>
          <w:p>
            <w:pPr>
              <w:pStyle w:val="Compact"/>
              <w:spacing w:after="0" w:before="0" w:line="240" w:lineRule="auto"/>
              <w:jc w:val="right"/>
            </w:pPr>
            <w:r>
              <w:rPr>
                <w:rFonts w:ascii="Arial" w:hAnsi="Arial"/>
                <w:sz w:val="15"/>
              </w:rPr>
              <w:t xml:space="preserve">n/d</w:t>
            </w:r>
          </w:p>
        </w:tc>
        <w:tc>
          <w:tcPr>
            <w:tcW w:type="dxa" w:w="1093"/>
          </w:tcPr>
          <w:p>
            <w:pPr>
              <w:pStyle w:val="Compact"/>
              <w:spacing w:after="0" w:before="0" w:line="240" w:lineRule="auto"/>
              <w:jc w:val="right"/>
            </w:pPr>
            <w:r>
              <w:rPr>
                <w:rFonts w:ascii="Arial" w:hAnsi="Arial"/>
                <w:sz w:val="15"/>
              </w:rPr>
              <w:t xml:space="preserve">154.3</w:t>
            </w:r>
          </w:p>
        </w:tc>
        <w:tc>
          <w:tcPr>
            <w:tcW w:type="dxa" w:w="1100"/>
          </w:tcPr>
          <w:p>
            <w:pPr>
              <w:pStyle w:val="Compact"/>
              <w:spacing w:after="0" w:before="0" w:line="240" w:lineRule="auto"/>
              <w:jc w:val="right"/>
            </w:pPr>
            <w:r>
              <w:rPr>
                <w:rFonts w:ascii="Arial" w:hAnsi="Arial"/>
                <w:sz w:val="15"/>
              </w:rPr>
              <w:t xml:space="preserve">104.6</w:t>
            </w:r>
          </w:p>
        </w:tc>
        <w:tc>
          <w:tcPr>
            <w:tcW w:type="dxa" w:w="1040"/>
          </w:tcPr>
          <w:p>
            <w:pPr>
              <w:pStyle w:val="Compact"/>
              <w:spacing w:after="0" w:before="0" w:line="240" w:lineRule="auto"/>
              <w:jc w:val="right"/>
            </w:pPr>
            <w:r>
              <w:rPr>
                <w:rFonts w:ascii="Arial" w:hAnsi="Arial"/>
                <w:sz w:val="15"/>
              </w:rPr>
              <w:t xml:space="preserve">104.9</w:t>
            </w:r>
          </w:p>
        </w:tc>
        <w:tc>
          <w:tcPr>
            <w:tcW w:type="dxa" w:w="1283"/>
          </w:tcPr>
          <w:p>
            <w:pPr>
              <w:pStyle w:val="Compact"/>
              <w:spacing w:after="0" w:before="0" w:line="240" w:lineRule="auto"/>
              <w:jc w:val="right"/>
            </w:pPr>
            <w:r>
              <w:rPr>
                <w:rFonts w:ascii="Arial" w:hAnsi="Arial"/>
                <w:sz w:val="15"/>
              </w:rPr>
              <w:t xml:space="preserve">n/d</w:t>
            </w:r>
          </w:p>
        </w:tc>
      </w:tr>
      <w:tr>
        <w:trPr>
          <w:cantSplit/>
        </w:trPr>
        <w:tc>
          <w:tcPr>
            <w:tcW w:type="dxa" w:w="3329"/>
            <w:shd w:val="clear" w:color="auto" w:fill="F1F2F5"/>
          </w:tcPr>
          <w:p>
            <w:pPr>
              <w:pStyle w:val="Compact"/>
              <w:spacing w:after="0" w:before="0" w:line="240" w:lineRule="auto"/>
              <w:jc w:val="left"/>
            </w:pPr>
            <w:r>
              <w:rPr>
                <w:bCs/>
                <w:rFonts w:ascii="Arial" w:hAnsi="Arial"/>
                <w:b/>
                <w:sz w:val="15"/>
              </w:rPr>
              <w:t xml:space="preserve">Gross debt (bonds + borrowings)</w:t>
            </w:r>
          </w:p>
        </w:tc>
        <w:tc>
          <w:tcPr>
            <w:tcW w:type="dxa" w:w="1120"/>
            <w:shd w:val="clear" w:color="auto" w:fill="F1F2F5"/>
          </w:tcPr>
          <w:p>
            <w:pPr>
              <w:pStyle w:val="Compact"/>
              <w:spacing w:after="0" w:before="0" w:line="240" w:lineRule="auto"/>
              <w:jc w:val="right"/>
            </w:pPr>
            <w:r>
              <w:rPr>
                <w:rFonts w:ascii="Arial" w:hAnsi="Arial"/>
                <w:sz w:val="15"/>
              </w:rPr>
              <w:t xml:space="preserve">386.1</w:t>
            </w:r>
          </w:p>
        </w:tc>
        <w:tc>
          <w:tcPr>
            <w:tcW w:type="dxa" w:w="1012"/>
            <w:shd w:val="clear" w:color="auto" w:fill="F1F2F5"/>
          </w:tcPr>
          <w:p>
            <w:pPr>
              <w:pStyle w:val="Compact"/>
              <w:spacing w:after="0" w:before="0" w:line="240" w:lineRule="auto"/>
              <w:jc w:val="right"/>
            </w:pPr>
            <w:r>
              <w:rPr>
                <w:rFonts w:ascii="Arial" w:hAnsi="Arial"/>
                <w:sz w:val="15"/>
              </w:rPr>
              <w:t xml:space="preserve">340.1</w:t>
            </w:r>
          </w:p>
        </w:tc>
        <w:tc>
          <w:tcPr>
            <w:tcW w:type="dxa" w:w="1093"/>
            <w:shd w:val="clear" w:color="auto" w:fill="F1F2F5"/>
          </w:tcPr>
          <w:p>
            <w:pPr>
              <w:pStyle w:val="Compact"/>
              <w:spacing w:after="0" w:before="0" w:line="240" w:lineRule="auto"/>
              <w:jc w:val="right"/>
            </w:pPr>
            <w:r>
              <w:rPr>
                <w:rFonts w:ascii="Arial" w:hAnsi="Arial"/>
                <w:sz w:val="15"/>
              </w:rPr>
              <w:t xml:space="preserve">299.6</w:t>
            </w:r>
          </w:p>
        </w:tc>
        <w:tc>
          <w:tcPr>
            <w:tcW w:type="dxa" w:w="1100"/>
            <w:shd w:val="clear" w:color="auto" w:fill="F1F2F5"/>
          </w:tcPr>
          <w:p>
            <w:pPr>
              <w:pStyle w:val="Compact"/>
              <w:spacing w:after="0" w:before="0" w:line="240" w:lineRule="auto"/>
              <w:jc w:val="right"/>
            </w:pPr>
            <w:r>
              <w:rPr>
                <w:rFonts w:ascii="Arial" w:hAnsi="Arial"/>
                <w:sz w:val="15"/>
              </w:rPr>
              <w:t xml:space="preserve">229.1</w:t>
            </w:r>
          </w:p>
        </w:tc>
        <w:tc>
          <w:tcPr>
            <w:tcW w:type="dxa" w:w="1040"/>
            <w:shd w:val="clear" w:color="auto" w:fill="F1F2F5"/>
          </w:tcPr>
          <w:p>
            <w:pPr>
              <w:pStyle w:val="Compact"/>
              <w:spacing w:after="0" w:before="0" w:line="240" w:lineRule="auto"/>
              <w:jc w:val="right"/>
            </w:pPr>
            <w:r>
              <w:rPr>
                <w:bCs/>
                <w:rFonts w:ascii="Arial" w:hAnsi="Arial"/>
                <w:b/>
                <w:sz w:val="15"/>
              </w:rPr>
              <w:t xml:space="preserve">239.6</w:t>
            </w:r>
          </w:p>
        </w:tc>
        <w:tc>
          <w:tcPr>
            <w:tcW w:type="dxa" w:w="1283"/>
            <w:shd w:val="clear" w:color="auto" w:fill="F1F2F5"/>
          </w:tcPr>
          <w:p>
            <w:pPr>
              <w:pStyle w:val="Compact"/>
              <w:spacing w:after="0" w:before="0" w:line="240" w:lineRule="auto"/>
              <w:jc w:val="right"/>
            </w:pPr>
            <w:r>
              <w:rPr>
                <w:bCs/>
                <w:rFonts w:ascii="Arial" w:hAnsi="Arial"/>
                <w:b/>
                <w:sz w:val="15"/>
              </w:rPr>
              <w:t xml:space="preserve">318.9</w:t>
            </w:r>
          </w:p>
        </w:tc>
      </w:tr>
      <w:tr>
        <w:trPr>
          <w:cantSplit/>
        </w:trPr>
        <w:tc>
          <w:tcPr>
            <w:tcW w:type="dxa" w:w="3329"/>
            <w:shd w:val="clear" w:color="auto" w:fill="DCE4F2"/>
          </w:tcPr>
          <w:p>
            <w:pPr>
              <w:pStyle w:val="Compact"/>
              <w:spacing w:after="0" w:before="0" w:line="240" w:lineRule="auto"/>
              <w:jc w:val="left"/>
            </w:pPr>
            <w:r>
              <w:rPr>
                <w:bCs/>
                <w:rFonts w:ascii="Arial" w:hAnsi="Arial"/>
                <w:b/>
                <w:sz w:val="15"/>
              </w:rPr>
              <w:t xml:space="preserve">Net debt / (cash)</w:t>
            </w:r>
          </w:p>
        </w:tc>
        <w:tc>
          <w:tcPr>
            <w:tcW w:type="dxa" w:w="1120"/>
            <w:shd w:val="clear" w:color="auto" w:fill="DCE4F2"/>
          </w:tcPr>
          <w:p>
            <w:pPr>
              <w:pStyle w:val="Compact"/>
              <w:spacing w:after="0" w:before="0" w:line="240" w:lineRule="auto"/>
              <w:jc w:val="right"/>
            </w:pPr>
            <w:r>
              <w:rPr>
                <w:rFonts w:ascii="Arial" w:hAnsi="Arial"/>
                <w:b/>
                <w:sz w:val="15"/>
              </w:rPr>
              <w:t xml:space="preserve">83.6</w:t>
            </w:r>
          </w:p>
        </w:tc>
        <w:tc>
          <w:tcPr>
            <w:tcW w:type="dxa" w:w="1012"/>
            <w:shd w:val="clear" w:color="auto" w:fill="DCE4F2"/>
          </w:tcPr>
          <w:p>
            <w:pPr>
              <w:pStyle w:val="Compact"/>
              <w:spacing w:after="0" w:before="0" w:line="240" w:lineRule="auto"/>
              <w:jc w:val="right"/>
            </w:pPr>
            <w:r>
              <w:rPr>
                <w:rFonts w:ascii="Arial" w:hAnsi="Arial"/>
                <w:b/>
                <w:sz w:val="15"/>
              </w:rPr>
              <w:t xml:space="preserve">170.7</w:t>
            </w:r>
          </w:p>
        </w:tc>
        <w:tc>
          <w:tcPr>
            <w:tcW w:type="dxa" w:w="1093"/>
            <w:shd w:val="clear" w:color="auto" w:fill="DCE4F2"/>
          </w:tcPr>
          <w:p>
            <w:pPr>
              <w:pStyle w:val="Compact"/>
              <w:spacing w:after="0" w:before="0" w:line="240" w:lineRule="auto"/>
              <w:jc w:val="right"/>
            </w:pPr>
            <w:r>
              <w:rPr>
                <w:rFonts w:ascii="Arial" w:hAnsi="Arial"/>
                <w:b/>
                <w:sz w:val="15"/>
              </w:rPr>
              <w:t xml:space="preserve">(41.3)</w:t>
            </w:r>
          </w:p>
        </w:tc>
        <w:tc>
          <w:tcPr>
            <w:tcW w:type="dxa" w:w="1100"/>
            <w:shd w:val="clear" w:color="auto" w:fill="DCE4F2"/>
          </w:tcPr>
          <w:p>
            <w:pPr>
              <w:pStyle w:val="Compact"/>
              <w:spacing w:after="0" w:before="0" w:line="240" w:lineRule="auto"/>
              <w:jc w:val="right"/>
            </w:pPr>
            <w:r>
              <w:rPr>
                <w:rFonts w:ascii="Arial" w:hAnsi="Arial"/>
                <w:b/>
                <w:sz w:val="15"/>
              </w:rPr>
              <w:t xml:space="preserve">(23.4)</w:t>
            </w:r>
          </w:p>
        </w:tc>
        <w:tc>
          <w:tcPr>
            <w:tcW w:type="dxa" w:w="1040"/>
            <w:shd w:val="clear" w:color="auto" w:fill="DCE4F2"/>
          </w:tcPr>
          <w:p>
            <w:pPr>
              <w:pStyle w:val="Compact"/>
              <w:spacing w:after="0" w:before="0" w:line="240" w:lineRule="auto"/>
              <w:jc w:val="right"/>
            </w:pPr>
            <w:r>
              <w:rPr>
                <w:bCs/>
                <w:rFonts w:ascii="Arial" w:hAnsi="Arial"/>
                <w:b/>
                <w:sz w:val="15"/>
              </w:rPr>
              <w:t xml:space="preserve">51.5</w:t>
            </w:r>
          </w:p>
        </w:tc>
        <w:tc>
          <w:tcPr>
            <w:tcW w:type="dxa" w:w="1283"/>
            <w:shd w:val="clear" w:color="auto" w:fill="DCE4F2"/>
          </w:tcPr>
          <w:p>
            <w:pPr>
              <w:pStyle w:val="Compact"/>
              <w:spacing w:after="0" w:before="0" w:line="240" w:lineRule="auto"/>
              <w:jc w:val="right"/>
            </w:pPr>
            <w:r>
              <w:rPr>
                <w:bCs/>
                <w:rFonts w:ascii="Arial" w:hAnsi="Arial"/>
                <w:b/>
                <w:sz w:val="15"/>
              </w:rPr>
              <w:t xml:space="preserve">~200.3</w:t>
            </w:r>
          </w:p>
        </w:tc>
      </w:tr>
      <w:tr>
        <w:trPr>
          <w:cantSplit/>
        </w:trPr>
        <w:tc>
          <w:tcPr>
            <w:tcW w:type="dxa" w:w="3329"/>
            <w:shd w:val="clear" w:color="auto" w:fill="F1F2F5"/>
          </w:tcPr>
          <w:p>
            <w:pPr>
              <w:pStyle w:val="Compact"/>
              <w:spacing w:after="0" w:before="0" w:line="240" w:lineRule="auto"/>
              <w:jc w:val="left"/>
            </w:pPr>
            <w:r>
              <w:rPr>
                <w:rFonts w:ascii="Arial" w:hAnsi="Arial"/>
                <w:sz w:val="15"/>
              </w:rPr>
              <w:t xml:space="preserve">Other financial liabilities (incl. leases)</w:t>
            </w:r>
          </w:p>
        </w:tc>
        <w:tc>
          <w:tcPr>
            <w:tcW w:type="dxa" w:w="1120"/>
            <w:shd w:val="clear" w:color="auto" w:fill="F1F2F5"/>
          </w:tcPr>
          <w:p>
            <w:pPr>
              <w:pStyle w:val="Compact"/>
              <w:spacing w:after="0" w:before="0" w:line="240" w:lineRule="auto"/>
              <w:jc w:val="right"/>
            </w:pPr>
            <w:r>
              <w:rPr>
                <w:rFonts w:ascii="Arial" w:hAnsi="Arial"/>
                <w:sz w:val="15"/>
              </w:rPr>
              <w:t xml:space="preserve">n/d</w:t>
            </w:r>
          </w:p>
        </w:tc>
        <w:tc>
          <w:tcPr>
            <w:tcW w:type="dxa" w:w="1012"/>
            <w:shd w:val="clear" w:color="auto" w:fill="F1F2F5"/>
          </w:tcPr>
          <w:p>
            <w:pPr>
              <w:pStyle w:val="Compact"/>
              <w:spacing w:after="0" w:before="0" w:line="240" w:lineRule="auto"/>
              <w:jc w:val="right"/>
            </w:pPr>
            <w:r>
              <w:rPr>
                <w:rFonts w:ascii="Arial" w:hAnsi="Arial"/>
                <w:sz w:val="15"/>
              </w:rPr>
              <w:t xml:space="preserve">n/d</w:t>
            </w:r>
          </w:p>
        </w:tc>
        <w:tc>
          <w:tcPr>
            <w:tcW w:type="dxa" w:w="1093"/>
            <w:shd w:val="clear" w:color="auto" w:fill="F1F2F5"/>
          </w:tcPr>
          <w:p>
            <w:pPr>
              <w:pStyle w:val="Compact"/>
              <w:spacing w:after="0" w:before="0" w:line="240" w:lineRule="auto"/>
              <w:jc w:val="right"/>
            </w:pPr>
            <w:r>
              <w:rPr>
                <w:rFonts w:ascii="Arial" w:hAnsi="Arial"/>
                <w:sz w:val="15"/>
              </w:rPr>
              <w:t xml:space="preserve">89.9</w:t>
            </w:r>
          </w:p>
        </w:tc>
        <w:tc>
          <w:tcPr>
            <w:tcW w:type="dxa" w:w="1100"/>
            <w:shd w:val="clear" w:color="auto" w:fill="F1F2F5"/>
          </w:tcPr>
          <w:p>
            <w:pPr>
              <w:pStyle w:val="Compact"/>
              <w:spacing w:after="0" w:before="0" w:line="240" w:lineRule="auto"/>
              <w:jc w:val="right"/>
            </w:pPr>
            <w:r>
              <w:rPr>
                <w:rFonts w:ascii="Arial" w:hAnsi="Arial"/>
                <w:sz w:val="15"/>
              </w:rPr>
              <w:t xml:space="preserve">84.6</w:t>
            </w:r>
          </w:p>
        </w:tc>
        <w:tc>
          <w:tcPr>
            <w:tcW w:type="dxa" w:w="1040"/>
            <w:shd w:val="clear" w:color="auto" w:fill="F1F2F5"/>
          </w:tcPr>
          <w:p>
            <w:pPr>
              <w:pStyle w:val="Compact"/>
              <w:spacing w:after="0" w:before="0" w:line="240" w:lineRule="auto"/>
              <w:jc w:val="right"/>
            </w:pPr>
            <w:r>
              <w:rPr>
                <w:rFonts w:ascii="Arial" w:hAnsi="Arial"/>
                <w:sz w:val="15"/>
              </w:rPr>
              <w:t xml:space="preserve">93.6</w:t>
            </w:r>
          </w:p>
        </w:tc>
        <w:tc>
          <w:tcPr>
            <w:tcW w:type="dxa" w:w="1283"/>
            <w:shd w:val="clear" w:color="auto" w:fill="F1F2F5"/>
          </w:tcPr>
          <w:p>
            <w:pPr>
              <w:pStyle w:val="Compact"/>
              <w:spacing w:after="0" w:before="0" w:line="240" w:lineRule="auto"/>
              <w:jc w:val="right"/>
            </w:pPr>
            <w:r>
              <w:rPr>
                <w:rFonts w:ascii="Arial" w:hAnsi="Arial"/>
                <w:sz w:val="15"/>
              </w:rPr>
              <w:t xml:space="preserve">n/d</w:t>
            </w:r>
          </w:p>
        </w:tc>
      </w:tr>
      <w:tr>
        <w:trPr>
          <w:cantSplit/>
        </w:trPr>
        <w:tc>
          <w:tcPr>
            <w:tcW w:type="dxa" w:w="3329"/>
            <w:shd w:val="clear" w:color="auto" w:fill="DCE4F2"/>
          </w:tcPr>
          <w:p>
            <w:pPr>
              <w:pStyle w:val="Compact"/>
              <w:spacing w:after="0" w:before="0" w:line="240" w:lineRule="auto"/>
              <w:jc w:val="left"/>
            </w:pPr>
            <w:r>
              <w:rPr>
                <w:rFonts w:ascii="Arial" w:hAnsi="Arial"/>
                <w:b/>
                <w:sz w:val="15"/>
              </w:rPr>
              <w:t xml:space="preserve">Net debt / EBITDA (reported)</w:t>
            </w:r>
          </w:p>
        </w:tc>
        <w:tc>
          <w:tcPr>
            <w:tcW w:type="dxa" w:w="1120"/>
            <w:shd w:val="clear" w:color="auto" w:fill="DCE4F2"/>
          </w:tcPr>
          <w:p>
            <w:pPr>
              <w:pStyle w:val="Compact"/>
              <w:spacing w:after="0" w:before="0" w:line="240" w:lineRule="auto"/>
              <w:jc w:val="right"/>
            </w:pPr>
            <w:r>
              <w:rPr>
                <w:rFonts w:ascii="Arial" w:hAnsi="Arial"/>
                <w:b/>
                <w:sz w:val="15"/>
              </w:rPr>
              <w:t xml:space="preserve">0.4x</w:t>
            </w:r>
          </w:p>
        </w:tc>
        <w:tc>
          <w:tcPr>
            <w:tcW w:type="dxa" w:w="1012"/>
            <w:shd w:val="clear" w:color="auto" w:fill="DCE4F2"/>
          </w:tcPr>
          <w:p>
            <w:pPr>
              <w:pStyle w:val="Compact"/>
              <w:spacing w:after="0" w:before="0" w:line="240" w:lineRule="auto"/>
              <w:jc w:val="right"/>
            </w:pPr>
            <w:r>
              <w:rPr>
                <w:rFonts w:ascii="Arial" w:hAnsi="Arial"/>
                <w:b/>
                <w:sz w:val="15"/>
              </w:rPr>
              <w:t xml:space="preserve">0.7x</w:t>
            </w:r>
          </w:p>
        </w:tc>
        <w:tc>
          <w:tcPr>
            <w:tcW w:type="dxa" w:w="1093"/>
            <w:shd w:val="clear" w:color="auto" w:fill="DCE4F2"/>
          </w:tcPr>
          <w:p>
            <w:pPr>
              <w:pStyle w:val="Compact"/>
              <w:spacing w:after="0" w:before="0" w:line="240" w:lineRule="auto"/>
              <w:jc w:val="right"/>
            </w:pPr>
            <w:r>
              <w:rPr>
                <w:rFonts w:ascii="Arial" w:hAnsi="Arial"/>
                <w:b/>
                <w:sz w:val="15"/>
              </w:rPr>
              <w:t xml:space="preserve">net cash</w:t>
            </w:r>
          </w:p>
        </w:tc>
        <w:tc>
          <w:tcPr>
            <w:tcW w:type="dxa" w:w="1100"/>
            <w:shd w:val="clear" w:color="auto" w:fill="DCE4F2"/>
          </w:tcPr>
          <w:p>
            <w:pPr>
              <w:pStyle w:val="Compact"/>
              <w:spacing w:after="0" w:before="0" w:line="240" w:lineRule="auto"/>
              <w:jc w:val="right"/>
            </w:pPr>
            <w:r>
              <w:rPr>
                <w:rFonts w:ascii="Arial" w:hAnsi="Arial"/>
                <w:b/>
                <w:sz w:val="15"/>
              </w:rPr>
              <w:t xml:space="preserve">net cash</w:t>
            </w:r>
          </w:p>
        </w:tc>
        <w:tc>
          <w:tcPr>
            <w:tcW w:type="dxa" w:w="1040"/>
            <w:shd w:val="clear" w:color="auto" w:fill="DCE4F2"/>
          </w:tcPr>
          <w:p>
            <w:pPr>
              <w:pStyle w:val="Compact"/>
              <w:spacing w:after="0" w:before="0" w:line="240" w:lineRule="auto"/>
              <w:jc w:val="right"/>
            </w:pPr>
            <w:r>
              <w:rPr>
                <w:rFonts w:ascii="Arial" w:hAnsi="Arial"/>
                <w:b/>
                <w:sz w:val="15"/>
              </w:rPr>
              <w:t xml:space="preserve">0.31x</w:t>
            </w:r>
          </w:p>
        </w:tc>
        <w:tc>
          <w:tcPr>
            <w:tcW w:type="dxa" w:w="1283"/>
            <w:shd w:val="clear" w:color="auto" w:fill="DCE4F2"/>
          </w:tcPr>
          <w:p>
            <w:pPr>
              <w:pStyle w:val="Compact"/>
              <w:spacing w:after="0" w:before="0" w:line="240" w:lineRule="auto"/>
              <w:jc w:val="right"/>
            </w:pPr>
            <w:r>
              <w:rPr>
                <w:rFonts w:ascii="Arial" w:hAnsi="Arial"/>
                <w:b/>
                <w:sz w:val="15"/>
              </w:rPr>
              <w:t xml:space="preserve">~0.92x (CIQ LTM)</w:t>
            </w:r>
          </w:p>
        </w:tc>
      </w:tr>
      <w:tr>
        <w:trPr>
          <w:cantSplit/>
        </w:trPr>
        <w:tc>
          <w:tcPr>
            <w:tcW w:type="dxa" w:w="3329"/>
            <w:shd w:val="clear" w:color="auto" w:fill="DCE4F2"/>
          </w:tcPr>
          <w:p>
            <w:pPr>
              <w:pStyle w:val="Compact"/>
              <w:spacing w:after="0" w:before="0" w:line="240" w:lineRule="auto"/>
              <w:jc w:val="left"/>
            </w:pPr>
            <w:r>
              <w:rPr>
                <w:rFonts w:ascii="Arial" w:hAnsi="Arial"/>
                <w:b/>
                <w:sz w:val="15"/>
              </w:rPr>
              <w:t xml:space="preserve">Net debt incl. other fin. liabilities / adj. EBITDA</w:t>
            </w:r>
          </w:p>
        </w:tc>
        <w:tc>
          <w:tcPr>
            <w:tcW w:type="dxa" w:w="1120"/>
            <w:shd w:val="clear" w:color="auto" w:fill="DCE4F2"/>
          </w:tcPr>
          <w:p>
            <w:pPr>
              <w:pStyle w:val="Compact"/>
              <w:spacing w:after="0" w:before="0" w:line="240" w:lineRule="auto"/>
              <w:jc w:val="right"/>
            </w:pPr>
            <w:r>
              <w:rPr>
                <w:rFonts w:ascii="Arial" w:hAnsi="Arial"/>
                <w:b/>
                <w:sz w:val="15"/>
              </w:rPr>
              <w:t xml:space="preserve">–</w:t>
            </w:r>
          </w:p>
        </w:tc>
        <w:tc>
          <w:tcPr>
            <w:tcW w:type="dxa" w:w="1012"/>
            <w:shd w:val="clear" w:color="auto" w:fill="DCE4F2"/>
          </w:tcPr>
          <w:p>
            <w:pPr>
              <w:pStyle w:val="Compact"/>
              <w:spacing w:after="0" w:before="0" w:line="240" w:lineRule="auto"/>
              <w:jc w:val="right"/>
            </w:pPr>
            <w:r>
              <w:rPr>
                <w:rFonts w:ascii="Arial" w:hAnsi="Arial"/>
                <w:b/>
                <w:sz w:val="15"/>
              </w:rPr>
              <w:t xml:space="preserve">–</w:t>
            </w:r>
          </w:p>
        </w:tc>
        <w:tc>
          <w:tcPr>
            <w:tcW w:type="dxa" w:w="1093"/>
            <w:shd w:val="clear" w:color="auto" w:fill="DCE4F2"/>
          </w:tcPr>
          <w:p>
            <w:pPr>
              <w:pStyle w:val="Compact"/>
              <w:spacing w:after="0" w:before="0" w:line="240" w:lineRule="auto"/>
              <w:jc w:val="right"/>
            </w:pPr>
            <w:r>
              <w:rPr>
                <w:rFonts w:ascii="Arial" w:hAnsi="Arial"/>
                <w:b/>
                <w:sz w:val="15"/>
              </w:rPr>
              <w:t xml:space="preserve">0.22x</w:t>
            </w:r>
          </w:p>
        </w:tc>
        <w:tc>
          <w:tcPr>
            <w:tcW w:type="dxa" w:w="1100"/>
            <w:shd w:val="clear" w:color="auto" w:fill="DCE4F2"/>
          </w:tcPr>
          <w:p>
            <w:pPr>
              <w:pStyle w:val="Compact"/>
              <w:spacing w:after="0" w:before="0" w:line="240" w:lineRule="auto"/>
              <w:jc w:val="right"/>
            </w:pPr>
            <w:r>
              <w:rPr>
                <w:rFonts w:ascii="Arial" w:hAnsi="Arial"/>
                <w:b/>
                <w:sz w:val="15"/>
              </w:rPr>
              <w:t xml:space="preserve">0.24x</w:t>
            </w:r>
          </w:p>
        </w:tc>
        <w:tc>
          <w:tcPr>
            <w:tcW w:type="dxa" w:w="1040"/>
            <w:shd w:val="clear" w:color="auto" w:fill="DCE4F2"/>
          </w:tcPr>
          <w:p>
            <w:pPr>
              <w:pStyle w:val="Compact"/>
              <w:spacing w:after="0" w:before="0" w:line="240" w:lineRule="auto"/>
              <w:jc w:val="right"/>
            </w:pPr>
            <w:r>
              <w:rPr>
                <w:rFonts w:ascii="Arial" w:hAnsi="Arial"/>
                <w:b/>
                <w:sz w:val="15"/>
              </w:rPr>
              <w:t xml:space="preserve">0.69x</w:t>
            </w:r>
          </w:p>
        </w:tc>
        <w:tc>
          <w:tcPr>
            <w:tcW w:type="dxa" w:w="1283"/>
            <w:shd w:val="clear" w:color="auto" w:fill="DCE4F2"/>
          </w:tcPr>
          <w:p>
            <w:pPr>
              <w:pStyle w:val="Compact"/>
              <w:spacing w:after="0" w:before="0" w:line="240" w:lineRule="auto"/>
              <w:jc w:val="right"/>
            </w:pPr>
            <w:r>
              <w:rPr>
                <w:rFonts w:ascii="Arial" w:hAnsi="Arial"/>
                <w:b/>
                <w:sz w:val="15"/>
              </w:rPr>
              <w:t xml:space="preserve">~1.3x [e]</w:t>
            </w:r>
          </w:p>
        </w:tc>
      </w:tr>
      <w:tr>
        <w:trPr>
          <w:cantSplit/>
        </w:trPr>
        <w:tc>
          <w:tcPr>
            <w:tcW w:type="dxa" w:w="3329"/>
          </w:tcPr>
          <w:p>
            <w:pPr>
              <w:pStyle w:val="Compact"/>
              <w:spacing w:after="0" w:before="0" w:line="240" w:lineRule="auto"/>
              <w:jc w:val="left"/>
            </w:pPr>
            <w:r>
              <w:rPr>
                <w:rFonts w:ascii="Arial" w:hAnsi="Arial"/>
                <w:sz w:val="15"/>
              </w:rPr>
              <w:t xml:space="preserve">Net retirement benefit (asset) / liability</w:t>
            </w:r>
          </w:p>
        </w:tc>
        <w:tc>
          <w:tcPr>
            <w:tcW w:type="dxa" w:w="1120"/>
          </w:tcPr>
          <w:p>
            <w:pPr>
              <w:pStyle w:val="Compact"/>
              <w:spacing w:after="0" w:before="0" w:line="240" w:lineRule="auto"/>
              <w:jc w:val="right"/>
            </w:pPr>
            <w:r>
              <w:rPr>
                <w:rFonts w:ascii="Arial" w:hAnsi="Arial"/>
                <w:sz w:val="15"/>
              </w:rPr>
              <w:t xml:space="preserve">40.0</w:t>
            </w:r>
          </w:p>
        </w:tc>
        <w:tc>
          <w:tcPr>
            <w:tcW w:type="dxa" w:w="1012"/>
          </w:tcPr>
          <w:p>
            <w:pPr>
              <w:pStyle w:val="Compact"/>
              <w:spacing w:after="0" w:before="0" w:line="240" w:lineRule="auto"/>
              <w:jc w:val="right"/>
            </w:pPr>
            <w:r>
              <w:rPr>
                <w:rFonts w:ascii="Arial" w:hAnsi="Arial"/>
                <w:sz w:val="15"/>
              </w:rPr>
              <w:t xml:space="preserve">20.4</w:t>
            </w:r>
          </w:p>
        </w:tc>
        <w:tc>
          <w:tcPr>
            <w:tcW w:type="dxa" w:w="1093"/>
          </w:tcPr>
          <w:p>
            <w:pPr>
              <w:pStyle w:val="Compact"/>
              <w:spacing w:after="0" w:before="0" w:line="240" w:lineRule="auto"/>
              <w:jc w:val="right"/>
            </w:pPr>
            <w:r>
              <w:rPr>
                <w:rFonts w:ascii="Arial" w:hAnsi="Arial"/>
                <w:sz w:val="15"/>
              </w:rPr>
              <w:t xml:space="preserve">20.6</w:t>
            </w:r>
          </w:p>
        </w:tc>
        <w:tc>
          <w:tcPr>
            <w:tcW w:type="dxa" w:w="1100"/>
          </w:tcPr>
          <w:p>
            <w:pPr>
              <w:pStyle w:val="Compact"/>
              <w:spacing w:after="0" w:before="0" w:line="240" w:lineRule="auto"/>
              <w:jc w:val="right"/>
            </w:pPr>
            <w:r>
              <w:rPr>
                <w:rFonts w:ascii="Arial" w:hAnsi="Arial"/>
                <w:sz w:val="15"/>
              </w:rPr>
              <w:t xml:space="preserve">(20.7)</w:t>
            </w:r>
          </w:p>
        </w:tc>
        <w:tc>
          <w:tcPr>
            <w:tcW w:type="dxa" w:w="1040"/>
          </w:tcPr>
          <w:p>
            <w:pPr>
              <w:pStyle w:val="Compact"/>
              <w:spacing w:after="0" w:before="0" w:line="240" w:lineRule="auto"/>
              <w:jc w:val="right"/>
            </w:pPr>
            <w:r>
              <w:rPr>
                <w:rFonts w:ascii="Arial" w:hAnsi="Arial"/>
                <w:sz w:val="15"/>
              </w:rPr>
              <w:t xml:space="preserve">(31.2)</w:t>
            </w:r>
          </w:p>
        </w:tc>
        <w:tc>
          <w:tcPr>
            <w:tcW w:type="dxa" w:w="1283"/>
          </w:tcPr>
          <w:p>
            <w:pPr>
              <w:pStyle w:val="Compact"/>
              <w:spacing w:after="0" w:before="0" w:line="240" w:lineRule="auto"/>
              <w:jc w:val="right"/>
            </w:pPr>
            <w:r>
              <w:rPr>
                <w:rFonts w:ascii="Arial" w:hAnsi="Arial"/>
                <w:sz w:val="15"/>
              </w:rPr>
              <w:t xml:space="preserve">–</w:t>
            </w:r>
          </w:p>
        </w:tc>
      </w:tr>
      <w:tr>
        <w:trPr>
          <w:cantSplit/>
        </w:trPr>
        <w:tc>
          <w:tcPr>
            <w:tcW w:type="dxa" w:w="3329"/>
            <w:shd w:val="clear" w:color="auto" w:fill="F1F2F5"/>
          </w:tcPr>
          <w:p>
            <w:pPr>
              <w:pStyle w:val="Compact"/>
              <w:spacing w:after="0" w:before="0" w:line="240" w:lineRule="auto"/>
              <w:jc w:val="left"/>
            </w:pPr>
            <w:r>
              <w:rPr>
                <w:rFonts w:ascii="Arial" w:hAnsi="Arial"/>
                <w:sz w:val="15"/>
              </w:rPr>
              <w:t xml:space="preserve">Equity attributable to owners</w:t>
            </w:r>
          </w:p>
        </w:tc>
        <w:tc>
          <w:tcPr>
            <w:tcW w:type="dxa" w:w="1120"/>
            <w:shd w:val="clear" w:color="auto" w:fill="F1F2F5"/>
          </w:tcPr>
          <w:p>
            <w:pPr>
              <w:pStyle w:val="Compact"/>
              <w:spacing w:after="0" w:before="0" w:line="240" w:lineRule="auto"/>
              <w:jc w:val="right"/>
            </w:pPr>
            <w:r>
              <w:rPr>
                <w:rFonts w:ascii="Arial" w:hAnsi="Arial"/>
                <w:sz w:val="15"/>
              </w:rPr>
              <w:t xml:space="preserve">510.2</w:t>
            </w:r>
          </w:p>
        </w:tc>
        <w:tc>
          <w:tcPr>
            <w:tcW w:type="dxa" w:w="1012"/>
            <w:shd w:val="clear" w:color="auto" w:fill="F1F2F5"/>
          </w:tcPr>
          <w:p>
            <w:pPr>
              <w:pStyle w:val="Compact"/>
              <w:spacing w:after="0" w:before="0" w:line="240" w:lineRule="auto"/>
              <w:jc w:val="right"/>
            </w:pPr>
            <w:r>
              <w:rPr>
                <w:rFonts w:ascii="Arial" w:hAnsi="Arial"/>
                <w:sz w:val="15"/>
              </w:rPr>
              <w:t xml:space="preserve">640.1</w:t>
            </w:r>
          </w:p>
        </w:tc>
        <w:tc>
          <w:tcPr>
            <w:tcW w:type="dxa" w:w="1093"/>
            <w:shd w:val="clear" w:color="auto" w:fill="F1F2F5"/>
          </w:tcPr>
          <w:p>
            <w:pPr>
              <w:pStyle w:val="Compact"/>
              <w:spacing w:after="0" w:before="0" w:line="240" w:lineRule="auto"/>
              <w:jc w:val="right"/>
            </w:pPr>
            <w:r>
              <w:rPr>
                <w:rFonts w:ascii="Arial" w:hAnsi="Arial"/>
                <w:sz w:val="15"/>
              </w:rPr>
              <w:t xml:space="preserve">757.2</w:t>
            </w:r>
          </w:p>
        </w:tc>
        <w:tc>
          <w:tcPr>
            <w:tcW w:type="dxa" w:w="1100"/>
            <w:shd w:val="clear" w:color="auto" w:fill="F1F2F5"/>
          </w:tcPr>
          <w:p>
            <w:pPr>
              <w:pStyle w:val="Compact"/>
              <w:spacing w:after="0" w:before="0" w:line="240" w:lineRule="auto"/>
              <w:jc w:val="right"/>
            </w:pPr>
            <w:r>
              <w:rPr>
                <w:rFonts w:ascii="Arial" w:hAnsi="Arial"/>
                <w:sz w:val="15"/>
              </w:rPr>
              <w:t xml:space="preserve">751.7</w:t>
            </w:r>
          </w:p>
        </w:tc>
        <w:tc>
          <w:tcPr>
            <w:tcW w:type="dxa" w:w="1040"/>
            <w:shd w:val="clear" w:color="auto" w:fill="F1F2F5"/>
          </w:tcPr>
          <w:p>
            <w:pPr>
              <w:pStyle w:val="Compact"/>
              <w:spacing w:after="0" w:before="0" w:line="240" w:lineRule="auto"/>
              <w:jc w:val="right"/>
            </w:pPr>
            <w:r>
              <w:rPr>
                <w:rFonts w:ascii="Arial" w:hAnsi="Arial"/>
                <w:sz w:val="15"/>
              </w:rPr>
              <w:t xml:space="preserve">812.0</w:t>
            </w:r>
          </w:p>
        </w:tc>
        <w:tc>
          <w:tcPr>
            <w:tcW w:type="dxa" w:w="1283"/>
            <w:shd w:val="clear" w:color="auto" w:fill="F1F2F5"/>
          </w:tcPr>
          <w:p>
            <w:pPr>
              <w:pStyle w:val="Compact"/>
              <w:spacing w:after="0" w:before="0" w:line="240" w:lineRule="auto"/>
              <w:jc w:val="right"/>
            </w:pPr>
            <w:r>
              <w:rPr>
                <w:rFonts w:ascii="Arial" w:hAnsi="Arial"/>
                <w:sz w:val="15"/>
              </w:rPr>
              <w:t xml:space="preserve">747.9</w:t>
            </w:r>
          </w:p>
        </w:tc>
      </w:tr>
      <w:tr>
        <w:trPr>
          <w:cantSplit/>
        </w:trPr>
        <w:tc>
          <w:tcPr>
            <w:tcW w:type="dxa" w:w="3329"/>
          </w:tcPr>
          <w:p>
            <w:pPr>
              <w:pStyle w:val="Compact"/>
              <w:spacing w:after="0" w:before="0" w:line="240" w:lineRule="auto"/>
              <w:jc w:val="left"/>
            </w:pPr>
            <w:r>
              <w:rPr>
                <w:rFonts w:ascii="Arial" w:hAnsi="Arial"/>
                <w:sz w:val="15"/>
              </w:rPr>
              <w:t xml:space="preserve">Equity ratio</w:t>
            </w:r>
          </w:p>
        </w:tc>
        <w:tc>
          <w:tcPr>
            <w:tcW w:type="dxa" w:w="1120"/>
          </w:tcPr>
          <w:p>
            <w:pPr>
              <w:pStyle w:val="Compact"/>
              <w:spacing w:after="0" w:before="0" w:line="240" w:lineRule="auto"/>
              <w:jc w:val="right"/>
            </w:pPr>
            <w:r>
              <w:rPr>
                <w:rFonts w:ascii="Arial" w:hAnsi="Arial"/>
                <w:sz w:val="15"/>
              </w:rPr>
              <w:t xml:space="preserve">37.6%</w:t>
            </w:r>
          </w:p>
        </w:tc>
        <w:tc>
          <w:tcPr>
            <w:tcW w:type="dxa" w:w="1012"/>
          </w:tcPr>
          <w:p>
            <w:pPr>
              <w:pStyle w:val="Compact"/>
              <w:spacing w:after="0" w:before="0" w:line="240" w:lineRule="auto"/>
              <w:jc w:val="right"/>
            </w:pPr>
            <w:r>
              <w:rPr>
                <w:rFonts w:ascii="Arial" w:hAnsi="Arial"/>
                <w:sz w:val="15"/>
              </w:rPr>
              <w:t xml:space="preserve">42.4%</w:t>
            </w:r>
          </w:p>
        </w:tc>
        <w:tc>
          <w:tcPr>
            <w:tcW w:type="dxa" w:w="1093"/>
          </w:tcPr>
          <w:p>
            <w:pPr>
              <w:pStyle w:val="Compact"/>
              <w:spacing w:after="0" w:before="0" w:line="240" w:lineRule="auto"/>
              <w:jc w:val="right"/>
            </w:pPr>
            <w:r>
              <w:rPr>
                <w:rFonts w:ascii="Arial" w:hAnsi="Arial"/>
                <w:sz w:val="15"/>
              </w:rPr>
              <w:t xml:space="preserve">49.4%</w:t>
            </w:r>
          </w:p>
        </w:tc>
        <w:tc>
          <w:tcPr>
            <w:tcW w:type="dxa" w:w="1100"/>
          </w:tcPr>
          <w:p>
            <w:pPr>
              <w:pStyle w:val="Compact"/>
              <w:spacing w:after="0" w:before="0" w:line="240" w:lineRule="auto"/>
              <w:jc w:val="right"/>
            </w:pPr>
            <w:r>
              <w:rPr>
                <w:rFonts w:ascii="Arial" w:hAnsi="Arial"/>
                <w:sz w:val="15"/>
              </w:rPr>
              <w:t xml:space="preserve">52.5%</w:t>
            </w:r>
          </w:p>
        </w:tc>
        <w:tc>
          <w:tcPr>
            <w:tcW w:type="dxa" w:w="1040"/>
          </w:tcPr>
          <w:p>
            <w:pPr>
              <w:pStyle w:val="Compact"/>
              <w:spacing w:after="0" w:before="0" w:line="240" w:lineRule="auto"/>
              <w:jc w:val="right"/>
            </w:pPr>
            <w:r>
              <w:rPr>
                <w:rFonts w:ascii="Arial" w:hAnsi="Arial"/>
                <w:sz w:val="15"/>
              </w:rPr>
              <w:t xml:space="preserve">52.8%</w:t>
            </w:r>
          </w:p>
        </w:tc>
        <w:tc>
          <w:tcPr>
            <w:tcW w:type="dxa" w:w="1283"/>
          </w:tcPr>
          <w:p>
            <w:pPr>
              <w:pStyle w:val="Compact"/>
              <w:spacing w:after="0" w:before="0" w:line="240" w:lineRule="auto"/>
              <w:jc w:val="right"/>
            </w:pPr>
            <w:r>
              <w:rPr>
                <w:rFonts w:ascii="Arial" w:hAnsi="Arial"/>
                <w:sz w:val="15"/>
              </w:rPr>
              <w:t xml:space="preserve">~49%</w:t>
            </w:r>
          </w:p>
        </w:tc>
      </w:tr>
      <w:tr>
        <w:trPr>
          <w:cantSplit/>
        </w:trPr>
        <w:tc>
          <w:tcPr>
            <w:tcW w:type="dxa" w:w="3329"/>
            <w:shd w:val="clear" w:color="auto" w:fill="F1F2F5"/>
          </w:tcPr>
          <w:p>
            <w:pPr>
              <w:pStyle w:val="Compact"/>
              <w:spacing w:after="0" w:before="0" w:line="240" w:lineRule="auto"/>
              <w:jc w:val="left"/>
            </w:pPr>
            <w:r>
              <w:rPr>
                <w:rFonts w:ascii="Arial" w:hAnsi="Arial"/>
                <w:sz w:val="15"/>
              </w:rPr>
              <w:t xml:space="preserve">Goodwill</w:t>
            </w:r>
          </w:p>
        </w:tc>
        <w:tc>
          <w:tcPr>
            <w:tcW w:type="dxa" w:w="1120"/>
            <w:shd w:val="clear" w:color="auto" w:fill="F1F2F5"/>
          </w:tcPr>
          <w:p>
            <w:pPr>
              <w:pStyle w:val="Compact"/>
              <w:spacing w:after="0" w:before="0" w:line="240" w:lineRule="auto"/>
              <w:jc w:val="right"/>
            </w:pPr>
            <w:r>
              <w:rPr>
                <w:rFonts w:ascii="Arial" w:hAnsi="Arial"/>
                <w:sz w:val="15"/>
              </w:rPr>
              <w:t xml:space="preserve">164.5</w:t>
            </w:r>
          </w:p>
        </w:tc>
        <w:tc>
          <w:tcPr>
            <w:tcW w:type="dxa" w:w="1012"/>
            <w:shd w:val="clear" w:color="auto" w:fill="F1F2F5"/>
          </w:tcPr>
          <w:p>
            <w:pPr>
              <w:pStyle w:val="Compact"/>
              <w:spacing w:after="0" w:before="0" w:line="240" w:lineRule="auto"/>
              <w:jc w:val="right"/>
            </w:pPr>
            <w:r>
              <w:rPr>
                <w:rFonts w:ascii="Arial" w:hAnsi="Arial"/>
                <w:sz w:val="15"/>
              </w:rPr>
              <w:t xml:space="preserve">182.5</w:t>
            </w:r>
          </w:p>
        </w:tc>
        <w:tc>
          <w:tcPr>
            <w:tcW w:type="dxa" w:w="1093"/>
            <w:shd w:val="clear" w:color="auto" w:fill="F1F2F5"/>
          </w:tcPr>
          <w:p>
            <w:pPr>
              <w:pStyle w:val="Compact"/>
              <w:spacing w:after="0" w:before="0" w:line="240" w:lineRule="auto"/>
              <w:jc w:val="right"/>
            </w:pPr>
            <w:r>
              <w:rPr>
                <w:rFonts w:ascii="Arial" w:hAnsi="Arial"/>
                <w:sz w:val="15"/>
              </w:rPr>
              <w:t xml:space="preserve">180.3</w:t>
            </w:r>
          </w:p>
        </w:tc>
        <w:tc>
          <w:tcPr>
            <w:tcW w:type="dxa" w:w="1100"/>
            <w:shd w:val="clear" w:color="auto" w:fill="F1F2F5"/>
          </w:tcPr>
          <w:p>
            <w:pPr>
              <w:pStyle w:val="Compact"/>
              <w:spacing w:after="0" w:before="0" w:line="240" w:lineRule="auto"/>
              <w:jc w:val="right"/>
            </w:pPr>
            <w:r>
              <w:rPr>
                <w:rFonts w:ascii="Arial" w:hAnsi="Arial"/>
                <w:sz w:val="15"/>
              </w:rPr>
              <w:t xml:space="preserve">180.6</w:t>
            </w:r>
          </w:p>
        </w:tc>
        <w:tc>
          <w:tcPr>
            <w:tcW w:type="dxa" w:w="1040"/>
            <w:shd w:val="clear" w:color="auto" w:fill="F1F2F5"/>
          </w:tcPr>
          <w:p>
            <w:pPr>
              <w:pStyle w:val="Compact"/>
              <w:spacing w:after="0" w:before="0" w:line="240" w:lineRule="auto"/>
              <w:jc w:val="right"/>
            </w:pPr>
            <w:r>
              <w:rPr>
                <w:rFonts w:ascii="Arial" w:hAnsi="Arial"/>
                <w:sz w:val="15"/>
              </w:rPr>
              <w:t xml:space="preserve">194.2</w:t>
            </w:r>
          </w:p>
        </w:tc>
        <w:tc>
          <w:tcPr>
            <w:tcW w:type="dxa" w:w="1283"/>
            <w:shd w:val="clear" w:color="auto" w:fill="F1F2F5"/>
          </w:tcPr>
          <w:p>
            <w:pPr>
              <w:pStyle w:val="Compact"/>
              <w:spacing w:after="0" w:before="0" w:line="240" w:lineRule="auto"/>
              <w:jc w:val="right"/>
            </w:pPr>
            <w:r>
              <w:rPr>
                <w:rFonts w:ascii="Arial" w:hAnsi="Arial"/>
                <w:sz w:val="15"/>
              </w:rPr>
              <w:t xml:space="preserve">240.1</w:t>
            </w:r>
          </w:p>
        </w:tc>
      </w:tr>
      <w:tr>
        <w:trPr>
          <w:cantSplit/>
        </w:trPr>
        <w:tc>
          <w:tcPr>
            <w:tcW w:type="dxa" w:w="3329"/>
          </w:tcPr>
          <w:p>
            <w:pPr>
              <w:pStyle w:val="Compact"/>
              <w:spacing w:after="0" w:before="0" w:line="240" w:lineRule="auto"/>
              <w:jc w:val="left"/>
            </w:pPr>
            <w:r>
              <w:rPr>
                <w:rFonts w:ascii="Arial" w:hAnsi="Arial"/>
                <w:sz w:val="15"/>
              </w:rPr>
              <w:t xml:space="preserve">Interest cover (CFO / interest paid)</w:t>
            </w:r>
          </w:p>
        </w:tc>
        <w:tc>
          <w:tcPr>
            <w:tcW w:type="dxa" w:w="1120"/>
          </w:tcPr>
          <w:p>
            <w:pPr>
              <w:pStyle w:val="Compact"/>
              <w:spacing w:after="0" w:before="0" w:line="240" w:lineRule="auto"/>
              <w:jc w:val="right"/>
            </w:pPr>
            <w:r>
              <w:rPr>
                <w:rFonts w:ascii="Arial" w:hAnsi="Arial"/>
                <w:sz w:val="15"/>
              </w:rPr>
              <w:t xml:space="preserve">n/d</w:t>
            </w:r>
          </w:p>
        </w:tc>
        <w:tc>
          <w:tcPr>
            <w:tcW w:type="dxa" w:w="1012"/>
          </w:tcPr>
          <w:p>
            <w:pPr>
              <w:pStyle w:val="Compact"/>
              <w:spacing w:after="0" w:before="0" w:line="240" w:lineRule="auto"/>
              <w:jc w:val="right"/>
            </w:pPr>
            <w:r>
              <w:rPr>
                <w:rFonts w:ascii="Arial" w:hAnsi="Arial"/>
                <w:sz w:val="15"/>
              </w:rPr>
              <w:t xml:space="preserve">18.3x</w:t>
            </w:r>
          </w:p>
        </w:tc>
        <w:tc>
          <w:tcPr>
            <w:tcW w:type="dxa" w:w="1093"/>
          </w:tcPr>
          <w:p>
            <w:pPr>
              <w:pStyle w:val="Compact"/>
              <w:spacing w:after="0" w:before="0" w:line="240" w:lineRule="auto"/>
              <w:jc w:val="right"/>
            </w:pPr>
            <w:r>
              <w:rPr>
                <w:rFonts w:ascii="Arial" w:hAnsi="Arial"/>
                <w:sz w:val="15"/>
              </w:rPr>
              <w:t xml:space="preserve">8.8x</w:t>
            </w:r>
          </w:p>
        </w:tc>
        <w:tc>
          <w:tcPr>
            <w:tcW w:type="dxa" w:w="1100"/>
          </w:tcPr>
          <w:p>
            <w:pPr>
              <w:pStyle w:val="Compact"/>
              <w:spacing w:after="0" w:before="0" w:line="240" w:lineRule="auto"/>
              <w:jc w:val="right"/>
            </w:pPr>
            <w:r>
              <w:rPr>
                <w:rFonts w:ascii="Arial" w:hAnsi="Arial"/>
                <w:sz w:val="15"/>
              </w:rPr>
              <w:t xml:space="preserve">45.4x</w:t>
            </w:r>
          </w:p>
        </w:tc>
        <w:tc>
          <w:tcPr>
            <w:tcW w:type="dxa" w:w="1040"/>
          </w:tcPr>
          <w:p>
            <w:pPr>
              <w:pStyle w:val="Compact"/>
              <w:spacing w:after="0" w:before="0" w:line="240" w:lineRule="auto"/>
              <w:jc w:val="right"/>
            </w:pPr>
            <w:r>
              <w:rPr>
                <w:rFonts w:ascii="Arial" w:hAnsi="Arial"/>
                <w:sz w:val="15"/>
              </w:rPr>
              <w:t xml:space="preserve">24.8x</w:t>
            </w:r>
          </w:p>
        </w:tc>
        <w:tc>
          <w:tcPr>
            <w:tcW w:type="dxa" w:w="1283"/>
          </w:tcPr>
          <w:p>
            <w:pPr>
              <w:pStyle w:val="Compact"/>
              <w:spacing w:after="0" w:before="0" w:line="240" w:lineRule="auto"/>
              <w:jc w:val="right"/>
            </w:pPr>
            <w:r>
              <w:rPr>
                <w:rFonts w:ascii="Arial" w:hAnsi="Arial"/>
                <w:sz w:val="15"/>
              </w:rPr>
              <w:t xml:space="preserve">–</w:t>
            </w:r>
          </w:p>
        </w:tc>
      </w:tr>
    </w:tbl>
    <w:p>
      <w:pPr>
        <w:pStyle w:val="BodyText"/>
      </w:pPr>
      <w:r>
        <w:rPr>
          <w:iCs/>
          <w:i/>
        </w:rPr>
        <w:t xml:space="preserve">*Mar-22 not restated (includes Scientific Solutions). Mar-24 borrowings include ~JPY60bn of short-term borrowings [e]. Sources: tanshin balance sheets, S&amp;P Capital IQ (Jun-26).</w:t>
      </w:r>
    </w:p>
    <w:p>
      <w:pPr>
        <w:pStyle w:val="BodyText"/>
      </w:pPr>
      <w:r>
        <w:rPr>
          <w:bCs/>
          <w:b/>
        </w:rPr>
        <w:t xml:space="preserve">Debt instruments and maturities.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597"/>
        <w:gridCol w:w="2559"/>
        <w:gridCol w:w="2271"/>
        <w:gridCol w:w="2549"/>
      </w:tblGrid>
      <w:tr>
        <w:trPr>
          <w:tblHeader w:val="true"/>
          <w:tblHeader w:val="true"/>
          <w:cantSplit/>
        </w:trPr>
        <w:tc>
          <w:tcPr>
            <w:tcW w:type="dxa" w:w="2598"/>
            <w:shd w:val="clear" w:color="auto" w:fill="13213F"/>
          </w:tcPr>
          <w:p>
            <w:pPr>
              <w:pStyle w:val="Compact"/>
              <w:spacing w:after="0" w:before="0" w:line="240" w:lineRule="auto"/>
              <w:jc w:val="left"/>
            </w:pPr>
            <w:r>
              <w:rPr>
                <w:rFonts w:ascii="Arial" w:hAnsi="Arial"/>
                <w:b/>
                <w:color w:val="FFFFFF"/>
                <w:sz w:val="15"/>
              </w:rPr>
              <w:t xml:space="preserve">Instrument</w:t>
            </w:r>
          </w:p>
        </w:tc>
        <w:tc>
          <w:tcPr>
            <w:tcW w:type="dxa" w:w="2560"/>
            <w:shd w:val="clear" w:color="auto" w:fill="13213F"/>
          </w:tcPr>
          <w:p>
            <w:pPr>
              <w:pStyle w:val="Compact"/>
              <w:spacing w:after="0" w:before="0" w:line="240" w:lineRule="auto"/>
              <w:jc w:val="right"/>
            </w:pPr>
            <w:r>
              <w:rPr>
                <w:rFonts w:ascii="Arial" w:hAnsi="Arial"/>
                <w:b/>
                <w:color w:val="FFFFFF"/>
                <w:sz w:val="15"/>
              </w:rPr>
              <w:t xml:space="preserve">Amount</w:t>
            </w:r>
          </w:p>
        </w:tc>
        <w:tc>
          <w:tcPr>
            <w:tcW w:type="dxa" w:w="2271"/>
            <w:shd w:val="clear" w:color="auto" w:fill="13213F"/>
          </w:tcPr>
          <w:p>
            <w:pPr>
              <w:pStyle w:val="Compact"/>
              <w:spacing w:after="0" w:before="0" w:line="240" w:lineRule="auto"/>
              <w:jc w:val="right"/>
            </w:pPr>
            <w:r>
              <w:rPr>
                <w:rFonts w:ascii="Arial" w:hAnsi="Arial"/>
                <w:b/>
                <w:color w:val="FFFFFF"/>
                <w:sz w:val="15"/>
              </w:rPr>
              <w:t xml:space="preserve">Coupon</w:t>
            </w:r>
          </w:p>
        </w:tc>
        <w:tc>
          <w:tcPr>
            <w:tcW w:type="dxa" w:w="2550"/>
            <w:shd w:val="clear" w:color="auto" w:fill="13213F"/>
          </w:tcPr>
          <w:p>
            <w:pPr>
              <w:pStyle w:val="Compact"/>
              <w:spacing w:after="0" w:before="0" w:line="240" w:lineRule="auto"/>
              <w:jc w:val="left"/>
            </w:pPr>
            <w:r>
              <w:rPr>
                <w:rFonts w:ascii="Arial" w:hAnsi="Arial"/>
                <w:b/>
                <w:color w:val="FFFFFF"/>
                <w:sz w:val="15"/>
              </w:rPr>
              <w:t xml:space="preserve">Maturity</w:t>
            </w:r>
          </w:p>
        </w:tc>
      </w:tr>
      <w:tr>
        <w:trPr>
          <w:cantSplit/>
        </w:trPr>
        <w:tc>
          <w:tcPr>
            <w:tcW w:type="dxa" w:w="2598"/>
          </w:tcPr>
          <w:p>
            <w:pPr>
              <w:pStyle w:val="Compact"/>
              <w:spacing w:after="0" w:before="0" w:line="240" w:lineRule="auto"/>
              <w:jc w:val="left"/>
            </w:pPr>
            <w:r>
              <w:rPr>
                <w:rFonts w:ascii="Arial" w:hAnsi="Arial"/>
                <w:sz w:val="15"/>
              </w:rPr>
              <w:t xml:space="preserve">US$ senior notes (144A/RegS)</w:t>
            </w:r>
          </w:p>
        </w:tc>
        <w:tc>
          <w:tcPr>
            <w:tcW w:type="dxa" w:w="2560"/>
          </w:tcPr>
          <w:p>
            <w:pPr>
              <w:pStyle w:val="Compact"/>
              <w:spacing w:after="0" w:before="0" w:line="240" w:lineRule="auto"/>
              <w:jc w:val="right"/>
            </w:pPr>
            <w:r>
              <w:rPr>
                <w:rFonts w:ascii="Arial" w:hAnsi="Arial"/>
                <w:sz w:val="15"/>
              </w:rPr>
              <w:t xml:space="preserve">US</w:t>
            </w:r>
            <m:oMath>
              <m:r>
                <m:t>500</m:t>
              </m:r>
              <m:r>
                <m:t>m</m:t>
              </m:r>
              <m:d>
                <m:dPr>
                  <m:begChr m:val="("/>
                  <m:endChr m:val=")"/>
                  <m:sepChr m:val=""/>
                  <m:grow/>
                </m:dPr>
                <m:e>
                  <m:r>
                    <m:t> </m:t>
                  </m:r>
                  <m:r>
                    <m:t>J</m:t>
                  </m:r>
                  <m:r>
                    <m:t>P</m:t>
                  </m:r>
                  <m:r>
                    <m:t>Y</m:t>
                  </m:r>
                  <m:r>
                    <m:t>75</m:t>
                  </m:r>
                  <m:r>
                    <m:t>b</m:t>
                  </m:r>
                  <m:r>
                    <m:t>n</m:t>
                  </m:r>
                </m:e>
              </m:d>
              <m:r>
                <m:rPr>
                  <m:sty m:val="p"/>
                </m:rPr>
                <m:t>|</m:t>
              </m:r>
              <m:r>
                <m:t>2.143</m:t>
              </m:r>
            </m:oMath>
            <w:r>
              <w:rPr>
                <w:rFonts w:ascii="Arial" w:hAnsi="Arial"/>
                <w:sz w:val="15"/>
              </w:rPr>
              <w:t xml:space="preserve"> </w:t>
            </w:r>
            <w:r>
              <w:rPr>
                <w:rFonts w:ascii="Arial" w:hAnsi="Arial"/>
                <w:sz w:val="15"/>
              </w:rPr>
              <w:t xml:space="preserve">senior notes (issued 9-Sep-2026)</w:t>
            </w:r>
          </w:p>
        </w:tc>
        <w:tc>
          <w:tcPr>
            <w:tcW w:type="dxa" w:w="2271"/>
          </w:tcPr>
          <w:p>
            <w:pPr>
              <w:pStyle w:val="Compact"/>
              <w:spacing w:after="0" w:before="0" w:line="240" w:lineRule="auto"/>
              <w:jc w:val="right"/>
            </w:pPr>
            <w:r>
              <w:rPr>
                <w:rFonts w:ascii="Arial" w:hAnsi="Arial"/>
                <w:sz w:val="15"/>
              </w:rPr>
              <w:t xml:space="preserve">US$500m (~JPY79bn)</w:t>
            </w:r>
          </w:p>
        </w:tc>
        <w:tc>
          <w:tcPr>
            <w:tcW w:type="dxa" w:w="2550"/>
          </w:tcPr>
          <w:p>
            <w:pPr>
              <w:pStyle w:val="Compact"/>
              <w:spacing w:after="0" w:before="0" w:line="240" w:lineRule="auto"/>
              <w:jc w:val="left"/>
            </w:pPr>
            <w:r>
              <w:rPr>
                <w:rFonts w:ascii="Arial" w:hAnsi="Arial"/>
                <w:sz w:val="15"/>
              </w:rPr>
              <w:t xml:space="preserve">5.526%</w:t>
            </w:r>
          </w:p>
        </w:tc>
      </w:tr>
      <w:tr>
        <w:trPr>
          <w:cantSplit/>
        </w:trPr>
        <w:tc>
          <w:tcPr>
            <w:tcW w:type="dxa" w:w="2598"/>
            <w:shd w:val="clear" w:color="auto" w:fill="F1F2F5"/>
          </w:tcPr>
          <w:p>
            <w:pPr>
              <w:pStyle w:val="Compact"/>
              <w:spacing w:after="0" w:before="0" w:line="240" w:lineRule="auto"/>
              <w:jc w:val="left"/>
            </w:pPr>
            <w:r>
              <w:rPr>
                <w:rFonts w:ascii="Arial" w:hAnsi="Arial"/>
                <w:sz w:val="15"/>
              </w:rPr>
              <w:t xml:space="preserve">28th unsecured yen bond</w:t>
            </w:r>
          </w:p>
        </w:tc>
        <w:tc>
          <w:tcPr>
            <w:tcW w:type="dxa" w:w="2560"/>
            <w:shd w:val="clear" w:color="auto" w:fill="F1F2F5"/>
          </w:tcPr>
          <w:p>
            <w:pPr>
              <w:pStyle w:val="Compact"/>
              <w:spacing w:after="0" w:before="0" w:line="240" w:lineRule="auto"/>
              <w:jc w:val="right"/>
            </w:pPr>
            <w:r>
              <w:rPr>
                <w:rFonts w:ascii="Arial" w:hAnsi="Arial"/>
                <w:sz w:val="15"/>
              </w:rPr>
              <w:t xml:space="preserve">JPY15bn</w:t>
            </w:r>
          </w:p>
        </w:tc>
        <w:tc>
          <w:tcPr>
            <w:tcW w:type="dxa" w:w="2271"/>
            <w:shd w:val="clear" w:color="auto" w:fill="F1F2F5"/>
          </w:tcPr>
          <w:p>
            <w:pPr>
              <w:pStyle w:val="Compact"/>
              <w:spacing w:after="0" w:before="0" w:line="240" w:lineRule="auto"/>
              <w:jc w:val="right"/>
            </w:pPr>
            <w:r>
              <w:rPr>
                <w:rFonts w:ascii="Arial" w:hAnsi="Arial"/>
                <w:sz w:val="15"/>
              </w:rPr>
              <w:t xml:space="preserve">1.237%</w:t>
            </w:r>
          </w:p>
        </w:tc>
        <w:tc>
          <w:tcPr>
            <w:tcW w:type="dxa" w:w="2550"/>
            <w:shd w:val="clear" w:color="auto" w:fill="F1F2F5"/>
          </w:tcPr>
          <w:p>
            <w:pPr>
              <w:pStyle w:val="Compact"/>
              <w:spacing w:after="0" w:before="0" w:line="240" w:lineRule="auto"/>
              <w:jc w:val="left"/>
            </w:pPr>
            <w:r>
              <w:rPr>
                <w:rFonts w:ascii="Arial" w:hAnsi="Arial"/>
                <w:sz w:val="15"/>
              </w:rPr>
              <w:t xml:space="preserve">16-Jun-2028</w:t>
            </w:r>
          </w:p>
        </w:tc>
      </w:tr>
      <w:tr>
        <w:trPr>
          <w:cantSplit/>
        </w:trPr>
        <w:tc>
          <w:tcPr>
            <w:tcW w:type="dxa" w:w="2598"/>
          </w:tcPr>
          <w:p>
            <w:pPr>
              <w:pStyle w:val="Compact"/>
              <w:spacing w:after="0" w:before="0" w:line="240" w:lineRule="auto"/>
              <w:jc w:val="left"/>
            </w:pPr>
            <w:r>
              <w:rPr>
                <w:rFonts w:ascii="Arial" w:hAnsi="Arial"/>
                <w:sz w:val="15"/>
              </w:rPr>
              <w:t xml:space="preserve">29th unsecured yen bond</w:t>
            </w:r>
          </w:p>
        </w:tc>
        <w:tc>
          <w:tcPr>
            <w:tcW w:type="dxa" w:w="2560"/>
          </w:tcPr>
          <w:p>
            <w:pPr>
              <w:pStyle w:val="Compact"/>
              <w:spacing w:after="0" w:before="0" w:line="240" w:lineRule="auto"/>
              <w:jc w:val="right"/>
            </w:pPr>
            <w:r>
              <w:rPr>
                <w:rFonts w:ascii="Arial" w:hAnsi="Arial"/>
                <w:sz w:val="15"/>
              </w:rPr>
              <w:t xml:space="preserve">JPY15bn</w:t>
            </w:r>
          </w:p>
        </w:tc>
        <w:tc>
          <w:tcPr>
            <w:tcW w:type="dxa" w:w="2271"/>
          </w:tcPr>
          <w:p>
            <w:pPr>
              <w:pStyle w:val="Compact"/>
              <w:spacing w:after="0" w:before="0" w:line="240" w:lineRule="auto"/>
              <w:jc w:val="right"/>
            </w:pPr>
            <w:r>
              <w:rPr>
                <w:rFonts w:ascii="Arial" w:hAnsi="Arial"/>
                <w:sz w:val="15"/>
              </w:rPr>
              <w:t xml:space="preserve">1.453%</w:t>
            </w:r>
          </w:p>
        </w:tc>
        <w:tc>
          <w:tcPr>
            <w:tcW w:type="dxa" w:w="2550"/>
          </w:tcPr>
          <w:p>
            <w:pPr>
              <w:pStyle w:val="Compact"/>
              <w:spacing w:after="0" w:before="0" w:line="240" w:lineRule="auto"/>
              <w:jc w:val="left"/>
            </w:pPr>
            <w:r>
              <w:rPr>
                <w:rFonts w:ascii="Arial" w:hAnsi="Arial"/>
                <w:sz w:val="15"/>
              </w:rPr>
              <w:t xml:space="preserve">17-Jun-2030</w:t>
            </w:r>
          </w:p>
        </w:tc>
      </w:tr>
      <w:tr>
        <w:trPr>
          <w:cantSplit/>
        </w:trPr>
        <w:tc>
          <w:tcPr>
            <w:tcW w:type="dxa" w:w="2598"/>
            <w:shd w:val="clear" w:color="auto" w:fill="F1F2F5"/>
          </w:tcPr>
          <w:p>
            <w:pPr>
              <w:pStyle w:val="Compact"/>
              <w:spacing w:after="0" w:before="0" w:line="240" w:lineRule="auto"/>
              <w:jc w:val="left"/>
            </w:pPr>
            <w:r>
              <w:rPr>
                <w:rFonts w:ascii="Arial" w:hAnsi="Arial"/>
                <w:sz w:val="15"/>
              </w:rPr>
              <w:t xml:space="preserve">Other yen bonds</w:t>
            </w:r>
          </w:p>
        </w:tc>
        <w:tc>
          <w:tcPr>
            <w:tcW w:type="dxa" w:w="2560"/>
            <w:shd w:val="clear" w:color="auto" w:fill="F1F2F5"/>
          </w:tcPr>
          <w:p>
            <w:pPr>
              <w:pStyle w:val="Compact"/>
              <w:spacing w:after="0" w:before="0" w:line="240" w:lineRule="auto"/>
              <w:jc w:val="right"/>
            </w:pPr>
            <w:r>
              <w:rPr>
                <w:rFonts w:ascii="Arial" w:hAnsi="Arial"/>
                <w:sz w:val="15"/>
              </w:rPr>
              <w:t xml:space="preserve">~JPY30bn [e]</w:t>
            </w:r>
          </w:p>
        </w:tc>
        <w:tc>
          <w:tcPr>
            <w:tcW w:type="dxa" w:w="2271"/>
            <w:shd w:val="clear" w:color="auto" w:fill="F1F2F5"/>
          </w:tcPr>
          <w:p>
            <w:pPr>
              <w:pStyle w:val="Compact"/>
              <w:spacing w:after="0" w:before="0" w:line="240" w:lineRule="auto"/>
              <w:jc w:val="right"/>
            </w:pPr>
            <w:r>
              <w:rPr>
                <w:rFonts w:ascii="Arial" w:hAnsi="Arial"/>
                <w:sz w:val="15"/>
              </w:rPr>
              <w:t xml:space="preserve">n/d</w:t>
            </w:r>
          </w:p>
        </w:tc>
        <w:tc>
          <w:tcPr>
            <w:tcW w:type="dxa" w:w="2550"/>
            <w:shd w:val="clear" w:color="auto" w:fill="F1F2F5"/>
          </w:tcPr>
          <w:p>
            <w:pPr>
              <w:pStyle w:val="Compact"/>
              <w:spacing w:after="0" w:before="0" w:line="240" w:lineRule="auto"/>
              <w:jc w:val="left"/>
            </w:pPr>
            <w:r>
              <w:rPr>
                <w:rFonts w:ascii="Arial" w:hAnsi="Arial"/>
                <w:sz w:val="15"/>
              </w:rPr>
              <w:t xml:space="preserve">n/d</w:t>
            </w:r>
          </w:p>
        </w:tc>
      </w:tr>
      <w:tr>
        <w:trPr>
          <w:cantSplit/>
        </w:trPr>
        <w:tc>
          <w:tcPr>
            <w:tcW w:type="dxa" w:w="2598"/>
          </w:tcPr>
          <w:p>
            <w:pPr>
              <w:pStyle w:val="Compact"/>
              <w:spacing w:after="0" w:before="0" w:line="240" w:lineRule="auto"/>
              <w:jc w:val="left"/>
            </w:pPr>
            <w:r>
              <w:rPr>
                <w:rFonts w:ascii="Arial" w:hAnsi="Arial"/>
                <w:sz w:val="15"/>
              </w:rPr>
              <w:t xml:space="preserve">Term loans (FY3/26)</w:t>
            </w:r>
          </w:p>
        </w:tc>
        <w:tc>
          <w:tcPr>
            <w:tcW w:type="dxa" w:w="2560"/>
          </w:tcPr>
          <w:p>
            <w:pPr>
              <w:pStyle w:val="Compact"/>
              <w:spacing w:after="0" w:before="0" w:line="240" w:lineRule="auto"/>
              <w:jc w:val="right"/>
            </w:pPr>
            <w:r>
              <w:rPr>
                <w:rFonts w:ascii="Arial" w:hAnsi="Arial"/>
                <w:sz w:val="15"/>
              </w:rPr>
              <w:t xml:space="preserve">JPY20bn / 15bn / 25bn / 10bn</w:t>
            </w:r>
          </w:p>
        </w:tc>
        <w:tc>
          <w:tcPr>
            <w:tcW w:type="dxa" w:w="2271"/>
          </w:tcPr>
          <w:p>
            <w:pPr>
              <w:pStyle w:val="Compact"/>
              <w:spacing w:after="0" w:before="0" w:line="240" w:lineRule="auto"/>
              <w:jc w:val="right"/>
            </w:pPr>
            <w:r>
              <w:rPr>
                <w:rFonts w:ascii="Arial" w:hAnsi="Arial"/>
                <w:sz w:val="15"/>
              </w:rPr>
              <w:t xml:space="preserve">1.07% / 0.94% / 1.48% / 1.55% fixed</w:t>
            </w:r>
          </w:p>
        </w:tc>
        <w:tc>
          <w:tcPr>
            <w:tcW w:type="dxa" w:w="2550"/>
          </w:tcPr>
          <w:p>
            <w:pPr>
              <w:pStyle w:val="Compact"/>
              <w:spacing w:after="0" w:before="0" w:line="240" w:lineRule="auto"/>
              <w:jc w:val="left"/>
            </w:pPr>
            <w:r>
              <w:rPr>
                <w:rFonts w:ascii="Arial" w:hAnsi="Arial"/>
                <w:sz w:val="15"/>
              </w:rPr>
              <w:t xml:space="preserve">Jun-2028 / May-2029 / May-2032 / May-2035</w:t>
            </w:r>
          </w:p>
        </w:tc>
      </w:tr>
      <w:tr>
        <w:trPr>
          <w:cantSplit/>
        </w:trPr>
        <w:tc>
          <w:tcPr>
            <w:tcW w:type="dxa" w:w="2598"/>
            <w:shd w:val="clear" w:color="auto" w:fill="F1F2F5"/>
          </w:tcPr>
          <w:p>
            <w:pPr>
              <w:pStyle w:val="Compact"/>
              <w:spacing w:after="0" w:before="0" w:line="240" w:lineRule="auto"/>
              <w:jc w:val="left"/>
            </w:pPr>
            <w:r>
              <w:rPr>
                <w:rFonts w:ascii="Arial" w:hAnsi="Arial"/>
                <w:sz w:val="15"/>
              </w:rPr>
              <w:t xml:space="preserve">Short-term borrowings (Jun-26)</w:t>
            </w:r>
          </w:p>
        </w:tc>
        <w:tc>
          <w:tcPr>
            <w:tcW w:type="dxa" w:w="2560"/>
            <w:shd w:val="clear" w:color="auto" w:fill="F1F2F5"/>
          </w:tcPr>
          <w:p>
            <w:pPr>
              <w:pStyle w:val="Compact"/>
              <w:spacing w:after="0" w:before="0" w:line="240" w:lineRule="auto"/>
              <w:jc w:val="right"/>
            </w:pPr>
            <w:r>
              <w:rPr>
                <w:rFonts w:ascii="Arial" w:hAnsi="Arial"/>
                <w:sz w:val="15"/>
              </w:rPr>
              <w:t xml:space="preserve">~JPY58bn new in 1Q [u]</w:t>
            </w:r>
          </w:p>
        </w:tc>
        <w:tc>
          <w:tcPr>
            <w:tcW w:type="dxa" w:w="2271"/>
            <w:shd w:val="clear" w:color="auto" w:fill="F1F2F5"/>
          </w:tcPr>
          <w:p>
            <w:pPr>
              <w:pStyle w:val="Compact"/>
              <w:spacing w:after="0" w:before="0" w:line="240" w:lineRule="auto"/>
              <w:jc w:val="right"/>
            </w:pPr>
            <w:r>
              <w:rPr>
                <w:rFonts w:ascii="Arial" w:hAnsi="Arial"/>
                <w:sz w:val="15"/>
              </w:rPr>
              <w:t xml:space="preserve">n/d</w:t>
            </w:r>
          </w:p>
        </w:tc>
        <w:tc>
          <w:tcPr>
            <w:tcW w:type="dxa" w:w="2550"/>
            <w:shd w:val="clear" w:color="auto" w:fill="F1F2F5"/>
          </w:tcPr>
          <w:p>
            <w:pPr>
              <w:pStyle w:val="Compact"/>
              <w:spacing w:after="0" w:before="0" w:line="240" w:lineRule="auto"/>
              <w:jc w:val="left"/>
            </w:pPr>
            <w:r>
              <w:rPr>
                <w:rFonts w:ascii="Arial" w:hAnsi="Arial"/>
                <w:sz w:val="15"/>
              </w:rPr>
              <w:t xml:space="preserve">&lt;1 year</w:t>
            </w:r>
          </w:p>
        </w:tc>
      </w:tr>
    </w:tbl>
    <w:p>
      <w:pPr>
        <w:pStyle w:val="BodyText"/>
      </w:pPr>
      <w:r>
        <w:rPr>
          <w:bCs/>
          <w:b/>
        </w:rPr>
        <w:t xml:space="preserve">Ratings:</w:t>
      </w:r>
      <w:r>
        <w:t xml:space="preserve"> </w:t>
      </w:r>
      <w:r>
        <w:t xml:space="preserve">R&amp;I A+ (a-1 short-term), S&amp;P BBB+, Moody’s Baa1 (Integrated Report 2025; no 2025–26 rating actions found). No financial covenants are disclosed. Commitment lines and the CP programme size are n/d.</w:t>
      </w:r>
    </w:p>
    <w:p>
      <w:pPr>
        <w:pStyle w:val="BodyText"/>
      </w:pPr>
      <w:r>
        <w:rPr>
          <w:bCs/>
          <w:b/>
        </w:rPr>
        <w:t xml:space="preserve">Assessment.</w:t>
      </w:r>
    </w:p>
    <w:p>
      <w:pPr>
        <w:numPr>
          <w:ilvl w:val="0"/>
          <w:numId w:val="1028"/>
        </w:numPr>
        <w:pStyle w:val="Compact"/>
      </w:pPr>
      <w:r>
        <w:rPr>
          <w:bCs/>
          <w:b/>
        </w:rPr>
        <w:t xml:space="preserve">The balance sheet is sound but no longer a war chest.</w:t>
      </w:r>
      <w:r>
        <w:t xml:space="preserve"> </w:t>
      </w:r>
      <w:r>
        <w:t xml:space="preserve">Net debt of ~JPY200bn is ~0.9x LTM EBITDA (~1.3x including lease and other financial liabilities).</w:t>
      </w:r>
    </w:p>
    <w:p>
      <w:pPr>
        <w:numPr>
          <w:ilvl w:val="0"/>
          <w:numId w:val="1028"/>
        </w:numPr>
        <w:pStyle w:val="Compact"/>
      </w:pPr>
      <w:r>
        <w:rPr>
          <w:bCs/>
          <w:b/>
        </w:rPr>
        <w:t xml:space="preserve">Funding costs are rising.</w:t>
      </w:r>
      <w:r>
        <w:t xml:space="preserve"> </w:t>
      </w:r>
      <w:r>
        <w:t xml:space="preserve">The 2.143% US$ notes roll into 5.526%, and zero-rate yen paper (0.20–0.25%) has been refinanced at 1–1.6%. Interest expense could rise from ~JPY5bn to ~JPY9–10bn [e].</w:t>
      </w:r>
    </w:p>
    <w:p>
      <w:pPr>
        <w:numPr>
          <w:ilvl w:val="0"/>
          <w:numId w:val="1028"/>
        </w:numPr>
        <w:pStyle w:val="Compact"/>
      </w:pPr>
      <w:r>
        <w:rPr>
          <w:bCs/>
          <w:b/>
        </w:rPr>
        <w:t xml:space="preserve">Capacity remains.</w:t>
      </w:r>
      <w:r>
        <w:t xml:space="preserve"> </w:t>
      </w:r>
      <w:r>
        <w:t xml:space="preserve">At 1.5x EBITDA Olympus could still fund ~JPY120–150bn of additional buybacks or M&amp;A while staying investment grade [e]. An SIS sale would create further capacity.</w:t>
      </w:r>
    </w:p>
    <w:p>
      <w:pPr>
        <w:numPr>
          <w:ilvl w:val="0"/>
          <w:numId w:val="1028"/>
        </w:numPr>
        <w:pStyle w:val="Compact"/>
      </w:pPr>
      <w:r>
        <w:rPr>
          <w:bCs/>
          <w:b/>
        </w:rPr>
        <w:t xml:space="preserve">Off-balance-sheet items:</w:t>
      </w:r>
    </w:p>
    <w:p>
      <w:pPr>
        <w:numPr>
          <w:ilvl w:val="1"/>
          <w:numId w:val="1029"/>
        </w:numPr>
        <w:pStyle w:val="Compact"/>
      </w:pPr>
      <w:r>
        <w:t xml:space="preserve">The Swan EndoSurgical JV options: an Olympus call to buy at a predetermined value, and Revival put options. Up to US$458m of milestone funding is committed jointly.</w:t>
      </w:r>
    </w:p>
    <w:p>
      <w:pPr>
        <w:numPr>
          <w:ilvl w:val="1"/>
          <w:numId w:val="1029"/>
        </w:numPr>
        <w:pStyle w:val="Compact"/>
      </w:pPr>
      <w:r>
        <w:t xml:space="preserve">Contingent liabilities around FDA matters and US duodenoscope litigation: no significant change was disclosed.</w:t>
      </w:r>
    </w:p>
    <w:p>
      <w:pPr>
        <w:numPr>
          <w:ilvl w:val="1"/>
          <w:numId w:val="1029"/>
        </w:numPr>
        <w:pStyle w:val="Compact"/>
      </w:pPr>
      <w:r>
        <w:t xml:space="preserve">JPY137bn of lease receivables (credit risk on hospital customers).</w:t>
      </w:r>
    </w:p>
    <w:p>
      <w:pPr>
        <w:pStyle w:val="CaptionedFigure"/>
      </w:pPr>
      <w:r>
        <w:drawing>
          <wp:inline>
            <wp:extent cx="6261100" cy="2514469"/>
            <wp:effectExtent b="0" l="0" r="0" t="0"/>
            <wp:docPr descr="Cash flow and shareholder returns" title="" id="83" name="Picture"/>
            <a:graphic>
              <a:graphicData uri="http://schemas.openxmlformats.org/drawingml/2006/picture">
                <pic:pic>
                  <pic:nvPicPr>
                    <pic:cNvPr descr="../charts/cashflow.png" id="84" name="Picture"/>
                    <pic:cNvPicPr>
                      <a:picLocks noChangeArrowheads="1" noChangeAspect="1"/>
                    </pic:cNvPicPr>
                  </pic:nvPicPr>
                  <pic:blipFill>
                    <a:blip r:embed="rId82"/>
                    <a:stretch>
                      <a:fillRect/>
                    </a:stretch>
                  </pic:blipFill>
                  <pic:spPr bwMode="auto">
                    <a:xfrm>
                      <a:off x="0" y="0"/>
                      <a:ext cx="6261100" cy="2514469"/>
                    </a:xfrm>
                    <a:prstGeom prst="rect">
                      <a:avLst/>
                    </a:prstGeom>
                    <a:noFill/>
                    <a:ln w="9525">
                      <a:noFill/>
                      <a:headEnd/>
                      <a:tailEnd/>
                    </a:ln>
                  </pic:spPr>
                </pic:pic>
              </a:graphicData>
            </a:graphic>
          </wp:inline>
        </w:drawing>
      </w:r>
    </w:p>
    <w:p>
      <w:pPr>
        <w:pStyle w:val="ImageCaption"/>
      </w:pPr>
      <w:r>
        <w:t xml:space="preserve">Cash flow and shareholder returns</w:t>
      </w:r>
    </w:p>
    <w:bookmarkEnd w:id="85"/>
    <w:bookmarkStart w:id="100" w:name="valuation"/>
    <w:p>
      <w:pPr>
        <w:pStyle w:val="Heading1"/>
      </w:pPr>
      <w:r>
        <w:t xml:space="preserve">Valuation</w:t>
      </w:r>
    </w:p>
    <w:bookmarkStart w:id="89" w:name="X2e015f635578ceaa952afdc288b773a58e69c40"/>
    <w:p>
      <w:pPr>
        <w:pStyle w:val="Heading2"/>
      </w:pPr>
      <w:r>
        <w:t xml:space="preserve">Peer comparison (S&amp;P Capital IQ; LTM, mostly to Jun-2026; prices at 16-Oct-2026)</w:t>
      </w:r>
    </w:p>
    <w:p>
      <w:pPr>
        <w:pStyle w:val="FirstParagraph"/>
      </w:pPr>
      <w:r>
        <w:rPr>
          <w:bCs/>
          <w:b/>
        </w:rPr>
        <w:t xml:space="preserve">(a) Valuation multiples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484"/>
        <w:gridCol w:w="840"/>
        <w:gridCol w:w="937"/>
        <w:gridCol w:w="1091"/>
        <w:gridCol w:w="1185"/>
        <w:gridCol w:w="1210"/>
        <w:gridCol w:w="994"/>
        <w:gridCol w:w="718"/>
        <w:gridCol w:w="809"/>
        <w:gridCol w:w="706"/>
      </w:tblGrid>
      <w:tr>
        <w:trPr>
          <w:tblHeader w:val="true"/>
          <w:tblHeader w:val="true"/>
          <w:cantSplit/>
        </w:trPr>
        <w:tc>
          <w:tcPr>
            <w:tcW w:type="dxa" w:w="1485"/>
            <w:shd w:val="clear" w:color="auto" w:fill="13213F"/>
          </w:tcPr>
          <w:p>
            <w:pPr>
              <w:pStyle w:val="Compact"/>
              <w:spacing w:after="0" w:before="0" w:line="240" w:lineRule="auto"/>
              <w:jc w:val="left"/>
            </w:pPr>
            <w:r>
              <w:rPr>
                <w:rFonts w:ascii="Arial" w:hAnsi="Arial"/>
                <w:b/>
                <w:color w:val="FFFFFF"/>
                <w:sz w:val="15"/>
              </w:rPr>
              <w:t xml:space="preserve">Company</w:t>
            </w:r>
          </w:p>
        </w:tc>
        <w:tc>
          <w:tcPr>
            <w:tcW w:type="dxa" w:w="841"/>
            <w:shd w:val="clear" w:color="auto" w:fill="13213F"/>
          </w:tcPr>
          <w:p>
            <w:pPr>
              <w:pStyle w:val="Compact"/>
              <w:spacing w:after="0" w:before="0" w:line="240" w:lineRule="auto"/>
              <w:jc w:val="left"/>
            </w:pPr>
            <w:r>
              <w:rPr>
                <w:rFonts w:ascii="Arial" w:hAnsi="Arial"/>
                <w:b/>
                <w:color w:val="FFFFFF"/>
                <w:sz w:val="15"/>
              </w:rPr>
              <w:t xml:space="preserve">Ticker</w:t>
            </w:r>
          </w:p>
        </w:tc>
        <w:tc>
          <w:tcPr>
            <w:tcW w:type="dxa" w:w="938"/>
            <w:shd w:val="clear" w:color="auto" w:fill="13213F"/>
          </w:tcPr>
          <w:p>
            <w:pPr>
              <w:pStyle w:val="Compact"/>
              <w:spacing w:after="0" w:before="0" w:line="240" w:lineRule="auto"/>
              <w:jc w:val="right"/>
            </w:pPr>
            <w:r>
              <w:rPr>
                <w:rFonts w:ascii="Arial" w:hAnsi="Arial"/>
                <w:b/>
                <w:color w:val="FFFFFF"/>
                <w:sz w:val="15"/>
              </w:rPr>
              <w:t xml:space="preserve">Mkt cap US$m</w:t>
            </w:r>
          </w:p>
        </w:tc>
        <w:tc>
          <w:tcPr>
            <w:tcW w:type="dxa" w:w="1092"/>
            <w:shd w:val="clear" w:color="auto" w:fill="13213F"/>
          </w:tcPr>
          <w:p>
            <w:pPr>
              <w:pStyle w:val="Compact"/>
              <w:spacing w:after="0" w:before="0" w:line="240" w:lineRule="auto"/>
              <w:jc w:val="right"/>
            </w:pPr>
            <w:r>
              <w:rPr>
                <w:rFonts w:ascii="Arial" w:hAnsi="Arial"/>
                <w:b/>
                <w:color w:val="FFFFFF"/>
                <w:sz w:val="15"/>
              </w:rPr>
              <w:t xml:space="preserve">TEV/Sales</w:t>
            </w:r>
          </w:p>
        </w:tc>
        <w:tc>
          <w:tcPr>
            <w:tcW w:type="dxa" w:w="1185"/>
            <w:shd w:val="clear" w:color="auto" w:fill="13213F"/>
          </w:tcPr>
          <w:p>
            <w:pPr>
              <w:pStyle w:val="Compact"/>
              <w:spacing w:after="0" w:before="0" w:line="240" w:lineRule="auto"/>
              <w:jc w:val="right"/>
            </w:pPr>
            <w:r>
              <w:rPr>
                <w:rFonts w:ascii="Arial" w:hAnsi="Arial"/>
                <w:b/>
                <w:color w:val="FFFFFF"/>
                <w:sz w:val="15"/>
              </w:rPr>
              <w:t xml:space="preserve">TEV/EBITDA</w:t>
            </w:r>
          </w:p>
        </w:tc>
        <w:tc>
          <w:tcPr>
            <w:tcW w:type="dxa" w:w="1211"/>
            <w:shd w:val="clear" w:color="auto" w:fill="13213F"/>
          </w:tcPr>
          <w:p>
            <w:pPr>
              <w:pStyle w:val="Compact"/>
              <w:spacing w:after="0" w:before="0" w:line="240" w:lineRule="auto"/>
              <w:jc w:val="right"/>
            </w:pPr>
            <w:r>
              <w:rPr>
                <w:rFonts w:ascii="Arial" w:hAnsi="Arial"/>
                <w:b/>
                <w:color w:val="FFFFFF"/>
                <w:sz w:val="15"/>
              </w:rPr>
              <w:t xml:space="preserve">NTM TEV/EBITDA</w:t>
            </w:r>
          </w:p>
        </w:tc>
        <w:tc>
          <w:tcPr>
            <w:tcW w:type="dxa" w:w="994"/>
            <w:shd w:val="clear" w:color="auto" w:fill="13213F"/>
          </w:tcPr>
          <w:p>
            <w:pPr>
              <w:pStyle w:val="Compact"/>
              <w:spacing w:after="0" w:before="0" w:line="240" w:lineRule="auto"/>
              <w:jc w:val="right"/>
            </w:pPr>
            <w:r>
              <w:rPr>
                <w:rFonts w:ascii="Arial" w:hAnsi="Arial"/>
                <w:b/>
                <w:color w:val="FFFFFF"/>
                <w:sz w:val="15"/>
              </w:rPr>
              <w:t xml:space="preserve">TEV/EBIT</w:t>
            </w:r>
          </w:p>
        </w:tc>
        <w:tc>
          <w:tcPr>
            <w:tcW w:type="dxa" w:w="718"/>
            <w:shd w:val="clear" w:color="auto" w:fill="13213F"/>
          </w:tcPr>
          <w:p>
            <w:pPr>
              <w:pStyle w:val="Compact"/>
              <w:spacing w:after="0" w:before="0" w:line="240" w:lineRule="auto"/>
              <w:jc w:val="right"/>
            </w:pPr>
            <w:r>
              <w:rPr>
                <w:rFonts w:ascii="Arial" w:hAnsi="Arial"/>
                <w:b/>
                <w:color w:val="FFFFFF"/>
                <w:sz w:val="15"/>
              </w:rPr>
              <w:t xml:space="preserve">P/E LTM</w:t>
            </w:r>
          </w:p>
        </w:tc>
        <w:tc>
          <w:tcPr>
            <w:tcW w:type="dxa" w:w="809"/>
            <w:shd w:val="clear" w:color="auto" w:fill="13213F"/>
          </w:tcPr>
          <w:p>
            <w:pPr>
              <w:pStyle w:val="Compact"/>
              <w:spacing w:after="0" w:before="0" w:line="240" w:lineRule="auto"/>
              <w:jc w:val="right"/>
            </w:pPr>
            <w:r>
              <w:rPr>
                <w:rFonts w:ascii="Arial" w:hAnsi="Arial"/>
                <w:b/>
                <w:color w:val="FFFFFF"/>
                <w:sz w:val="15"/>
              </w:rPr>
              <w:t xml:space="preserve">P/E fwd</w:t>
            </w:r>
          </w:p>
        </w:tc>
        <w:tc>
          <w:tcPr>
            <w:tcW w:type="dxa" w:w="706"/>
            <w:shd w:val="clear" w:color="auto" w:fill="13213F"/>
          </w:tcPr>
          <w:p>
            <w:pPr>
              <w:pStyle w:val="Compact"/>
              <w:spacing w:after="0" w:before="0" w:line="240" w:lineRule="auto"/>
              <w:jc w:val="right"/>
            </w:pPr>
            <w:r>
              <w:rPr>
                <w:rFonts w:ascii="Arial" w:hAnsi="Arial"/>
                <w:b/>
                <w:color w:val="FFFFFF"/>
                <w:sz w:val="15"/>
              </w:rPr>
              <w:t xml:space="preserve">P/B</w:t>
            </w:r>
          </w:p>
        </w:tc>
      </w:tr>
      <w:tr>
        <w:trPr>
          <w:cantSplit/>
        </w:trPr>
        <w:tc>
          <w:tcPr>
            <w:tcW w:type="dxa" w:w="1485"/>
          </w:tcPr>
          <w:p>
            <w:pPr>
              <w:pStyle w:val="Compact"/>
              <w:spacing w:after="0" w:before="0" w:line="240" w:lineRule="auto"/>
              <w:jc w:val="left"/>
            </w:pPr>
            <w:r>
              <w:rPr>
                <w:bCs/>
                <w:rFonts w:ascii="Arial" w:hAnsi="Arial"/>
                <w:b/>
                <w:sz w:val="15"/>
              </w:rPr>
              <w:t xml:space="preserve">Olympus</w:t>
            </w:r>
          </w:p>
        </w:tc>
        <w:tc>
          <w:tcPr>
            <w:tcW w:type="dxa" w:w="841"/>
          </w:tcPr>
          <w:p>
            <w:pPr>
              <w:pStyle w:val="Compact"/>
              <w:spacing w:after="0" w:before="0" w:line="240" w:lineRule="auto"/>
              <w:jc w:val="left"/>
            </w:pPr>
            <w:r>
              <w:rPr>
                <w:bCs/>
                <w:rFonts w:ascii="Arial" w:hAnsi="Arial"/>
                <w:b/>
                <w:sz w:val="15"/>
              </w:rPr>
              <w:t xml:space="preserve">7733 JP</w:t>
            </w:r>
          </w:p>
        </w:tc>
        <w:tc>
          <w:tcPr>
            <w:tcW w:type="dxa" w:w="938"/>
          </w:tcPr>
          <w:p>
            <w:pPr>
              <w:pStyle w:val="Compact"/>
              <w:spacing w:after="0" w:before="0" w:line="240" w:lineRule="auto"/>
              <w:jc w:val="right"/>
            </w:pPr>
            <w:r>
              <w:rPr>
                <w:bCs/>
                <w:rFonts w:ascii="Arial" w:hAnsi="Arial"/>
                <w:b/>
                <w:sz w:val="15"/>
              </w:rPr>
              <w:t xml:space="preserve">11,368</w:t>
            </w:r>
          </w:p>
        </w:tc>
        <w:tc>
          <w:tcPr>
            <w:tcW w:type="dxa" w:w="1092"/>
          </w:tcPr>
          <w:p>
            <w:pPr>
              <w:pStyle w:val="Compact"/>
              <w:spacing w:after="0" w:before="0" w:line="240" w:lineRule="auto"/>
              <w:jc w:val="right"/>
            </w:pPr>
            <w:r>
              <w:rPr>
                <w:bCs/>
                <w:rFonts w:ascii="Arial" w:hAnsi="Arial"/>
                <w:b/>
                <w:sz w:val="15"/>
              </w:rPr>
              <w:t xml:space="preserve">1.91x</w:t>
            </w:r>
          </w:p>
        </w:tc>
        <w:tc>
          <w:tcPr>
            <w:tcW w:type="dxa" w:w="1185"/>
          </w:tcPr>
          <w:p>
            <w:pPr>
              <w:pStyle w:val="Compact"/>
              <w:spacing w:after="0" w:before="0" w:line="240" w:lineRule="auto"/>
              <w:jc w:val="right"/>
            </w:pPr>
            <w:r>
              <w:rPr>
                <w:bCs/>
                <w:rFonts w:ascii="Arial" w:hAnsi="Arial"/>
                <w:b/>
                <w:sz w:val="15"/>
              </w:rPr>
              <w:t xml:space="preserve">9.4x</w:t>
            </w:r>
          </w:p>
        </w:tc>
        <w:tc>
          <w:tcPr>
            <w:tcW w:type="dxa" w:w="1211"/>
          </w:tcPr>
          <w:p>
            <w:pPr>
              <w:pStyle w:val="Compact"/>
              <w:spacing w:after="0" w:before="0" w:line="240" w:lineRule="auto"/>
              <w:jc w:val="right"/>
            </w:pPr>
            <w:r>
              <w:rPr>
                <w:bCs/>
                <w:rFonts w:ascii="Arial" w:hAnsi="Arial"/>
                <w:b/>
                <w:sz w:val="15"/>
              </w:rPr>
              <w:t xml:space="preserve">8.9x</w:t>
            </w:r>
          </w:p>
        </w:tc>
        <w:tc>
          <w:tcPr>
            <w:tcW w:type="dxa" w:w="994"/>
          </w:tcPr>
          <w:p>
            <w:pPr>
              <w:pStyle w:val="Compact"/>
              <w:spacing w:after="0" w:before="0" w:line="240" w:lineRule="auto"/>
              <w:jc w:val="right"/>
            </w:pPr>
            <w:r>
              <w:rPr>
                <w:bCs/>
                <w:rFonts w:ascii="Arial" w:hAnsi="Arial"/>
                <w:b/>
                <w:sz w:val="15"/>
              </w:rPr>
              <w:t xml:space="preserve">13.7x</w:t>
            </w:r>
          </w:p>
        </w:tc>
        <w:tc>
          <w:tcPr>
            <w:tcW w:type="dxa" w:w="718"/>
          </w:tcPr>
          <w:p>
            <w:pPr>
              <w:pStyle w:val="Compact"/>
              <w:spacing w:after="0" w:before="0" w:line="240" w:lineRule="auto"/>
              <w:jc w:val="right"/>
            </w:pPr>
            <w:r>
              <w:rPr>
                <w:bCs/>
                <w:rFonts w:ascii="Arial" w:hAnsi="Arial"/>
                <w:b/>
                <w:sz w:val="15"/>
              </w:rPr>
              <w:t xml:space="preserve">23.8x</w:t>
            </w:r>
          </w:p>
        </w:tc>
        <w:tc>
          <w:tcPr>
            <w:tcW w:type="dxa" w:w="809"/>
          </w:tcPr>
          <w:p>
            <w:pPr>
              <w:pStyle w:val="Compact"/>
              <w:spacing w:after="0" w:before="0" w:line="240" w:lineRule="auto"/>
              <w:jc w:val="right"/>
            </w:pPr>
            <w:r>
              <w:rPr>
                <w:bCs/>
                <w:rFonts w:ascii="Arial" w:hAnsi="Arial"/>
                <w:b/>
                <w:sz w:val="15"/>
              </w:rPr>
              <w:t xml:space="preserve">15.7x</w:t>
            </w:r>
          </w:p>
        </w:tc>
        <w:tc>
          <w:tcPr>
            <w:tcW w:type="dxa" w:w="706"/>
          </w:tcPr>
          <w:p>
            <w:pPr>
              <w:pStyle w:val="Compact"/>
              <w:spacing w:after="0" w:before="0" w:line="240" w:lineRule="auto"/>
              <w:jc w:val="right"/>
            </w:pPr>
            <w:r>
              <w:rPr>
                <w:bCs/>
                <w:rFonts w:ascii="Arial" w:hAnsi="Arial"/>
                <w:b/>
                <w:sz w:val="15"/>
              </w:rPr>
              <w:t xml:space="preserve">2.40x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FUJIFILM</w:t>
            </w:r>
          </w:p>
        </w:tc>
        <w:tc>
          <w:tcPr>
            <w:tcW w:type="dxa" w:w="841"/>
            <w:shd w:val="clear" w:color="auto" w:fill="F1F2F5"/>
          </w:tcPr>
          <w:p>
            <w:pPr>
              <w:pStyle w:val="Compact"/>
              <w:spacing w:after="0" w:before="0" w:line="240" w:lineRule="auto"/>
              <w:jc w:val="left"/>
            </w:pPr>
            <w:r>
              <w:rPr>
                <w:rFonts w:ascii="Arial" w:hAnsi="Arial"/>
                <w:sz w:val="15"/>
              </w:rPr>
              <w:t xml:space="preserve">4901 JP</w:t>
            </w:r>
          </w:p>
        </w:tc>
        <w:tc>
          <w:tcPr>
            <w:tcW w:type="dxa" w:w="938"/>
            <w:shd w:val="clear" w:color="auto" w:fill="F1F2F5"/>
          </w:tcPr>
          <w:p>
            <w:pPr>
              <w:pStyle w:val="Compact"/>
              <w:spacing w:after="0" w:before="0" w:line="240" w:lineRule="auto"/>
              <w:jc w:val="right"/>
            </w:pPr>
            <w:r>
              <w:rPr>
                <w:rFonts w:ascii="Arial" w:hAnsi="Arial"/>
                <w:sz w:val="15"/>
              </w:rPr>
              <w:t xml:space="preserve">25,971</w:t>
            </w:r>
          </w:p>
        </w:tc>
        <w:tc>
          <w:tcPr>
            <w:tcW w:type="dxa" w:w="1092"/>
            <w:shd w:val="clear" w:color="auto" w:fill="F1F2F5"/>
          </w:tcPr>
          <w:p>
            <w:pPr>
              <w:pStyle w:val="Compact"/>
              <w:spacing w:after="0" w:before="0" w:line="240" w:lineRule="auto"/>
              <w:jc w:val="right"/>
            </w:pPr>
            <w:r>
              <w:rPr>
                <w:rFonts w:ascii="Arial" w:hAnsi="Arial"/>
                <w:sz w:val="15"/>
              </w:rPr>
              <w:t xml:space="preserve">1.48x</w:t>
            </w:r>
          </w:p>
        </w:tc>
        <w:tc>
          <w:tcPr>
            <w:tcW w:type="dxa" w:w="1185"/>
            <w:shd w:val="clear" w:color="auto" w:fill="F1F2F5"/>
          </w:tcPr>
          <w:p>
            <w:pPr>
              <w:pStyle w:val="Compact"/>
              <w:spacing w:after="0" w:before="0" w:line="240" w:lineRule="auto"/>
              <w:jc w:val="right"/>
            </w:pPr>
            <w:r>
              <w:rPr>
                <w:rFonts w:ascii="Arial" w:hAnsi="Arial"/>
                <w:sz w:val="15"/>
              </w:rPr>
              <w:t xml:space="preserve">10.0x</w:t>
            </w:r>
          </w:p>
        </w:tc>
        <w:tc>
          <w:tcPr>
            <w:tcW w:type="dxa" w:w="1211"/>
            <w:shd w:val="clear" w:color="auto" w:fill="F1F2F5"/>
          </w:tcPr>
          <w:p>
            <w:pPr>
              <w:pStyle w:val="Compact"/>
              <w:spacing w:after="0" w:before="0" w:line="240" w:lineRule="auto"/>
              <w:jc w:val="right"/>
            </w:pPr>
            <w:r>
              <w:rPr>
                <w:rFonts w:ascii="Arial" w:hAnsi="Arial"/>
                <w:sz w:val="15"/>
              </w:rPr>
              <w:t xml:space="preserve">8.6x</w:t>
            </w:r>
          </w:p>
        </w:tc>
        <w:tc>
          <w:tcPr>
            <w:tcW w:type="dxa" w:w="994"/>
            <w:shd w:val="clear" w:color="auto" w:fill="F1F2F5"/>
          </w:tcPr>
          <w:p>
            <w:pPr>
              <w:pStyle w:val="Compact"/>
              <w:spacing w:after="0" w:before="0" w:line="240" w:lineRule="auto"/>
              <w:jc w:val="right"/>
            </w:pPr>
            <w:r>
              <w:rPr>
                <w:rFonts w:ascii="Arial" w:hAnsi="Arial"/>
                <w:sz w:val="15"/>
              </w:rPr>
              <w:t xml:space="preserve">15.6x</w:t>
            </w:r>
          </w:p>
        </w:tc>
        <w:tc>
          <w:tcPr>
            <w:tcW w:type="dxa" w:w="718"/>
            <w:shd w:val="clear" w:color="auto" w:fill="F1F2F5"/>
          </w:tcPr>
          <w:p>
            <w:pPr>
              <w:pStyle w:val="Compact"/>
              <w:spacing w:after="0" w:before="0" w:line="240" w:lineRule="auto"/>
              <w:jc w:val="right"/>
            </w:pPr>
            <w:r>
              <w:rPr>
                <w:rFonts w:ascii="Arial" w:hAnsi="Arial"/>
                <w:sz w:val="15"/>
              </w:rPr>
              <w:t xml:space="preserve">15.9x</w:t>
            </w:r>
          </w:p>
        </w:tc>
        <w:tc>
          <w:tcPr>
            <w:tcW w:type="dxa" w:w="809"/>
            <w:shd w:val="clear" w:color="auto" w:fill="F1F2F5"/>
          </w:tcPr>
          <w:p>
            <w:pPr>
              <w:pStyle w:val="Compact"/>
              <w:spacing w:after="0" w:before="0" w:line="240" w:lineRule="auto"/>
              <w:jc w:val="right"/>
            </w:pPr>
            <w:r>
              <w:rPr>
                <w:rFonts w:ascii="Arial" w:hAnsi="Arial"/>
                <w:sz w:val="15"/>
              </w:rPr>
              <w:t xml:space="preserve">13.5x</w:t>
            </w:r>
          </w:p>
        </w:tc>
        <w:tc>
          <w:tcPr>
            <w:tcW w:type="dxa" w:w="706"/>
            <w:shd w:val="clear" w:color="auto" w:fill="F1F2F5"/>
          </w:tcPr>
          <w:p>
            <w:pPr>
              <w:pStyle w:val="Compact"/>
              <w:spacing w:after="0" w:before="0" w:line="240" w:lineRule="auto"/>
              <w:jc w:val="right"/>
            </w:pPr>
            <w:r>
              <w:rPr>
                <w:rFonts w:ascii="Arial" w:hAnsi="Arial"/>
                <w:sz w:val="15"/>
              </w:rPr>
              <w:t xml:space="preserve">1.05x</w:t>
            </w:r>
          </w:p>
        </w:tc>
      </w:tr>
      <w:tr>
        <w:trPr>
          <w:cantSplit/>
        </w:trPr>
        <w:tc>
          <w:tcPr>
            <w:tcW w:type="dxa" w:w="1485"/>
          </w:tcPr>
          <w:p>
            <w:pPr>
              <w:pStyle w:val="Compact"/>
              <w:spacing w:after="0" w:before="0" w:line="240" w:lineRule="auto"/>
              <w:jc w:val="left"/>
            </w:pPr>
            <w:r>
              <w:rPr>
                <w:rFonts w:ascii="Arial" w:hAnsi="Arial"/>
                <w:sz w:val="15"/>
              </w:rPr>
              <w:t xml:space="preserve">HOYA</w:t>
            </w:r>
          </w:p>
        </w:tc>
        <w:tc>
          <w:tcPr>
            <w:tcW w:type="dxa" w:w="841"/>
          </w:tcPr>
          <w:p>
            <w:pPr>
              <w:pStyle w:val="Compact"/>
              <w:spacing w:after="0" w:before="0" w:line="240" w:lineRule="auto"/>
              <w:jc w:val="left"/>
            </w:pPr>
            <w:r>
              <w:rPr>
                <w:rFonts w:ascii="Arial" w:hAnsi="Arial"/>
                <w:sz w:val="15"/>
              </w:rPr>
              <w:t xml:space="preserve">7741 JP</w:t>
            </w:r>
          </w:p>
        </w:tc>
        <w:tc>
          <w:tcPr>
            <w:tcW w:type="dxa" w:w="938"/>
          </w:tcPr>
          <w:p>
            <w:pPr>
              <w:pStyle w:val="Compact"/>
              <w:spacing w:after="0" w:before="0" w:line="240" w:lineRule="auto"/>
              <w:jc w:val="right"/>
            </w:pPr>
            <w:r>
              <w:rPr>
                <w:rFonts w:ascii="Arial" w:hAnsi="Arial"/>
                <w:sz w:val="15"/>
              </w:rPr>
              <w:t xml:space="preserve">54,306</w:t>
            </w:r>
          </w:p>
        </w:tc>
        <w:tc>
          <w:tcPr>
            <w:tcW w:type="dxa" w:w="1092"/>
          </w:tcPr>
          <w:p>
            <w:pPr>
              <w:pStyle w:val="Compact"/>
              <w:spacing w:after="0" w:before="0" w:line="240" w:lineRule="auto"/>
              <w:jc w:val="right"/>
            </w:pPr>
            <w:r>
              <w:rPr>
                <w:rFonts w:ascii="Arial" w:hAnsi="Arial"/>
                <w:sz w:val="15"/>
              </w:rPr>
              <w:t xml:space="preserve">8.22x</w:t>
            </w:r>
          </w:p>
        </w:tc>
        <w:tc>
          <w:tcPr>
            <w:tcW w:type="dxa" w:w="1185"/>
          </w:tcPr>
          <w:p>
            <w:pPr>
              <w:pStyle w:val="Compact"/>
              <w:spacing w:after="0" w:before="0" w:line="240" w:lineRule="auto"/>
              <w:jc w:val="right"/>
            </w:pPr>
            <w:r>
              <w:rPr>
                <w:rFonts w:ascii="Arial" w:hAnsi="Arial"/>
                <w:sz w:val="15"/>
              </w:rPr>
              <w:t xml:space="preserve">20.9x</w:t>
            </w:r>
          </w:p>
        </w:tc>
        <w:tc>
          <w:tcPr>
            <w:tcW w:type="dxa" w:w="1211"/>
          </w:tcPr>
          <w:p>
            <w:pPr>
              <w:pStyle w:val="Compact"/>
              <w:spacing w:after="0" w:before="0" w:line="240" w:lineRule="auto"/>
              <w:jc w:val="right"/>
            </w:pPr>
            <w:r>
              <w:rPr>
                <w:rFonts w:ascii="Arial" w:hAnsi="Arial"/>
                <w:sz w:val="15"/>
              </w:rPr>
              <w:t xml:space="preserve">18.9x</w:t>
            </w:r>
          </w:p>
        </w:tc>
        <w:tc>
          <w:tcPr>
            <w:tcW w:type="dxa" w:w="994"/>
          </w:tcPr>
          <w:p>
            <w:pPr>
              <w:pStyle w:val="Compact"/>
              <w:spacing w:after="0" w:before="0" w:line="240" w:lineRule="auto"/>
              <w:jc w:val="right"/>
            </w:pPr>
            <w:r>
              <w:rPr>
                <w:rFonts w:ascii="Arial" w:hAnsi="Arial"/>
                <w:sz w:val="15"/>
              </w:rPr>
              <w:t xml:space="preserve">24.9x</w:t>
            </w:r>
          </w:p>
        </w:tc>
        <w:tc>
          <w:tcPr>
            <w:tcW w:type="dxa" w:w="718"/>
          </w:tcPr>
          <w:p>
            <w:pPr>
              <w:pStyle w:val="Compact"/>
              <w:spacing w:after="0" w:before="0" w:line="240" w:lineRule="auto"/>
              <w:jc w:val="right"/>
            </w:pPr>
            <w:r>
              <w:rPr>
                <w:rFonts w:ascii="Arial" w:hAnsi="Arial"/>
                <w:sz w:val="15"/>
              </w:rPr>
              <w:t xml:space="preserve">32.5x</w:t>
            </w:r>
          </w:p>
        </w:tc>
        <w:tc>
          <w:tcPr>
            <w:tcW w:type="dxa" w:w="809"/>
          </w:tcPr>
          <w:p>
            <w:pPr>
              <w:pStyle w:val="Compact"/>
              <w:spacing w:after="0" w:before="0" w:line="240" w:lineRule="auto"/>
              <w:jc w:val="right"/>
            </w:pPr>
            <w:r>
              <w:rPr>
                <w:rFonts w:ascii="Arial" w:hAnsi="Arial"/>
                <w:sz w:val="15"/>
              </w:rPr>
              <w:t xml:space="preserve">29.3x</w:t>
            </w:r>
          </w:p>
        </w:tc>
        <w:tc>
          <w:tcPr>
            <w:tcW w:type="dxa" w:w="706"/>
          </w:tcPr>
          <w:p>
            <w:pPr>
              <w:pStyle w:val="Compact"/>
              <w:spacing w:after="0" w:before="0" w:line="240" w:lineRule="auto"/>
              <w:jc w:val="right"/>
            </w:pPr>
            <w:r>
              <w:rPr>
                <w:rFonts w:ascii="Arial" w:hAnsi="Arial"/>
                <w:sz w:val="15"/>
              </w:rPr>
              <w:t xml:space="preserve">8.45x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Terumo</w:t>
            </w:r>
          </w:p>
        </w:tc>
        <w:tc>
          <w:tcPr>
            <w:tcW w:type="dxa" w:w="841"/>
            <w:shd w:val="clear" w:color="auto" w:fill="F1F2F5"/>
          </w:tcPr>
          <w:p>
            <w:pPr>
              <w:pStyle w:val="Compact"/>
              <w:spacing w:after="0" w:before="0" w:line="240" w:lineRule="auto"/>
              <w:jc w:val="left"/>
            </w:pPr>
            <w:r>
              <w:rPr>
                <w:rFonts w:ascii="Arial" w:hAnsi="Arial"/>
                <w:sz w:val="15"/>
              </w:rPr>
              <w:t xml:space="preserve">4543 JP</w:t>
            </w:r>
          </w:p>
        </w:tc>
        <w:tc>
          <w:tcPr>
            <w:tcW w:type="dxa" w:w="938"/>
            <w:shd w:val="clear" w:color="auto" w:fill="F1F2F5"/>
          </w:tcPr>
          <w:p>
            <w:pPr>
              <w:pStyle w:val="Compact"/>
              <w:spacing w:after="0" w:before="0" w:line="240" w:lineRule="auto"/>
              <w:jc w:val="right"/>
            </w:pPr>
            <w:r>
              <w:rPr>
                <w:rFonts w:ascii="Arial" w:hAnsi="Arial"/>
                <w:sz w:val="15"/>
              </w:rPr>
              <w:t xml:space="preserve">21,819</w:t>
            </w:r>
          </w:p>
        </w:tc>
        <w:tc>
          <w:tcPr>
            <w:tcW w:type="dxa" w:w="1092"/>
            <w:shd w:val="clear" w:color="auto" w:fill="F1F2F5"/>
          </w:tcPr>
          <w:p>
            <w:pPr>
              <w:pStyle w:val="Compact"/>
              <w:spacing w:after="0" w:before="0" w:line="240" w:lineRule="auto"/>
              <w:jc w:val="right"/>
            </w:pPr>
            <w:r>
              <w:rPr>
                <w:rFonts w:ascii="Arial" w:hAnsi="Arial"/>
                <w:sz w:val="15"/>
              </w:rPr>
              <w:t xml:space="preserve">3.02x</w:t>
            </w:r>
          </w:p>
        </w:tc>
        <w:tc>
          <w:tcPr>
            <w:tcW w:type="dxa" w:w="1185"/>
            <w:shd w:val="clear" w:color="auto" w:fill="F1F2F5"/>
          </w:tcPr>
          <w:p>
            <w:pPr>
              <w:pStyle w:val="Compact"/>
              <w:spacing w:after="0" w:before="0" w:line="240" w:lineRule="auto"/>
              <w:jc w:val="right"/>
            </w:pPr>
            <w:r>
              <w:rPr>
                <w:rFonts w:ascii="Arial" w:hAnsi="Arial"/>
                <w:sz w:val="15"/>
              </w:rPr>
              <w:t xml:space="preserve">11.4x</w:t>
            </w:r>
          </w:p>
        </w:tc>
        <w:tc>
          <w:tcPr>
            <w:tcW w:type="dxa" w:w="1211"/>
            <w:shd w:val="clear" w:color="auto" w:fill="F1F2F5"/>
          </w:tcPr>
          <w:p>
            <w:pPr>
              <w:pStyle w:val="Compact"/>
              <w:spacing w:after="0" w:before="0" w:line="240" w:lineRule="auto"/>
              <w:jc w:val="right"/>
            </w:pPr>
            <w:r>
              <w:rPr>
                <w:rFonts w:ascii="Arial" w:hAnsi="Arial"/>
                <w:sz w:val="15"/>
              </w:rPr>
              <w:t xml:space="preserve">11.0x</w:t>
            </w:r>
          </w:p>
        </w:tc>
        <w:tc>
          <w:tcPr>
            <w:tcW w:type="dxa" w:w="994"/>
            <w:shd w:val="clear" w:color="auto" w:fill="F1F2F5"/>
          </w:tcPr>
          <w:p>
            <w:pPr>
              <w:pStyle w:val="Compact"/>
              <w:spacing w:after="0" w:before="0" w:line="240" w:lineRule="auto"/>
              <w:jc w:val="right"/>
            </w:pPr>
            <w:r>
              <w:rPr>
                <w:rFonts w:ascii="Arial" w:hAnsi="Arial"/>
                <w:sz w:val="15"/>
              </w:rPr>
              <w:t xml:space="preserve">15.5x</w:t>
            </w:r>
          </w:p>
        </w:tc>
        <w:tc>
          <w:tcPr>
            <w:tcW w:type="dxa" w:w="718"/>
            <w:shd w:val="clear" w:color="auto" w:fill="F1F2F5"/>
          </w:tcPr>
          <w:p>
            <w:pPr>
              <w:pStyle w:val="Compact"/>
              <w:spacing w:after="0" w:before="0" w:line="240" w:lineRule="auto"/>
              <w:jc w:val="right"/>
            </w:pPr>
            <w:r>
              <w:rPr>
                <w:rFonts w:ascii="Arial" w:hAnsi="Arial"/>
                <w:sz w:val="15"/>
              </w:rPr>
              <w:t xml:space="preserve">21.0x</w:t>
            </w:r>
          </w:p>
        </w:tc>
        <w:tc>
          <w:tcPr>
            <w:tcW w:type="dxa" w:w="809"/>
            <w:shd w:val="clear" w:color="auto" w:fill="F1F2F5"/>
          </w:tcPr>
          <w:p>
            <w:pPr>
              <w:pStyle w:val="Compact"/>
              <w:spacing w:after="0" w:before="0" w:line="240" w:lineRule="auto"/>
              <w:jc w:val="right"/>
            </w:pPr>
            <w:r>
              <w:rPr>
                <w:rFonts w:ascii="Arial" w:hAnsi="Arial"/>
                <w:sz w:val="15"/>
              </w:rPr>
              <w:t xml:space="preserve">21.7x</w:t>
            </w:r>
          </w:p>
        </w:tc>
        <w:tc>
          <w:tcPr>
            <w:tcW w:type="dxa" w:w="706"/>
            <w:shd w:val="clear" w:color="auto" w:fill="F1F2F5"/>
          </w:tcPr>
          <w:p>
            <w:pPr>
              <w:pStyle w:val="Compact"/>
              <w:spacing w:after="0" w:before="0" w:line="240" w:lineRule="auto"/>
              <w:jc w:val="right"/>
            </w:pPr>
            <w:r>
              <w:rPr>
                <w:rFonts w:ascii="Arial" w:hAnsi="Arial"/>
                <w:sz w:val="15"/>
              </w:rPr>
              <w:t xml:space="preserve">2.07x</w:t>
            </w:r>
          </w:p>
        </w:tc>
      </w:tr>
      <w:tr>
        <w:trPr>
          <w:cantSplit/>
        </w:trPr>
        <w:tc>
          <w:tcPr>
            <w:tcW w:type="dxa" w:w="1485"/>
          </w:tcPr>
          <w:p>
            <w:pPr>
              <w:pStyle w:val="Compact"/>
              <w:spacing w:after="0" w:before="0" w:line="240" w:lineRule="auto"/>
              <w:jc w:val="left"/>
            </w:pPr>
            <w:r>
              <w:rPr>
                <w:rFonts w:ascii="Arial" w:hAnsi="Arial"/>
                <w:sz w:val="15"/>
              </w:rPr>
              <w:t xml:space="preserve">Sysmex</w:t>
            </w:r>
          </w:p>
        </w:tc>
        <w:tc>
          <w:tcPr>
            <w:tcW w:type="dxa" w:w="841"/>
          </w:tcPr>
          <w:p>
            <w:pPr>
              <w:pStyle w:val="Compact"/>
              <w:spacing w:after="0" w:before="0" w:line="240" w:lineRule="auto"/>
              <w:jc w:val="left"/>
            </w:pPr>
            <w:r>
              <w:rPr>
                <w:rFonts w:ascii="Arial" w:hAnsi="Arial"/>
                <w:sz w:val="15"/>
              </w:rPr>
              <w:t xml:space="preserve">6869 JP</w:t>
            </w:r>
          </w:p>
        </w:tc>
        <w:tc>
          <w:tcPr>
            <w:tcW w:type="dxa" w:w="938"/>
          </w:tcPr>
          <w:p>
            <w:pPr>
              <w:pStyle w:val="Compact"/>
              <w:spacing w:after="0" w:before="0" w:line="240" w:lineRule="auto"/>
              <w:jc w:val="right"/>
            </w:pPr>
            <w:r>
              <w:rPr>
                <w:rFonts w:ascii="Arial" w:hAnsi="Arial"/>
                <w:sz w:val="15"/>
              </w:rPr>
              <w:t xml:space="preserve">7,098</w:t>
            </w:r>
          </w:p>
        </w:tc>
        <w:tc>
          <w:tcPr>
            <w:tcW w:type="dxa" w:w="1092"/>
          </w:tcPr>
          <w:p>
            <w:pPr>
              <w:pStyle w:val="Compact"/>
              <w:spacing w:after="0" w:before="0" w:line="240" w:lineRule="auto"/>
              <w:jc w:val="right"/>
            </w:pPr>
            <w:r>
              <w:rPr>
                <w:rFonts w:ascii="Arial" w:hAnsi="Arial"/>
                <w:sz w:val="15"/>
              </w:rPr>
              <w:t xml:space="preserve">2.16x</w:t>
            </w:r>
          </w:p>
        </w:tc>
        <w:tc>
          <w:tcPr>
            <w:tcW w:type="dxa" w:w="1185"/>
          </w:tcPr>
          <w:p>
            <w:pPr>
              <w:pStyle w:val="Compact"/>
              <w:spacing w:after="0" w:before="0" w:line="240" w:lineRule="auto"/>
              <w:jc w:val="right"/>
            </w:pPr>
            <w:r>
              <w:rPr>
                <w:rFonts w:ascii="Arial" w:hAnsi="Arial"/>
                <w:sz w:val="15"/>
              </w:rPr>
              <w:t xml:space="preserve">9.9x</w:t>
            </w:r>
          </w:p>
        </w:tc>
        <w:tc>
          <w:tcPr>
            <w:tcW w:type="dxa" w:w="1211"/>
          </w:tcPr>
          <w:p>
            <w:pPr>
              <w:pStyle w:val="Compact"/>
              <w:spacing w:after="0" w:before="0" w:line="240" w:lineRule="auto"/>
              <w:jc w:val="right"/>
            </w:pPr>
            <w:r>
              <w:rPr>
                <w:rFonts w:ascii="Arial" w:hAnsi="Arial"/>
                <w:sz w:val="15"/>
              </w:rPr>
              <w:t xml:space="preserve">10.0x</w:t>
            </w:r>
          </w:p>
        </w:tc>
        <w:tc>
          <w:tcPr>
            <w:tcW w:type="dxa" w:w="994"/>
          </w:tcPr>
          <w:p>
            <w:pPr>
              <w:pStyle w:val="Compact"/>
              <w:spacing w:after="0" w:before="0" w:line="240" w:lineRule="auto"/>
              <w:jc w:val="right"/>
            </w:pPr>
            <w:r>
              <w:rPr>
                <w:rFonts w:ascii="Arial" w:hAnsi="Arial"/>
                <w:sz w:val="15"/>
              </w:rPr>
              <w:t xml:space="preserve">17.1x</w:t>
            </w:r>
          </w:p>
        </w:tc>
        <w:tc>
          <w:tcPr>
            <w:tcW w:type="dxa" w:w="718"/>
          </w:tcPr>
          <w:p>
            <w:pPr>
              <w:pStyle w:val="Compact"/>
              <w:spacing w:after="0" w:before="0" w:line="240" w:lineRule="auto"/>
              <w:jc w:val="right"/>
            </w:pPr>
            <w:r>
              <w:rPr>
                <w:rFonts w:ascii="Arial" w:hAnsi="Arial"/>
                <w:sz w:val="15"/>
              </w:rPr>
              <w:t xml:space="preserve">29.1x</w:t>
            </w:r>
          </w:p>
        </w:tc>
        <w:tc>
          <w:tcPr>
            <w:tcW w:type="dxa" w:w="809"/>
          </w:tcPr>
          <w:p>
            <w:pPr>
              <w:pStyle w:val="Compact"/>
              <w:spacing w:after="0" w:before="0" w:line="240" w:lineRule="auto"/>
              <w:jc w:val="right"/>
            </w:pPr>
            <w:r>
              <w:rPr>
                <w:rFonts w:ascii="Arial" w:hAnsi="Arial"/>
                <w:sz w:val="15"/>
              </w:rPr>
              <w:t xml:space="preserve">24.8x</w:t>
            </w:r>
          </w:p>
        </w:tc>
        <w:tc>
          <w:tcPr>
            <w:tcW w:type="dxa" w:w="706"/>
          </w:tcPr>
          <w:p>
            <w:pPr>
              <w:pStyle w:val="Compact"/>
              <w:spacing w:after="0" w:before="0" w:line="240" w:lineRule="auto"/>
              <w:jc w:val="right"/>
            </w:pPr>
            <w:r>
              <w:rPr>
                <w:rFonts w:ascii="Arial" w:hAnsi="Arial"/>
                <w:sz w:val="15"/>
              </w:rPr>
              <w:t xml:space="preserve">2.31x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Asahi Intecc</w:t>
            </w:r>
          </w:p>
        </w:tc>
        <w:tc>
          <w:tcPr>
            <w:tcW w:type="dxa" w:w="841"/>
            <w:shd w:val="clear" w:color="auto" w:fill="F1F2F5"/>
          </w:tcPr>
          <w:p>
            <w:pPr>
              <w:pStyle w:val="Compact"/>
              <w:spacing w:after="0" w:before="0" w:line="240" w:lineRule="auto"/>
              <w:jc w:val="left"/>
            </w:pPr>
            <w:r>
              <w:rPr>
                <w:rFonts w:ascii="Arial" w:hAnsi="Arial"/>
                <w:sz w:val="15"/>
              </w:rPr>
              <w:t xml:space="preserve">7747 JP</w:t>
            </w:r>
          </w:p>
        </w:tc>
        <w:tc>
          <w:tcPr>
            <w:tcW w:type="dxa" w:w="938"/>
            <w:shd w:val="clear" w:color="auto" w:fill="F1F2F5"/>
          </w:tcPr>
          <w:p>
            <w:pPr>
              <w:pStyle w:val="Compact"/>
              <w:spacing w:after="0" w:before="0" w:line="240" w:lineRule="auto"/>
              <w:jc w:val="right"/>
            </w:pPr>
            <w:r>
              <w:rPr>
                <w:rFonts w:ascii="Arial" w:hAnsi="Arial"/>
                <w:sz w:val="15"/>
              </w:rPr>
              <w:t xml:space="preserve">5,872</w:t>
            </w:r>
          </w:p>
        </w:tc>
        <w:tc>
          <w:tcPr>
            <w:tcW w:type="dxa" w:w="1092"/>
            <w:shd w:val="clear" w:color="auto" w:fill="F1F2F5"/>
          </w:tcPr>
          <w:p>
            <w:pPr>
              <w:pStyle w:val="Compact"/>
              <w:spacing w:after="0" w:before="0" w:line="240" w:lineRule="auto"/>
              <w:jc w:val="right"/>
            </w:pPr>
            <w:r>
              <w:rPr>
                <w:rFonts w:ascii="Arial" w:hAnsi="Arial"/>
                <w:sz w:val="15"/>
              </w:rPr>
              <w:t xml:space="preserve">5.99x</w:t>
            </w:r>
          </w:p>
        </w:tc>
        <w:tc>
          <w:tcPr>
            <w:tcW w:type="dxa" w:w="1185"/>
            <w:shd w:val="clear" w:color="auto" w:fill="F1F2F5"/>
          </w:tcPr>
          <w:p>
            <w:pPr>
              <w:pStyle w:val="Compact"/>
              <w:spacing w:after="0" w:before="0" w:line="240" w:lineRule="auto"/>
              <w:jc w:val="right"/>
            </w:pPr>
            <w:r>
              <w:rPr>
                <w:rFonts w:ascii="Arial" w:hAnsi="Arial"/>
                <w:sz w:val="15"/>
              </w:rPr>
              <w:t xml:space="preserve">16.1x</w:t>
            </w:r>
          </w:p>
        </w:tc>
        <w:tc>
          <w:tcPr>
            <w:tcW w:type="dxa" w:w="1211"/>
            <w:shd w:val="clear" w:color="auto" w:fill="F1F2F5"/>
          </w:tcPr>
          <w:p>
            <w:pPr>
              <w:pStyle w:val="Compact"/>
              <w:spacing w:after="0" w:before="0" w:line="240" w:lineRule="auto"/>
              <w:jc w:val="right"/>
            </w:pPr>
            <w:r>
              <w:rPr>
                <w:rFonts w:ascii="Arial" w:hAnsi="Arial"/>
                <w:sz w:val="15"/>
              </w:rPr>
              <w:t xml:space="preserve">14.1x</w:t>
            </w:r>
          </w:p>
        </w:tc>
        <w:tc>
          <w:tcPr>
            <w:tcW w:type="dxa" w:w="994"/>
            <w:shd w:val="clear" w:color="auto" w:fill="F1F2F5"/>
          </w:tcPr>
          <w:p>
            <w:pPr>
              <w:pStyle w:val="Compact"/>
              <w:spacing w:after="0" w:before="0" w:line="240" w:lineRule="auto"/>
              <w:jc w:val="right"/>
            </w:pPr>
            <w:r>
              <w:rPr>
                <w:rFonts w:ascii="Arial" w:hAnsi="Arial"/>
                <w:sz w:val="15"/>
              </w:rPr>
              <w:t xml:space="preserve">19.3x</w:t>
            </w:r>
          </w:p>
        </w:tc>
        <w:tc>
          <w:tcPr>
            <w:tcW w:type="dxa" w:w="718"/>
            <w:shd w:val="clear" w:color="auto" w:fill="F1F2F5"/>
          </w:tcPr>
          <w:p>
            <w:pPr>
              <w:pStyle w:val="Compact"/>
              <w:spacing w:after="0" w:before="0" w:line="240" w:lineRule="auto"/>
              <w:jc w:val="right"/>
            </w:pPr>
            <w:r>
              <w:rPr>
                <w:rFonts w:ascii="Arial" w:hAnsi="Arial"/>
                <w:sz w:val="15"/>
              </w:rPr>
              <w:t xml:space="preserve">29.0x</w:t>
            </w:r>
          </w:p>
        </w:tc>
        <w:tc>
          <w:tcPr>
            <w:tcW w:type="dxa" w:w="809"/>
            <w:shd w:val="clear" w:color="auto" w:fill="F1F2F5"/>
          </w:tcPr>
          <w:p>
            <w:pPr>
              <w:pStyle w:val="Compact"/>
              <w:spacing w:after="0" w:before="0" w:line="240" w:lineRule="auto"/>
              <w:jc w:val="right"/>
            </w:pPr>
            <w:r>
              <w:rPr>
                <w:rFonts w:ascii="Arial" w:hAnsi="Arial"/>
                <w:sz w:val="15"/>
              </w:rPr>
              <w:t xml:space="preserve">23.4x</w:t>
            </w:r>
          </w:p>
        </w:tc>
        <w:tc>
          <w:tcPr>
            <w:tcW w:type="dxa" w:w="706"/>
            <w:shd w:val="clear" w:color="auto" w:fill="F1F2F5"/>
          </w:tcPr>
          <w:p>
            <w:pPr>
              <w:pStyle w:val="Compact"/>
              <w:spacing w:after="0" w:before="0" w:line="240" w:lineRule="auto"/>
              <w:jc w:val="right"/>
            </w:pPr>
            <w:r>
              <w:rPr>
                <w:rFonts w:ascii="Arial" w:hAnsi="Arial"/>
                <w:sz w:val="15"/>
              </w:rPr>
              <w:t xml:space="preserve">5.35x</w:t>
            </w:r>
          </w:p>
        </w:tc>
      </w:tr>
      <w:tr>
        <w:trPr>
          <w:cantSplit/>
        </w:trPr>
        <w:tc>
          <w:tcPr>
            <w:tcW w:type="dxa" w:w="1485"/>
          </w:tcPr>
          <w:p>
            <w:pPr>
              <w:pStyle w:val="Compact"/>
              <w:spacing w:after="0" w:before="0" w:line="240" w:lineRule="auto"/>
              <w:jc w:val="left"/>
            </w:pPr>
            <w:r>
              <w:rPr>
                <w:rFonts w:ascii="Arial" w:hAnsi="Arial"/>
                <w:sz w:val="15"/>
              </w:rPr>
              <w:t xml:space="preserve">Nipro</w:t>
            </w:r>
          </w:p>
        </w:tc>
        <w:tc>
          <w:tcPr>
            <w:tcW w:type="dxa" w:w="841"/>
          </w:tcPr>
          <w:p>
            <w:pPr>
              <w:pStyle w:val="Compact"/>
              <w:spacing w:after="0" w:before="0" w:line="240" w:lineRule="auto"/>
              <w:jc w:val="left"/>
            </w:pPr>
            <w:r>
              <w:rPr>
                <w:rFonts w:ascii="Arial" w:hAnsi="Arial"/>
                <w:sz w:val="15"/>
              </w:rPr>
              <w:t xml:space="preserve">8086 JP</w:t>
            </w:r>
          </w:p>
        </w:tc>
        <w:tc>
          <w:tcPr>
            <w:tcW w:type="dxa" w:w="938"/>
          </w:tcPr>
          <w:p>
            <w:pPr>
              <w:pStyle w:val="Compact"/>
              <w:spacing w:after="0" w:before="0" w:line="240" w:lineRule="auto"/>
              <w:jc w:val="right"/>
            </w:pPr>
            <w:r>
              <w:rPr>
                <w:rFonts w:ascii="Arial" w:hAnsi="Arial"/>
                <w:sz w:val="15"/>
              </w:rPr>
              <w:t xml:space="preserve">1,450</w:t>
            </w:r>
          </w:p>
        </w:tc>
        <w:tc>
          <w:tcPr>
            <w:tcW w:type="dxa" w:w="1092"/>
          </w:tcPr>
          <w:p>
            <w:pPr>
              <w:pStyle w:val="Compact"/>
              <w:spacing w:after="0" w:before="0" w:line="240" w:lineRule="auto"/>
              <w:jc w:val="right"/>
            </w:pPr>
            <w:r>
              <w:rPr>
                <w:rFonts w:ascii="Arial" w:hAnsi="Arial"/>
                <w:sz w:val="15"/>
              </w:rPr>
              <w:t xml:space="preserve">1.27x</w:t>
            </w:r>
          </w:p>
        </w:tc>
        <w:tc>
          <w:tcPr>
            <w:tcW w:type="dxa" w:w="1185"/>
          </w:tcPr>
          <w:p>
            <w:pPr>
              <w:pStyle w:val="Compact"/>
              <w:spacing w:after="0" w:before="0" w:line="240" w:lineRule="auto"/>
              <w:jc w:val="right"/>
            </w:pPr>
            <w:r>
              <w:rPr>
                <w:rFonts w:ascii="Arial" w:hAnsi="Arial"/>
                <w:sz w:val="15"/>
              </w:rPr>
              <w:t xml:space="preserve">8.7x</w:t>
            </w:r>
          </w:p>
        </w:tc>
        <w:tc>
          <w:tcPr>
            <w:tcW w:type="dxa" w:w="1211"/>
          </w:tcPr>
          <w:p>
            <w:pPr>
              <w:pStyle w:val="Compact"/>
              <w:spacing w:after="0" w:before="0" w:line="240" w:lineRule="auto"/>
              <w:jc w:val="right"/>
            </w:pPr>
            <w:r>
              <w:rPr>
                <w:rFonts w:ascii="Arial" w:hAnsi="Arial"/>
                <w:sz w:val="15"/>
              </w:rPr>
              <w:t xml:space="preserve">8.0x</w:t>
            </w:r>
          </w:p>
        </w:tc>
        <w:tc>
          <w:tcPr>
            <w:tcW w:type="dxa" w:w="994"/>
          </w:tcPr>
          <w:p>
            <w:pPr>
              <w:pStyle w:val="Compact"/>
              <w:spacing w:after="0" w:before="0" w:line="240" w:lineRule="auto"/>
              <w:jc w:val="right"/>
            </w:pPr>
            <w:r>
              <w:rPr>
                <w:rFonts w:ascii="Arial" w:hAnsi="Arial"/>
                <w:sz w:val="15"/>
              </w:rPr>
              <w:t xml:space="preserve">24.7x</w:t>
            </w:r>
          </w:p>
        </w:tc>
        <w:tc>
          <w:tcPr>
            <w:tcW w:type="dxa" w:w="718"/>
          </w:tcPr>
          <w:p>
            <w:pPr>
              <w:pStyle w:val="Compact"/>
              <w:spacing w:after="0" w:before="0" w:line="240" w:lineRule="auto"/>
              <w:jc w:val="right"/>
            </w:pPr>
            <w:r>
              <w:rPr>
                <w:rFonts w:ascii="Arial" w:hAnsi="Arial"/>
                <w:sz w:val="15"/>
              </w:rPr>
              <w:t xml:space="preserve">18.0x</w:t>
            </w:r>
          </w:p>
        </w:tc>
        <w:tc>
          <w:tcPr>
            <w:tcW w:type="dxa" w:w="809"/>
          </w:tcPr>
          <w:p>
            <w:pPr>
              <w:pStyle w:val="Compact"/>
              <w:spacing w:after="0" w:before="0" w:line="240" w:lineRule="auto"/>
              <w:jc w:val="right"/>
            </w:pPr>
            <w:r>
              <w:rPr>
                <w:rFonts w:ascii="Arial" w:hAnsi="Arial"/>
                <w:sz w:val="15"/>
              </w:rPr>
              <w:t xml:space="preserve">12.8x</w:t>
            </w:r>
          </w:p>
        </w:tc>
        <w:tc>
          <w:tcPr>
            <w:tcW w:type="dxa" w:w="706"/>
          </w:tcPr>
          <w:p>
            <w:pPr>
              <w:pStyle w:val="Compact"/>
              <w:spacing w:after="0" w:before="0" w:line="240" w:lineRule="auto"/>
              <w:jc w:val="right"/>
            </w:pPr>
            <w:r>
              <w:rPr>
                <w:rFonts w:ascii="Arial" w:hAnsi="Arial"/>
                <w:sz w:val="15"/>
              </w:rPr>
              <w:t xml:space="preserve">0.81x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Shimadzu</w:t>
            </w:r>
          </w:p>
        </w:tc>
        <w:tc>
          <w:tcPr>
            <w:tcW w:type="dxa" w:w="841"/>
            <w:shd w:val="clear" w:color="auto" w:fill="F1F2F5"/>
          </w:tcPr>
          <w:p>
            <w:pPr>
              <w:pStyle w:val="Compact"/>
              <w:spacing w:after="0" w:before="0" w:line="240" w:lineRule="auto"/>
              <w:jc w:val="left"/>
            </w:pPr>
            <w:r>
              <w:rPr>
                <w:rFonts w:ascii="Arial" w:hAnsi="Arial"/>
                <w:sz w:val="15"/>
              </w:rPr>
              <w:t xml:space="preserve">7701 JP</w:t>
            </w:r>
          </w:p>
        </w:tc>
        <w:tc>
          <w:tcPr>
            <w:tcW w:type="dxa" w:w="938"/>
            <w:shd w:val="clear" w:color="auto" w:fill="F1F2F5"/>
          </w:tcPr>
          <w:p>
            <w:pPr>
              <w:pStyle w:val="Compact"/>
              <w:spacing w:after="0" w:before="0" w:line="240" w:lineRule="auto"/>
              <w:jc w:val="right"/>
            </w:pPr>
            <w:r>
              <w:rPr>
                <w:rFonts w:ascii="Arial" w:hAnsi="Arial"/>
                <w:sz w:val="15"/>
              </w:rPr>
              <w:t xml:space="preserve">8,032</w:t>
            </w:r>
          </w:p>
        </w:tc>
        <w:tc>
          <w:tcPr>
            <w:tcW w:type="dxa" w:w="1092"/>
            <w:shd w:val="clear" w:color="auto" w:fill="F1F2F5"/>
          </w:tcPr>
          <w:p>
            <w:pPr>
              <w:pStyle w:val="Compact"/>
              <w:spacing w:after="0" w:before="0" w:line="240" w:lineRule="auto"/>
              <w:jc w:val="right"/>
            </w:pPr>
            <w:r>
              <w:rPr>
                <w:rFonts w:ascii="Arial" w:hAnsi="Arial"/>
                <w:sz w:val="15"/>
              </w:rPr>
              <w:t xml:space="preserve">1.96x</w:t>
            </w:r>
          </w:p>
        </w:tc>
        <w:tc>
          <w:tcPr>
            <w:tcW w:type="dxa" w:w="1185"/>
            <w:shd w:val="clear" w:color="auto" w:fill="F1F2F5"/>
          </w:tcPr>
          <w:p>
            <w:pPr>
              <w:pStyle w:val="Compact"/>
              <w:spacing w:after="0" w:before="0" w:line="240" w:lineRule="auto"/>
              <w:jc w:val="right"/>
            </w:pPr>
            <w:r>
              <w:rPr>
                <w:rFonts w:ascii="Arial" w:hAnsi="Arial"/>
                <w:sz w:val="15"/>
              </w:rPr>
              <w:t xml:space="preserve">11.7x</w:t>
            </w:r>
          </w:p>
        </w:tc>
        <w:tc>
          <w:tcPr>
            <w:tcW w:type="dxa" w:w="1211"/>
            <w:shd w:val="clear" w:color="auto" w:fill="F1F2F5"/>
          </w:tcPr>
          <w:p>
            <w:pPr>
              <w:pStyle w:val="Compact"/>
              <w:spacing w:after="0" w:before="0" w:line="240" w:lineRule="auto"/>
              <w:jc w:val="right"/>
            </w:pPr>
            <w:r>
              <w:rPr>
                <w:rFonts w:ascii="Arial" w:hAnsi="Arial"/>
                <w:sz w:val="15"/>
              </w:rPr>
              <w:t xml:space="preserve">10.3x</w:t>
            </w:r>
          </w:p>
        </w:tc>
        <w:tc>
          <w:tcPr>
            <w:tcW w:type="dxa" w:w="994"/>
            <w:shd w:val="clear" w:color="auto" w:fill="F1F2F5"/>
          </w:tcPr>
          <w:p>
            <w:pPr>
              <w:pStyle w:val="Compact"/>
              <w:spacing w:after="0" w:before="0" w:line="240" w:lineRule="auto"/>
              <w:jc w:val="right"/>
            </w:pPr>
            <w:r>
              <w:rPr>
                <w:rFonts w:ascii="Arial" w:hAnsi="Arial"/>
                <w:sz w:val="15"/>
              </w:rPr>
              <w:t xml:space="preserve">14.9x</w:t>
            </w:r>
          </w:p>
        </w:tc>
        <w:tc>
          <w:tcPr>
            <w:tcW w:type="dxa" w:w="718"/>
            <w:shd w:val="clear" w:color="auto" w:fill="F1F2F5"/>
          </w:tcPr>
          <w:p>
            <w:pPr>
              <w:pStyle w:val="Compact"/>
              <w:spacing w:after="0" w:before="0" w:line="240" w:lineRule="auto"/>
              <w:jc w:val="right"/>
            </w:pPr>
            <w:r>
              <w:rPr>
                <w:rFonts w:ascii="Arial" w:hAnsi="Arial"/>
                <w:sz w:val="15"/>
              </w:rPr>
              <w:t xml:space="preserve">19.3x</w:t>
            </w:r>
          </w:p>
        </w:tc>
        <w:tc>
          <w:tcPr>
            <w:tcW w:type="dxa" w:w="809"/>
            <w:shd w:val="clear" w:color="auto" w:fill="F1F2F5"/>
          </w:tcPr>
          <w:p>
            <w:pPr>
              <w:pStyle w:val="Compact"/>
              <w:spacing w:after="0" w:before="0" w:line="240" w:lineRule="auto"/>
              <w:jc w:val="right"/>
            </w:pPr>
            <w:r>
              <w:rPr>
                <w:rFonts w:ascii="Arial" w:hAnsi="Arial"/>
                <w:sz w:val="15"/>
              </w:rPr>
              <w:t xml:space="preserve">19.9x</w:t>
            </w:r>
          </w:p>
        </w:tc>
        <w:tc>
          <w:tcPr>
            <w:tcW w:type="dxa" w:w="706"/>
            <w:shd w:val="clear" w:color="auto" w:fill="F1F2F5"/>
          </w:tcPr>
          <w:p>
            <w:pPr>
              <w:pStyle w:val="Compact"/>
              <w:spacing w:after="0" w:before="0" w:line="240" w:lineRule="auto"/>
              <w:jc w:val="right"/>
            </w:pPr>
            <w:r>
              <w:rPr>
                <w:rFonts w:ascii="Arial" w:hAnsi="Arial"/>
                <w:sz w:val="15"/>
              </w:rPr>
              <w:t xml:space="preserve">2.21x</w:t>
            </w:r>
          </w:p>
        </w:tc>
      </w:tr>
      <w:tr>
        <w:trPr>
          <w:cantSplit/>
        </w:trPr>
        <w:tc>
          <w:tcPr>
            <w:tcW w:type="dxa" w:w="1485"/>
          </w:tcPr>
          <w:p>
            <w:pPr>
              <w:pStyle w:val="Compact"/>
              <w:spacing w:after="0" w:before="0" w:line="240" w:lineRule="auto"/>
              <w:jc w:val="left"/>
            </w:pPr>
            <w:r>
              <w:rPr>
                <w:rFonts w:ascii="Arial" w:hAnsi="Arial"/>
                <w:sz w:val="15"/>
              </w:rPr>
              <w:t xml:space="preserve">Stryker</w:t>
            </w:r>
          </w:p>
        </w:tc>
        <w:tc>
          <w:tcPr>
            <w:tcW w:type="dxa" w:w="841"/>
          </w:tcPr>
          <w:p>
            <w:pPr>
              <w:pStyle w:val="Compact"/>
              <w:spacing w:after="0" w:before="0" w:line="240" w:lineRule="auto"/>
              <w:jc w:val="left"/>
            </w:pPr>
            <w:r>
              <w:rPr>
                <w:rFonts w:ascii="Arial" w:hAnsi="Arial"/>
                <w:sz w:val="15"/>
              </w:rPr>
              <w:t xml:space="preserve">SYK US</w:t>
            </w:r>
          </w:p>
        </w:tc>
        <w:tc>
          <w:tcPr>
            <w:tcW w:type="dxa" w:w="938"/>
          </w:tcPr>
          <w:p>
            <w:pPr>
              <w:pStyle w:val="Compact"/>
              <w:spacing w:after="0" w:before="0" w:line="240" w:lineRule="auto"/>
              <w:jc w:val="right"/>
            </w:pPr>
            <w:r>
              <w:rPr>
                <w:rFonts w:ascii="Arial" w:hAnsi="Arial"/>
                <w:sz w:val="15"/>
              </w:rPr>
              <w:t xml:space="preserve">113,024</w:t>
            </w:r>
          </w:p>
        </w:tc>
        <w:tc>
          <w:tcPr>
            <w:tcW w:type="dxa" w:w="1092"/>
          </w:tcPr>
          <w:p>
            <w:pPr>
              <w:pStyle w:val="Compact"/>
              <w:spacing w:after="0" w:before="0" w:line="240" w:lineRule="auto"/>
              <w:jc w:val="right"/>
            </w:pPr>
            <w:r>
              <w:rPr>
                <w:rFonts w:ascii="Arial" w:hAnsi="Arial"/>
                <w:sz w:val="15"/>
              </w:rPr>
              <w:t xml:space="preserve">4.84x</w:t>
            </w:r>
          </w:p>
        </w:tc>
        <w:tc>
          <w:tcPr>
            <w:tcW w:type="dxa" w:w="1185"/>
          </w:tcPr>
          <w:p>
            <w:pPr>
              <w:pStyle w:val="Compact"/>
              <w:spacing w:after="0" w:before="0" w:line="240" w:lineRule="auto"/>
              <w:jc w:val="right"/>
            </w:pPr>
            <w:r>
              <w:rPr>
                <w:rFonts w:ascii="Arial" w:hAnsi="Arial"/>
                <w:sz w:val="15"/>
              </w:rPr>
              <w:t xml:space="preserve">16.5x</w:t>
            </w:r>
          </w:p>
        </w:tc>
        <w:tc>
          <w:tcPr>
            <w:tcW w:type="dxa" w:w="1211"/>
          </w:tcPr>
          <w:p>
            <w:pPr>
              <w:pStyle w:val="Compact"/>
              <w:spacing w:after="0" w:before="0" w:line="240" w:lineRule="auto"/>
              <w:jc w:val="right"/>
            </w:pPr>
            <w:r>
              <w:rPr>
                <w:rFonts w:ascii="Arial" w:hAnsi="Arial"/>
                <w:sz w:val="15"/>
              </w:rPr>
              <w:t xml:space="preserve">15.3x</w:t>
            </w:r>
          </w:p>
        </w:tc>
        <w:tc>
          <w:tcPr>
            <w:tcW w:type="dxa" w:w="994"/>
          </w:tcPr>
          <w:p>
            <w:pPr>
              <w:pStyle w:val="Compact"/>
              <w:spacing w:after="0" w:before="0" w:line="240" w:lineRule="auto"/>
              <w:jc w:val="right"/>
            </w:pPr>
            <w:r>
              <w:rPr>
                <w:rFonts w:ascii="Arial" w:hAnsi="Arial"/>
                <w:sz w:val="15"/>
              </w:rPr>
              <w:t xml:space="preserve">20.3x</w:t>
            </w:r>
          </w:p>
        </w:tc>
        <w:tc>
          <w:tcPr>
            <w:tcW w:type="dxa" w:w="718"/>
          </w:tcPr>
          <w:p>
            <w:pPr>
              <w:pStyle w:val="Compact"/>
              <w:spacing w:after="0" w:before="0" w:line="240" w:lineRule="auto"/>
              <w:jc w:val="right"/>
            </w:pPr>
            <w:r>
              <w:rPr>
                <w:rFonts w:ascii="Arial" w:hAnsi="Arial"/>
                <w:sz w:val="15"/>
              </w:rPr>
              <w:t xml:space="preserve">30.5x</w:t>
            </w:r>
          </w:p>
        </w:tc>
        <w:tc>
          <w:tcPr>
            <w:tcW w:type="dxa" w:w="809"/>
          </w:tcPr>
          <w:p>
            <w:pPr>
              <w:pStyle w:val="Compact"/>
              <w:spacing w:after="0" w:before="0" w:line="240" w:lineRule="auto"/>
              <w:jc w:val="right"/>
            </w:pPr>
            <w:r>
              <w:rPr>
                <w:rFonts w:ascii="Arial" w:hAnsi="Arial"/>
                <w:sz w:val="15"/>
              </w:rPr>
              <w:t xml:space="preserve">18.5x</w:t>
            </w:r>
          </w:p>
        </w:tc>
        <w:tc>
          <w:tcPr>
            <w:tcW w:type="dxa" w:w="706"/>
          </w:tcPr>
          <w:p>
            <w:pPr>
              <w:pStyle w:val="Compact"/>
              <w:spacing w:after="0" w:before="0" w:line="240" w:lineRule="auto"/>
              <w:jc w:val="right"/>
            </w:pPr>
            <w:r>
              <w:rPr>
                <w:rFonts w:ascii="Arial" w:hAnsi="Arial"/>
                <w:sz w:val="15"/>
              </w:rPr>
              <w:t xml:space="preserve">4.71x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Medtronic</w:t>
            </w:r>
          </w:p>
        </w:tc>
        <w:tc>
          <w:tcPr>
            <w:tcW w:type="dxa" w:w="841"/>
            <w:shd w:val="clear" w:color="auto" w:fill="F1F2F5"/>
          </w:tcPr>
          <w:p>
            <w:pPr>
              <w:pStyle w:val="Compact"/>
              <w:spacing w:after="0" w:before="0" w:line="240" w:lineRule="auto"/>
              <w:jc w:val="left"/>
            </w:pPr>
            <w:r>
              <w:rPr>
                <w:rFonts w:ascii="Arial" w:hAnsi="Arial"/>
                <w:sz w:val="15"/>
              </w:rPr>
              <w:t xml:space="preserve">MDT US</w:t>
            </w:r>
          </w:p>
        </w:tc>
        <w:tc>
          <w:tcPr>
            <w:tcW w:type="dxa" w:w="938"/>
            <w:shd w:val="clear" w:color="auto" w:fill="F1F2F5"/>
          </w:tcPr>
          <w:p>
            <w:pPr>
              <w:pStyle w:val="Compact"/>
              <w:spacing w:after="0" w:before="0" w:line="240" w:lineRule="auto"/>
              <w:jc w:val="right"/>
            </w:pPr>
            <w:r>
              <w:rPr>
                <w:rFonts w:ascii="Arial" w:hAnsi="Arial"/>
                <w:sz w:val="15"/>
              </w:rPr>
              <w:t xml:space="preserve">115,987</w:t>
            </w:r>
          </w:p>
        </w:tc>
        <w:tc>
          <w:tcPr>
            <w:tcW w:type="dxa" w:w="1092"/>
            <w:shd w:val="clear" w:color="auto" w:fill="F1F2F5"/>
          </w:tcPr>
          <w:p>
            <w:pPr>
              <w:pStyle w:val="Compact"/>
              <w:spacing w:after="0" w:before="0" w:line="240" w:lineRule="auto"/>
              <w:jc w:val="right"/>
            </w:pPr>
            <w:r>
              <w:rPr>
                <w:rFonts w:ascii="Arial" w:hAnsi="Arial"/>
                <w:sz w:val="15"/>
              </w:rPr>
              <w:t xml:space="preserve">3.62x</w:t>
            </w:r>
          </w:p>
        </w:tc>
        <w:tc>
          <w:tcPr>
            <w:tcW w:type="dxa" w:w="1185"/>
            <w:shd w:val="clear" w:color="auto" w:fill="F1F2F5"/>
          </w:tcPr>
          <w:p>
            <w:pPr>
              <w:pStyle w:val="Compact"/>
              <w:spacing w:after="0" w:before="0" w:line="240" w:lineRule="auto"/>
              <w:jc w:val="right"/>
            </w:pPr>
            <w:r>
              <w:rPr>
                <w:rFonts w:ascii="Arial" w:hAnsi="Arial"/>
                <w:sz w:val="15"/>
              </w:rPr>
              <w:t xml:space="preserve">12.7x</w:t>
            </w:r>
          </w:p>
        </w:tc>
        <w:tc>
          <w:tcPr>
            <w:tcW w:type="dxa" w:w="1211"/>
            <w:shd w:val="clear" w:color="auto" w:fill="F1F2F5"/>
          </w:tcPr>
          <w:p>
            <w:pPr>
              <w:pStyle w:val="Compact"/>
              <w:spacing w:after="0" w:before="0" w:line="240" w:lineRule="auto"/>
              <w:jc w:val="right"/>
            </w:pPr>
            <w:r>
              <w:rPr>
                <w:rFonts w:ascii="Arial" w:hAnsi="Arial"/>
                <w:sz w:val="15"/>
              </w:rPr>
              <w:t xml:space="preserve">12.4x</w:t>
            </w:r>
          </w:p>
        </w:tc>
        <w:tc>
          <w:tcPr>
            <w:tcW w:type="dxa" w:w="994"/>
            <w:shd w:val="clear" w:color="auto" w:fill="F1F2F5"/>
          </w:tcPr>
          <w:p>
            <w:pPr>
              <w:pStyle w:val="Compact"/>
              <w:spacing w:after="0" w:before="0" w:line="240" w:lineRule="auto"/>
              <w:jc w:val="right"/>
            </w:pPr>
            <w:r>
              <w:rPr>
                <w:rFonts w:ascii="Arial" w:hAnsi="Arial"/>
                <w:sz w:val="15"/>
              </w:rPr>
              <w:t xml:space="preserve">18.0x</w:t>
            </w:r>
          </w:p>
        </w:tc>
        <w:tc>
          <w:tcPr>
            <w:tcW w:type="dxa" w:w="718"/>
            <w:shd w:val="clear" w:color="auto" w:fill="F1F2F5"/>
          </w:tcPr>
          <w:p>
            <w:pPr>
              <w:pStyle w:val="Compact"/>
              <w:spacing w:after="0" w:before="0" w:line="240" w:lineRule="auto"/>
              <w:jc w:val="right"/>
            </w:pPr>
            <w:r>
              <w:rPr>
                <w:rFonts w:ascii="Arial" w:hAnsi="Arial"/>
                <w:sz w:val="15"/>
              </w:rPr>
              <w:t xml:space="preserve">23.3x</w:t>
            </w:r>
          </w:p>
        </w:tc>
        <w:tc>
          <w:tcPr>
            <w:tcW w:type="dxa" w:w="809"/>
            <w:shd w:val="clear" w:color="auto" w:fill="F1F2F5"/>
          </w:tcPr>
          <w:p>
            <w:pPr>
              <w:pStyle w:val="Compact"/>
              <w:spacing w:after="0" w:before="0" w:line="240" w:lineRule="auto"/>
              <w:jc w:val="right"/>
            </w:pPr>
            <w:r>
              <w:rPr>
                <w:rFonts w:ascii="Arial" w:hAnsi="Arial"/>
                <w:sz w:val="15"/>
              </w:rPr>
              <w:t xml:space="preserve">15.8x</w:t>
            </w:r>
          </w:p>
        </w:tc>
        <w:tc>
          <w:tcPr>
            <w:tcW w:type="dxa" w:w="706"/>
            <w:shd w:val="clear" w:color="auto" w:fill="F1F2F5"/>
          </w:tcPr>
          <w:p>
            <w:pPr>
              <w:pStyle w:val="Compact"/>
              <w:spacing w:after="0" w:before="0" w:line="240" w:lineRule="auto"/>
              <w:jc w:val="right"/>
            </w:pPr>
            <w:r>
              <w:rPr>
                <w:rFonts w:ascii="Arial" w:hAnsi="Arial"/>
                <w:sz w:val="15"/>
              </w:rPr>
              <w:t xml:space="preserve">2.41x</w:t>
            </w:r>
          </w:p>
        </w:tc>
      </w:tr>
      <w:tr>
        <w:trPr>
          <w:cantSplit/>
        </w:trPr>
        <w:tc>
          <w:tcPr>
            <w:tcW w:type="dxa" w:w="1485"/>
          </w:tcPr>
          <w:p>
            <w:pPr>
              <w:pStyle w:val="Compact"/>
              <w:spacing w:after="0" w:before="0" w:line="240" w:lineRule="auto"/>
              <w:jc w:val="left"/>
            </w:pPr>
            <w:r>
              <w:rPr>
                <w:rFonts w:ascii="Arial" w:hAnsi="Arial"/>
                <w:sz w:val="15"/>
              </w:rPr>
              <w:t xml:space="preserve">Boston Scientific</w:t>
            </w:r>
          </w:p>
        </w:tc>
        <w:tc>
          <w:tcPr>
            <w:tcW w:type="dxa" w:w="841"/>
          </w:tcPr>
          <w:p>
            <w:pPr>
              <w:pStyle w:val="Compact"/>
              <w:spacing w:after="0" w:before="0" w:line="240" w:lineRule="auto"/>
              <w:jc w:val="left"/>
            </w:pPr>
            <w:r>
              <w:rPr>
                <w:rFonts w:ascii="Arial" w:hAnsi="Arial"/>
                <w:sz w:val="15"/>
              </w:rPr>
              <w:t xml:space="preserve">BSX US</w:t>
            </w:r>
          </w:p>
        </w:tc>
        <w:tc>
          <w:tcPr>
            <w:tcW w:type="dxa" w:w="938"/>
          </w:tcPr>
          <w:p>
            <w:pPr>
              <w:pStyle w:val="Compact"/>
              <w:spacing w:after="0" w:before="0" w:line="240" w:lineRule="auto"/>
              <w:jc w:val="right"/>
            </w:pPr>
            <w:r>
              <w:rPr>
                <w:rFonts w:ascii="Arial" w:hAnsi="Arial"/>
                <w:sz w:val="15"/>
              </w:rPr>
              <w:t xml:space="preserve">64,331</w:t>
            </w:r>
          </w:p>
        </w:tc>
        <w:tc>
          <w:tcPr>
            <w:tcW w:type="dxa" w:w="1092"/>
          </w:tcPr>
          <w:p>
            <w:pPr>
              <w:pStyle w:val="Compact"/>
              <w:spacing w:after="0" w:before="0" w:line="240" w:lineRule="auto"/>
              <w:jc w:val="right"/>
            </w:pPr>
            <w:r>
              <w:rPr>
                <w:rFonts w:ascii="Arial" w:hAnsi="Arial"/>
                <w:sz w:val="15"/>
              </w:rPr>
              <w:t xml:space="preserve">3.65x</w:t>
            </w:r>
          </w:p>
        </w:tc>
        <w:tc>
          <w:tcPr>
            <w:tcW w:type="dxa" w:w="1185"/>
          </w:tcPr>
          <w:p>
            <w:pPr>
              <w:pStyle w:val="Compact"/>
              <w:spacing w:after="0" w:before="0" w:line="240" w:lineRule="auto"/>
              <w:jc w:val="right"/>
            </w:pPr>
            <w:r>
              <w:rPr>
                <w:rFonts w:ascii="Arial" w:hAnsi="Arial"/>
                <w:sz w:val="15"/>
              </w:rPr>
              <w:t xml:space="preserve">13.4x</w:t>
            </w:r>
          </w:p>
        </w:tc>
        <w:tc>
          <w:tcPr>
            <w:tcW w:type="dxa" w:w="1211"/>
          </w:tcPr>
          <w:p>
            <w:pPr>
              <w:pStyle w:val="Compact"/>
              <w:spacing w:after="0" w:before="0" w:line="240" w:lineRule="auto"/>
              <w:jc w:val="right"/>
            </w:pPr>
            <w:r>
              <w:rPr>
                <w:rFonts w:ascii="Arial" w:hAnsi="Arial"/>
                <w:sz w:val="15"/>
              </w:rPr>
              <w:t xml:space="preserve">12.1x</w:t>
            </w:r>
          </w:p>
        </w:tc>
        <w:tc>
          <w:tcPr>
            <w:tcW w:type="dxa" w:w="994"/>
          </w:tcPr>
          <w:p>
            <w:pPr>
              <w:pStyle w:val="Compact"/>
              <w:spacing w:after="0" w:before="0" w:line="240" w:lineRule="auto"/>
              <w:jc w:val="right"/>
            </w:pPr>
            <w:r>
              <w:rPr>
                <w:rFonts w:ascii="Arial" w:hAnsi="Arial"/>
                <w:sz w:val="15"/>
              </w:rPr>
              <w:t xml:space="preserve">17.8x</w:t>
            </w:r>
          </w:p>
        </w:tc>
        <w:tc>
          <w:tcPr>
            <w:tcW w:type="dxa" w:w="718"/>
          </w:tcPr>
          <w:p>
            <w:pPr>
              <w:pStyle w:val="Compact"/>
              <w:spacing w:after="0" w:before="0" w:line="240" w:lineRule="auto"/>
              <w:jc w:val="right"/>
            </w:pPr>
            <w:r>
              <w:rPr>
                <w:rFonts w:ascii="Arial" w:hAnsi="Arial"/>
                <w:sz w:val="15"/>
              </w:rPr>
              <w:t xml:space="preserve">18.0x</w:t>
            </w:r>
          </w:p>
        </w:tc>
        <w:tc>
          <w:tcPr>
            <w:tcW w:type="dxa" w:w="809"/>
          </w:tcPr>
          <w:p>
            <w:pPr>
              <w:pStyle w:val="Compact"/>
              <w:spacing w:after="0" w:before="0" w:line="240" w:lineRule="auto"/>
              <w:jc w:val="right"/>
            </w:pPr>
            <w:r>
              <w:rPr>
                <w:rFonts w:ascii="Arial" w:hAnsi="Arial"/>
                <w:sz w:val="15"/>
              </w:rPr>
              <w:t xml:space="preserve">13.8x</w:t>
            </w:r>
          </w:p>
        </w:tc>
        <w:tc>
          <w:tcPr>
            <w:tcW w:type="dxa" w:w="706"/>
          </w:tcPr>
          <w:p>
            <w:pPr>
              <w:pStyle w:val="Compact"/>
              <w:spacing w:after="0" w:before="0" w:line="240" w:lineRule="auto"/>
              <w:jc w:val="right"/>
            </w:pPr>
            <w:r>
              <w:rPr>
                <w:rFonts w:ascii="Arial" w:hAnsi="Arial"/>
                <w:sz w:val="15"/>
              </w:rPr>
              <w:t xml:space="preserve">2.58x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Intuitive Surgical</w:t>
            </w:r>
          </w:p>
        </w:tc>
        <w:tc>
          <w:tcPr>
            <w:tcW w:type="dxa" w:w="841"/>
            <w:shd w:val="clear" w:color="auto" w:fill="F1F2F5"/>
          </w:tcPr>
          <w:p>
            <w:pPr>
              <w:pStyle w:val="Compact"/>
              <w:spacing w:after="0" w:before="0" w:line="240" w:lineRule="auto"/>
              <w:jc w:val="left"/>
            </w:pPr>
            <w:r>
              <w:rPr>
                <w:rFonts w:ascii="Arial" w:hAnsi="Arial"/>
                <w:sz w:val="15"/>
              </w:rPr>
              <w:t xml:space="preserve">ISRG US</w:t>
            </w:r>
          </w:p>
        </w:tc>
        <w:tc>
          <w:tcPr>
            <w:tcW w:type="dxa" w:w="938"/>
            <w:shd w:val="clear" w:color="auto" w:fill="F1F2F5"/>
          </w:tcPr>
          <w:p>
            <w:pPr>
              <w:pStyle w:val="Compact"/>
              <w:spacing w:after="0" w:before="0" w:line="240" w:lineRule="auto"/>
              <w:jc w:val="right"/>
            </w:pPr>
            <w:r>
              <w:rPr>
                <w:rFonts w:ascii="Arial" w:hAnsi="Arial"/>
                <w:sz w:val="15"/>
              </w:rPr>
              <w:t xml:space="preserve">150,744</w:t>
            </w:r>
          </w:p>
        </w:tc>
        <w:tc>
          <w:tcPr>
            <w:tcW w:type="dxa" w:w="1092"/>
            <w:shd w:val="clear" w:color="auto" w:fill="F1F2F5"/>
          </w:tcPr>
          <w:p>
            <w:pPr>
              <w:pStyle w:val="Compact"/>
              <w:spacing w:after="0" w:before="0" w:line="240" w:lineRule="auto"/>
              <w:jc w:val="right"/>
            </w:pPr>
            <w:r>
              <w:rPr>
                <w:rFonts w:ascii="Arial" w:hAnsi="Arial"/>
                <w:sz w:val="15"/>
              </w:rPr>
              <w:t xml:space="preserve">13.20x</w:t>
            </w:r>
          </w:p>
        </w:tc>
        <w:tc>
          <w:tcPr>
            <w:tcW w:type="dxa" w:w="1185"/>
            <w:shd w:val="clear" w:color="auto" w:fill="F1F2F5"/>
          </w:tcPr>
          <w:p>
            <w:pPr>
              <w:pStyle w:val="Compact"/>
              <w:spacing w:after="0" w:before="0" w:line="240" w:lineRule="auto"/>
              <w:jc w:val="right"/>
            </w:pPr>
            <w:r>
              <w:rPr>
                <w:rFonts w:ascii="Arial" w:hAnsi="Arial"/>
                <w:sz w:val="15"/>
              </w:rPr>
              <w:t xml:space="preserve">34.5x</w:t>
            </w:r>
          </w:p>
        </w:tc>
        <w:tc>
          <w:tcPr>
            <w:tcW w:type="dxa" w:w="1211"/>
            <w:shd w:val="clear" w:color="auto" w:fill="F1F2F5"/>
          </w:tcPr>
          <w:p>
            <w:pPr>
              <w:pStyle w:val="Compact"/>
              <w:spacing w:after="0" w:before="0" w:line="240" w:lineRule="auto"/>
              <w:jc w:val="right"/>
            </w:pPr>
            <w:r>
              <w:rPr>
                <w:rFonts w:ascii="Arial" w:hAnsi="Arial"/>
                <w:sz w:val="15"/>
              </w:rPr>
              <w:t xml:space="preserve">25.7x</w:t>
            </w:r>
          </w:p>
        </w:tc>
        <w:tc>
          <w:tcPr>
            <w:tcW w:type="dxa" w:w="994"/>
            <w:shd w:val="clear" w:color="auto" w:fill="F1F2F5"/>
          </w:tcPr>
          <w:p>
            <w:pPr>
              <w:pStyle w:val="Compact"/>
              <w:spacing w:after="0" w:before="0" w:line="240" w:lineRule="auto"/>
              <w:jc w:val="right"/>
            </w:pPr>
            <w:r>
              <w:rPr>
                <w:rFonts w:ascii="Arial" w:hAnsi="Arial"/>
                <w:sz w:val="15"/>
              </w:rPr>
              <w:t xml:space="preserve">42.2x</w:t>
            </w:r>
          </w:p>
        </w:tc>
        <w:tc>
          <w:tcPr>
            <w:tcW w:type="dxa" w:w="718"/>
            <w:shd w:val="clear" w:color="auto" w:fill="F1F2F5"/>
          </w:tcPr>
          <w:p>
            <w:pPr>
              <w:pStyle w:val="Compact"/>
              <w:spacing w:after="0" w:before="0" w:line="240" w:lineRule="auto"/>
              <w:jc w:val="right"/>
            </w:pPr>
            <w:r>
              <w:rPr>
                <w:rFonts w:ascii="Arial" w:hAnsi="Arial"/>
                <w:sz w:val="15"/>
              </w:rPr>
              <w:t xml:space="preserve">48.9x</w:t>
            </w:r>
          </w:p>
        </w:tc>
        <w:tc>
          <w:tcPr>
            <w:tcW w:type="dxa" w:w="809"/>
            <w:shd w:val="clear" w:color="auto" w:fill="F1F2F5"/>
          </w:tcPr>
          <w:p>
            <w:pPr>
              <w:pStyle w:val="Compact"/>
              <w:spacing w:after="0" w:before="0" w:line="240" w:lineRule="auto"/>
              <w:jc w:val="right"/>
            </w:pPr>
            <w:r>
              <w:rPr>
                <w:rFonts w:ascii="Arial" w:hAnsi="Arial"/>
                <w:sz w:val="15"/>
              </w:rPr>
              <w:t xml:space="preserve">37.7x</w:t>
            </w:r>
          </w:p>
        </w:tc>
        <w:tc>
          <w:tcPr>
            <w:tcW w:type="dxa" w:w="706"/>
            <w:shd w:val="clear" w:color="auto" w:fill="F1F2F5"/>
          </w:tcPr>
          <w:p>
            <w:pPr>
              <w:pStyle w:val="Compact"/>
              <w:spacing w:after="0" w:before="0" w:line="240" w:lineRule="auto"/>
              <w:jc w:val="right"/>
            </w:pPr>
            <w:r>
              <w:rPr>
                <w:rFonts w:ascii="Arial" w:hAnsi="Arial"/>
                <w:sz w:val="15"/>
              </w:rPr>
              <w:t xml:space="preserve">8.31x</w:t>
            </w:r>
          </w:p>
        </w:tc>
      </w:tr>
      <w:tr>
        <w:trPr>
          <w:cantSplit/>
        </w:trPr>
        <w:tc>
          <w:tcPr>
            <w:tcW w:type="dxa" w:w="1485"/>
          </w:tcPr>
          <w:p>
            <w:pPr>
              <w:pStyle w:val="Compact"/>
              <w:spacing w:after="0" w:before="0" w:line="240" w:lineRule="auto"/>
              <w:jc w:val="left"/>
            </w:pPr>
            <w:r>
              <w:rPr>
                <w:rFonts w:ascii="Arial" w:hAnsi="Arial"/>
                <w:sz w:val="15"/>
              </w:rPr>
              <w:t xml:space="preserve">Johnson &amp; Johnson</w:t>
            </w:r>
          </w:p>
        </w:tc>
        <w:tc>
          <w:tcPr>
            <w:tcW w:type="dxa" w:w="841"/>
          </w:tcPr>
          <w:p>
            <w:pPr>
              <w:pStyle w:val="Compact"/>
              <w:spacing w:after="0" w:before="0" w:line="240" w:lineRule="auto"/>
              <w:jc w:val="left"/>
            </w:pPr>
            <w:r>
              <w:rPr>
                <w:rFonts w:ascii="Arial" w:hAnsi="Arial"/>
                <w:sz w:val="15"/>
              </w:rPr>
              <w:t xml:space="preserve">JNJ US</w:t>
            </w:r>
          </w:p>
        </w:tc>
        <w:tc>
          <w:tcPr>
            <w:tcW w:type="dxa" w:w="938"/>
          </w:tcPr>
          <w:p>
            <w:pPr>
              <w:pStyle w:val="Compact"/>
              <w:spacing w:after="0" w:before="0" w:line="240" w:lineRule="auto"/>
              <w:jc w:val="right"/>
            </w:pPr>
            <w:r>
              <w:rPr>
                <w:rFonts w:ascii="Arial" w:hAnsi="Arial"/>
                <w:sz w:val="15"/>
              </w:rPr>
              <w:t xml:space="preserve">615,874</w:t>
            </w:r>
          </w:p>
        </w:tc>
        <w:tc>
          <w:tcPr>
            <w:tcW w:type="dxa" w:w="1092"/>
          </w:tcPr>
          <w:p>
            <w:pPr>
              <w:pStyle w:val="Compact"/>
              <w:spacing w:after="0" w:before="0" w:line="240" w:lineRule="auto"/>
              <w:jc w:val="right"/>
            </w:pPr>
            <w:r>
              <w:rPr>
                <w:rFonts w:ascii="Arial" w:hAnsi="Arial"/>
                <w:sz w:val="15"/>
              </w:rPr>
              <w:t xml:space="preserve">6.48x</w:t>
            </w:r>
          </w:p>
        </w:tc>
        <w:tc>
          <w:tcPr>
            <w:tcW w:type="dxa" w:w="1185"/>
          </w:tcPr>
          <w:p>
            <w:pPr>
              <w:pStyle w:val="Compact"/>
              <w:spacing w:after="0" w:before="0" w:line="240" w:lineRule="auto"/>
              <w:jc w:val="right"/>
            </w:pPr>
            <w:r>
              <w:rPr>
                <w:rFonts w:ascii="Arial" w:hAnsi="Arial"/>
                <w:sz w:val="15"/>
              </w:rPr>
              <w:t xml:space="preserve">18.8x</w:t>
            </w:r>
          </w:p>
        </w:tc>
        <w:tc>
          <w:tcPr>
            <w:tcW w:type="dxa" w:w="1211"/>
          </w:tcPr>
          <w:p>
            <w:pPr>
              <w:pStyle w:val="Compact"/>
              <w:spacing w:after="0" w:before="0" w:line="240" w:lineRule="auto"/>
              <w:jc w:val="right"/>
            </w:pPr>
            <w:r>
              <w:rPr>
                <w:rFonts w:ascii="Arial" w:hAnsi="Arial"/>
                <w:sz w:val="15"/>
              </w:rPr>
              <w:t xml:space="preserve">17.5x</w:t>
            </w:r>
          </w:p>
        </w:tc>
        <w:tc>
          <w:tcPr>
            <w:tcW w:type="dxa" w:w="994"/>
          </w:tcPr>
          <w:p>
            <w:pPr>
              <w:pStyle w:val="Compact"/>
              <w:spacing w:after="0" w:before="0" w:line="240" w:lineRule="auto"/>
              <w:jc w:val="right"/>
            </w:pPr>
            <w:r>
              <w:rPr>
                <w:rFonts w:ascii="Arial" w:hAnsi="Arial"/>
                <w:sz w:val="15"/>
              </w:rPr>
              <w:t xml:space="preserve">24.5x</w:t>
            </w:r>
          </w:p>
        </w:tc>
        <w:tc>
          <w:tcPr>
            <w:tcW w:type="dxa" w:w="718"/>
          </w:tcPr>
          <w:p>
            <w:pPr>
              <w:pStyle w:val="Compact"/>
              <w:spacing w:after="0" w:before="0" w:line="240" w:lineRule="auto"/>
              <w:jc w:val="right"/>
            </w:pPr>
            <w:r>
              <w:rPr>
                <w:rFonts w:ascii="Arial" w:hAnsi="Arial"/>
                <w:sz w:val="15"/>
              </w:rPr>
              <w:t xml:space="preserve">38.8x</w:t>
            </w:r>
          </w:p>
        </w:tc>
        <w:tc>
          <w:tcPr>
            <w:tcW w:type="dxa" w:w="809"/>
          </w:tcPr>
          <w:p>
            <w:pPr>
              <w:pStyle w:val="Compact"/>
              <w:spacing w:after="0" w:before="0" w:line="240" w:lineRule="auto"/>
              <w:jc w:val="right"/>
            </w:pPr>
            <w:r>
              <w:rPr>
                <w:rFonts w:ascii="Arial" w:hAnsi="Arial"/>
                <w:sz w:val="15"/>
              </w:rPr>
              <w:t xml:space="preserve">22.4x</w:t>
            </w:r>
          </w:p>
        </w:tc>
        <w:tc>
          <w:tcPr>
            <w:tcW w:type="dxa" w:w="706"/>
          </w:tcPr>
          <w:p>
            <w:pPr>
              <w:pStyle w:val="Compact"/>
              <w:spacing w:after="0" w:before="0" w:line="240" w:lineRule="auto"/>
              <w:jc w:val="right"/>
            </w:pPr>
            <w:r>
              <w:rPr>
                <w:rFonts w:ascii="Arial" w:hAnsi="Arial"/>
                <w:sz w:val="15"/>
              </w:rPr>
              <w:t xml:space="preserve">7.24x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Becton Dickinson</w:t>
            </w:r>
          </w:p>
        </w:tc>
        <w:tc>
          <w:tcPr>
            <w:tcW w:type="dxa" w:w="841"/>
            <w:shd w:val="clear" w:color="auto" w:fill="F1F2F5"/>
          </w:tcPr>
          <w:p>
            <w:pPr>
              <w:pStyle w:val="Compact"/>
              <w:spacing w:after="0" w:before="0" w:line="240" w:lineRule="auto"/>
              <w:jc w:val="left"/>
            </w:pPr>
            <w:r>
              <w:rPr>
                <w:rFonts w:ascii="Arial" w:hAnsi="Arial"/>
                <w:sz w:val="15"/>
              </w:rPr>
              <w:t xml:space="preserve">BDX US</w:t>
            </w:r>
          </w:p>
        </w:tc>
        <w:tc>
          <w:tcPr>
            <w:tcW w:type="dxa" w:w="938"/>
            <w:shd w:val="clear" w:color="auto" w:fill="F1F2F5"/>
          </w:tcPr>
          <w:p>
            <w:pPr>
              <w:pStyle w:val="Compact"/>
              <w:spacing w:after="0" w:before="0" w:line="240" w:lineRule="auto"/>
              <w:jc w:val="right"/>
            </w:pPr>
            <w:r>
              <w:rPr>
                <w:rFonts w:ascii="Arial" w:hAnsi="Arial"/>
                <w:sz w:val="15"/>
              </w:rPr>
              <w:t xml:space="preserve">52,230</w:t>
            </w:r>
          </w:p>
        </w:tc>
        <w:tc>
          <w:tcPr>
            <w:tcW w:type="dxa" w:w="1092"/>
            <w:shd w:val="clear" w:color="auto" w:fill="F1F2F5"/>
          </w:tcPr>
          <w:p>
            <w:pPr>
              <w:pStyle w:val="Compact"/>
              <w:spacing w:after="0" w:before="0" w:line="240" w:lineRule="auto"/>
              <w:jc w:val="right"/>
            </w:pPr>
            <w:r>
              <w:rPr>
                <w:rFonts w:ascii="Arial" w:hAnsi="Arial"/>
                <w:sz w:val="15"/>
              </w:rPr>
              <w:t xml:space="preserve">3.04x</w:t>
            </w:r>
          </w:p>
        </w:tc>
        <w:tc>
          <w:tcPr>
            <w:tcW w:type="dxa" w:w="1185"/>
            <w:shd w:val="clear" w:color="auto" w:fill="F1F2F5"/>
          </w:tcPr>
          <w:p>
            <w:pPr>
              <w:pStyle w:val="Compact"/>
              <w:spacing w:after="0" w:before="0" w:line="240" w:lineRule="auto"/>
              <w:jc w:val="right"/>
            </w:pPr>
            <w:r>
              <w:rPr>
                <w:rFonts w:ascii="Arial" w:hAnsi="Arial"/>
                <w:sz w:val="15"/>
              </w:rPr>
              <w:t xml:space="preserve">10.8x</w:t>
            </w:r>
          </w:p>
        </w:tc>
        <w:tc>
          <w:tcPr>
            <w:tcW w:type="dxa" w:w="1211"/>
            <w:shd w:val="clear" w:color="auto" w:fill="F1F2F5"/>
          </w:tcPr>
          <w:p>
            <w:pPr>
              <w:pStyle w:val="Compact"/>
              <w:spacing w:after="0" w:before="0" w:line="240" w:lineRule="auto"/>
              <w:jc w:val="right"/>
            </w:pPr>
            <w:r>
              <w:rPr>
                <w:rFonts w:ascii="Arial" w:hAnsi="Arial"/>
                <w:sz w:val="15"/>
              </w:rPr>
              <w:t xml:space="preserve">12.2x</w:t>
            </w:r>
          </w:p>
        </w:tc>
        <w:tc>
          <w:tcPr>
            <w:tcW w:type="dxa" w:w="994"/>
            <w:shd w:val="clear" w:color="auto" w:fill="F1F2F5"/>
          </w:tcPr>
          <w:p>
            <w:pPr>
              <w:pStyle w:val="Compact"/>
              <w:spacing w:after="0" w:before="0" w:line="240" w:lineRule="auto"/>
              <w:jc w:val="right"/>
            </w:pPr>
            <w:r>
              <w:rPr>
                <w:rFonts w:ascii="Arial" w:hAnsi="Arial"/>
                <w:sz w:val="15"/>
              </w:rPr>
              <w:t xml:space="preserve">18.6x</w:t>
            </w:r>
          </w:p>
        </w:tc>
        <w:tc>
          <w:tcPr>
            <w:tcW w:type="dxa" w:w="718"/>
            <w:shd w:val="clear" w:color="auto" w:fill="F1F2F5"/>
          </w:tcPr>
          <w:p>
            <w:pPr>
              <w:pStyle w:val="Compact"/>
              <w:spacing w:after="0" w:before="0" w:line="240" w:lineRule="auto"/>
              <w:jc w:val="right"/>
            </w:pPr>
            <w:r>
              <w:rPr>
                <w:rFonts w:ascii="Arial" w:hAnsi="Arial"/>
                <w:sz w:val="15"/>
              </w:rPr>
              <w:t xml:space="preserve">32.9x</w:t>
            </w:r>
          </w:p>
        </w:tc>
        <w:tc>
          <w:tcPr>
            <w:tcW w:type="dxa" w:w="809"/>
            <w:shd w:val="clear" w:color="auto" w:fill="F1F2F5"/>
          </w:tcPr>
          <w:p>
            <w:pPr>
              <w:pStyle w:val="Compact"/>
              <w:spacing w:after="0" w:before="0" w:line="240" w:lineRule="auto"/>
              <w:jc w:val="right"/>
            </w:pPr>
            <w:r>
              <w:rPr>
                <w:rFonts w:ascii="Arial" w:hAnsi="Arial"/>
                <w:sz w:val="15"/>
              </w:rPr>
              <w:t xml:space="preserve">14.5x</w:t>
            </w:r>
          </w:p>
        </w:tc>
        <w:tc>
          <w:tcPr>
            <w:tcW w:type="dxa" w:w="706"/>
            <w:shd w:val="clear" w:color="auto" w:fill="F1F2F5"/>
          </w:tcPr>
          <w:p>
            <w:pPr>
              <w:pStyle w:val="Compact"/>
              <w:spacing w:after="0" w:before="0" w:line="240" w:lineRule="auto"/>
              <w:jc w:val="right"/>
            </w:pPr>
            <w:r>
              <w:rPr>
                <w:rFonts w:ascii="Arial" w:hAnsi="Arial"/>
                <w:sz w:val="15"/>
              </w:rPr>
              <w:t xml:space="preserve">2.14x</w:t>
            </w:r>
          </w:p>
        </w:tc>
      </w:tr>
      <w:tr>
        <w:trPr>
          <w:cantSplit/>
        </w:trPr>
        <w:tc>
          <w:tcPr>
            <w:tcW w:type="dxa" w:w="1485"/>
          </w:tcPr>
          <w:p>
            <w:pPr>
              <w:pStyle w:val="Compact"/>
              <w:spacing w:after="0" w:before="0" w:line="240" w:lineRule="auto"/>
              <w:jc w:val="left"/>
            </w:pPr>
            <w:r>
              <w:rPr>
                <w:rFonts w:ascii="Arial" w:hAnsi="Arial"/>
                <w:sz w:val="15"/>
              </w:rPr>
              <w:t xml:space="preserve">Teleflex</w:t>
            </w:r>
          </w:p>
        </w:tc>
        <w:tc>
          <w:tcPr>
            <w:tcW w:type="dxa" w:w="841"/>
          </w:tcPr>
          <w:p>
            <w:pPr>
              <w:pStyle w:val="Compact"/>
              <w:spacing w:after="0" w:before="0" w:line="240" w:lineRule="auto"/>
              <w:jc w:val="left"/>
            </w:pPr>
            <w:r>
              <w:rPr>
                <w:rFonts w:ascii="Arial" w:hAnsi="Arial"/>
                <w:sz w:val="15"/>
              </w:rPr>
              <w:t xml:space="preserve">TFX US</w:t>
            </w:r>
          </w:p>
        </w:tc>
        <w:tc>
          <w:tcPr>
            <w:tcW w:type="dxa" w:w="938"/>
          </w:tcPr>
          <w:p>
            <w:pPr>
              <w:pStyle w:val="Compact"/>
              <w:spacing w:after="0" w:before="0" w:line="240" w:lineRule="auto"/>
              <w:jc w:val="right"/>
            </w:pPr>
            <w:r>
              <w:rPr>
                <w:rFonts w:ascii="Arial" w:hAnsi="Arial"/>
                <w:sz w:val="15"/>
              </w:rPr>
              <w:t xml:space="preserve">5,527</w:t>
            </w:r>
          </w:p>
        </w:tc>
        <w:tc>
          <w:tcPr>
            <w:tcW w:type="dxa" w:w="1092"/>
          </w:tcPr>
          <w:p>
            <w:pPr>
              <w:pStyle w:val="Compact"/>
              <w:spacing w:after="0" w:before="0" w:line="240" w:lineRule="auto"/>
              <w:jc w:val="right"/>
            </w:pPr>
            <w:r>
              <w:rPr>
                <w:rFonts w:ascii="Arial" w:hAnsi="Arial"/>
                <w:sz w:val="15"/>
              </w:rPr>
              <w:t xml:space="preserve">3.61x</w:t>
            </w:r>
          </w:p>
        </w:tc>
        <w:tc>
          <w:tcPr>
            <w:tcW w:type="dxa" w:w="1185"/>
          </w:tcPr>
          <w:p>
            <w:pPr>
              <w:pStyle w:val="Compact"/>
              <w:spacing w:after="0" w:before="0" w:line="240" w:lineRule="auto"/>
              <w:jc w:val="right"/>
            </w:pPr>
            <w:r>
              <w:rPr>
                <w:rFonts w:ascii="Arial" w:hAnsi="Arial"/>
                <w:sz w:val="15"/>
              </w:rPr>
              <w:t xml:space="preserve">18.9x</w:t>
            </w:r>
          </w:p>
        </w:tc>
        <w:tc>
          <w:tcPr>
            <w:tcW w:type="dxa" w:w="1211"/>
          </w:tcPr>
          <w:p>
            <w:pPr>
              <w:pStyle w:val="Compact"/>
              <w:spacing w:after="0" w:before="0" w:line="240" w:lineRule="auto"/>
              <w:jc w:val="right"/>
            </w:pPr>
            <w:r>
              <w:rPr>
                <w:rFonts w:ascii="Arial" w:hAnsi="Arial"/>
                <w:sz w:val="15"/>
              </w:rPr>
              <w:t xml:space="preserve">14.9x</w:t>
            </w:r>
          </w:p>
        </w:tc>
        <w:tc>
          <w:tcPr>
            <w:tcW w:type="dxa" w:w="994"/>
          </w:tcPr>
          <w:p>
            <w:pPr>
              <w:pStyle w:val="Compact"/>
              <w:spacing w:after="0" w:before="0" w:line="240" w:lineRule="auto"/>
              <w:jc w:val="right"/>
            </w:pPr>
            <w:r>
              <w:rPr>
                <w:rFonts w:ascii="Arial" w:hAnsi="Arial"/>
                <w:sz w:val="15"/>
              </w:rPr>
              <w:t xml:space="preserve">41.1x</w:t>
            </w:r>
          </w:p>
        </w:tc>
        <w:tc>
          <w:tcPr>
            <w:tcW w:type="dxa" w:w="718"/>
          </w:tcPr>
          <w:p>
            <w:pPr>
              <w:pStyle w:val="Compact"/>
              <w:spacing w:after="0" w:before="0" w:line="240" w:lineRule="auto"/>
              <w:jc w:val="right"/>
            </w:pPr>
            <w:r>
              <w:rPr>
                <w:rFonts w:ascii="Arial" w:hAnsi="Arial"/>
                <w:sz w:val="15"/>
              </w:rPr>
              <w:t xml:space="preserve">n/m</w:t>
            </w:r>
          </w:p>
        </w:tc>
        <w:tc>
          <w:tcPr>
            <w:tcW w:type="dxa" w:w="809"/>
          </w:tcPr>
          <w:p>
            <w:pPr>
              <w:pStyle w:val="Compact"/>
              <w:spacing w:after="0" w:before="0" w:line="240" w:lineRule="auto"/>
              <w:jc w:val="right"/>
            </w:pPr>
            <w:r>
              <w:rPr>
                <w:rFonts w:ascii="Arial" w:hAnsi="Arial"/>
                <w:sz w:val="15"/>
              </w:rPr>
              <w:t xml:space="preserve">14.2x</w:t>
            </w:r>
          </w:p>
        </w:tc>
        <w:tc>
          <w:tcPr>
            <w:tcW w:type="dxa" w:w="706"/>
          </w:tcPr>
          <w:p>
            <w:pPr>
              <w:pStyle w:val="Compact"/>
              <w:spacing w:after="0" w:before="0" w:line="240" w:lineRule="auto"/>
              <w:jc w:val="right"/>
            </w:pPr>
            <w:r>
              <w:rPr>
                <w:rFonts w:ascii="Arial" w:hAnsi="Arial"/>
                <w:sz w:val="15"/>
              </w:rPr>
              <w:t xml:space="preserve">1.90x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CONMED</w:t>
            </w:r>
          </w:p>
        </w:tc>
        <w:tc>
          <w:tcPr>
            <w:tcW w:type="dxa" w:w="841"/>
            <w:shd w:val="clear" w:color="auto" w:fill="F1F2F5"/>
          </w:tcPr>
          <w:p>
            <w:pPr>
              <w:pStyle w:val="Compact"/>
              <w:spacing w:after="0" w:before="0" w:line="240" w:lineRule="auto"/>
              <w:jc w:val="left"/>
            </w:pPr>
            <w:r>
              <w:rPr>
                <w:rFonts w:ascii="Arial" w:hAnsi="Arial"/>
                <w:sz w:val="15"/>
              </w:rPr>
              <w:t xml:space="preserve">CNMD US</w:t>
            </w:r>
          </w:p>
        </w:tc>
        <w:tc>
          <w:tcPr>
            <w:tcW w:type="dxa" w:w="938"/>
            <w:shd w:val="clear" w:color="auto" w:fill="F1F2F5"/>
          </w:tcPr>
          <w:p>
            <w:pPr>
              <w:pStyle w:val="Compact"/>
              <w:spacing w:after="0" w:before="0" w:line="240" w:lineRule="auto"/>
              <w:jc w:val="right"/>
            </w:pPr>
            <w:r>
              <w:rPr>
                <w:rFonts w:ascii="Arial" w:hAnsi="Arial"/>
                <w:sz w:val="15"/>
              </w:rPr>
              <w:t xml:space="preserve">1,399</w:t>
            </w:r>
          </w:p>
        </w:tc>
        <w:tc>
          <w:tcPr>
            <w:tcW w:type="dxa" w:w="1092"/>
            <w:shd w:val="clear" w:color="auto" w:fill="F1F2F5"/>
          </w:tcPr>
          <w:p>
            <w:pPr>
              <w:pStyle w:val="Compact"/>
              <w:spacing w:after="0" w:before="0" w:line="240" w:lineRule="auto"/>
              <w:jc w:val="right"/>
            </w:pPr>
            <w:r>
              <w:rPr>
                <w:rFonts w:ascii="Arial" w:hAnsi="Arial"/>
                <w:sz w:val="15"/>
              </w:rPr>
              <w:t xml:space="preserve">1.60x</w:t>
            </w:r>
          </w:p>
        </w:tc>
        <w:tc>
          <w:tcPr>
            <w:tcW w:type="dxa" w:w="1185"/>
            <w:shd w:val="clear" w:color="auto" w:fill="F1F2F5"/>
          </w:tcPr>
          <w:p>
            <w:pPr>
              <w:pStyle w:val="Compact"/>
              <w:spacing w:after="0" w:before="0" w:line="240" w:lineRule="auto"/>
              <w:jc w:val="right"/>
            </w:pPr>
            <w:r>
              <w:rPr>
                <w:rFonts w:ascii="Arial" w:hAnsi="Arial"/>
                <w:sz w:val="15"/>
              </w:rPr>
              <w:t xml:space="preserve">9.2x</w:t>
            </w:r>
          </w:p>
        </w:tc>
        <w:tc>
          <w:tcPr>
            <w:tcW w:type="dxa" w:w="1211"/>
            <w:shd w:val="clear" w:color="auto" w:fill="F1F2F5"/>
          </w:tcPr>
          <w:p>
            <w:pPr>
              <w:pStyle w:val="Compact"/>
              <w:spacing w:after="0" w:before="0" w:line="240" w:lineRule="auto"/>
              <w:jc w:val="right"/>
            </w:pPr>
            <w:r>
              <w:rPr>
                <w:rFonts w:ascii="Arial" w:hAnsi="Arial"/>
                <w:sz w:val="15"/>
              </w:rPr>
              <w:t xml:space="preserve">7.6x</w:t>
            </w:r>
          </w:p>
        </w:tc>
        <w:tc>
          <w:tcPr>
            <w:tcW w:type="dxa" w:w="994"/>
            <w:shd w:val="clear" w:color="auto" w:fill="F1F2F5"/>
          </w:tcPr>
          <w:p>
            <w:pPr>
              <w:pStyle w:val="Compact"/>
              <w:spacing w:after="0" w:before="0" w:line="240" w:lineRule="auto"/>
              <w:jc w:val="right"/>
            </w:pPr>
            <w:r>
              <w:rPr>
                <w:rFonts w:ascii="Arial" w:hAnsi="Arial"/>
                <w:sz w:val="15"/>
              </w:rPr>
              <w:t xml:space="preserve">14.3x</w:t>
            </w:r>
          </w:p>
        </w:tc>
        <w:tc>
          <w:tcPr>
            <w:tcW w:type="dxa" w:w="718"/>
            <w:shd w:val="clear" w:color="auto" w:fill="F1F2F5"/>
          </w:tcPr>
          <w:p>
            <w:pPr>
              <w:pStyle w:val="Compact"/>
              <w:spacing w:after="0" w:before="0" w:line="240" w:lineRule="auto"/>
              <w:jc w:val="right"/>
            </w:pPr>
            <w:r>
              <w:rPr>
                <w:rFonts w:ascii="Arial" w:hAnsi="Arial"/>
                <w:sz w:val="15"/>
              </w:rPr>
              <w:t xml:space="preserve">25.4x</w:t>
            </w:r>
          </w:p>
        </w:tc>
        <w:tc>
          <w:tcPr>
            <w:tcW w:type="dxa" w:w="809"/>
            <w:shd w:val="clear" w:color="auto" w:fill="F1F2F5"/>
          </w:tcPr>
          <w:p>
            <w:pPr>
              <w:pStyle w:val="Compact"/>
              <w:spacing w:after="0" w:before="0" w:line="240" w:lineRule="auto"/>
              <w:jc w:val="right"/>
            </w:pPr>
            <w:r>
              <w:rPr>
                <w:rFonts w:ascii="Arial" w:hAnsi="Arial"/>
                <w:sz w:val="15"/>
              </w:rPr>
              <w:t xml:space="preserve">10.4x</w:t>
            </w:r>
          </w:p>
        </w:tc>
        <w:tc>
          <w:tcPr>
            <w:tcW w:type="dxa" w:w="706"/>
            <w:shd w:val="clear" w:color="auto" w:fill="F1F2F5"/>
          </w:tcPr>
          <w:p>
            <w:pPr>
              <w:pStyle w:val="Compact"/>
              <w:spacing w:after="0" w:before="0" w:line="240" w:lineRule="auto"/>
              <w:jc w:val="right"/>
            </w:pPr>
            <w:r>
              <w:rPr>
                <w:rFonts w:ascii="Arial" w:hAnsi="Arial"/>
                <w:sz w:val="15"/>
              </w:rPr>
              <w:t xml:space="preserve">1.35x</w:t>
            </w:r>
          </w:p>
        </w:tc>
      </w:tr>
      <w:tr>
        <w:trPr>
          <w:cantSplit/>
        </w:trPr>
        <w:tc>
          <w:tcPr>
            <w:tcW w:type="dxa" w:w="1485"/>
          </w:tcPr>
          <w:p>
            <w:pPr>
              <w:pStyle w:val="Compact"/>
              <w:spacing w:after="0" w:before="0" w:line="240" w:lineRule="auto"/>
              <w:jc w:val="left"/>
            </w:pPr>
            <w:r>
              <w:rPr>
                <w:rFonts w:ascii="Arial" w:hAnsi="Arial"/>
                <w:sz w:val="15"/>
              </w:rPr>
              <w:t xml:space="preserve">STERIS</w:t>
            </w:r>
          </w:p>
        </w:tc>
        <w:tc>
          <w:tcPr>
            <w:tcW w:type="dxa" w:w="841"/>
          </w:tcPr>
          <w:p>
            <w:pPr>
              <w:pStyle w:val="Compact"/>
              <w:spacing w:after="0" w:before="0" w:line="240" w:lineRule="auto"/>
              <w:jc w:val="left"/>
            </w:pPr>
            <w:r>
              <w:rPr>
                <w:rFonts w:ascii="Arial" w:hAnsi="Arial"/>
                <w:sz w:val="15"/>
              </w:rPr>
              <w:t xml:space="preserve">STE US</w:t>
            </w:r>
          </w:p>
        </w:tc>
        <w:tc>
          <w:tcPr>
            <w:tcW w:type="dxa" w:w="938"/>
          </w:tcPr>
          <w:p>
            <w:pPr>
              <w:pStyle w:val="Compact"/>
              <w:spacing w:after="0" w:before="0" w:line="240" w:lineRule="auto"/>
              <w:jc w:val="right"/>
            </w:pPr>
            <w:r>
              <w:rPr>
                <w:rFonts w:ascii="Arial" w:hAnsi="Arial"/>
                <w:sz w:val="15"/>
              </w:rPr>
              <w:t xml:space="preserve">21,709</w:t>
            </w:r>
          </w:p>
        </w:tc>
        <w:tc>
          <w:tcPr>
            <w:tcW w:type="dxa" w:w="1092"/>
          </w:tcPr>
          <w:p>
            <w:pPr>
              <w:pStyle w:val="Compact"/>
              <w:spacing w:after="0" w:before="0" w:line="240" w:lineRule="auto"/>
              <w:jc w:val="right"/>
            </w:pPr>
            <w:r>
              <w:rPr>
                <w:rFonts w:ascii="Arial" w:hAnsi="Arial"/>
                <w:sz w:val="15"/>
              </w:rPr>
              <w:t xml:space="preserve">3.86x</w:t>
            </w:r>
          </w:p>
        </w:tc>
        <w:tc>
          <w:tcPr>
            <w:tcW w:type="dxa" w:w="1185"/>
          </w:tcPr>
          <w:p>
            <w:pPr>
              <w:pStyle w:val="Compact"/>
              <w:spacing w:after="0" w:before="0" w:line="240" w:lineRule="auto"/>
              <w:jc w:val="right"/>
            </w:pPr>
            <w:r>
              <w:rPr>
                <w:rFonts w:ascii="Arial" w:hAnsi="Arial"/>
                <w:sz w:val="15"/>
              </w:rPr>
              <w:t xml:space="preserve">13.5x</w:t>
            </w:r>
          </w:p>
        </w:tc>
        <w:tc>
          <w:tcPr>
            <w:tcW w:type="dxa" w:w="1211"/>
          </w:tcPr>
          <w:p>
            <w:pPr>
              <w:pStyle w:val="Compact"/>
              <w:spacing w:after="0" w:before="0" w:line="240" w:lineRule="auto"/>
              <w:jc w:val="right"/>
            </w:pPr>
            <w:r>
              <w:rPr>
                <w:rFonts w:ascii="Arial" w:hAnsi="Arial"/>
                <w:sz w:val="15"/>
              </w:rPr>
              <w:t xml:space="preserve">12.4x</w:t>
            </w:r>
          </w:p>
        </w:tc>
        <w:tc>
          <w:tcPr>
            <w:tcW w:type="dxa" w:w="994"/>
          </w:tcPr>
          <w:p>
            <w:pPr>
              <w:pStyle w:val="Compact"/>
              <w:spacing w:after="0" w:before="0" w:line="240" w:lineRule="auto"/>
              <w:jc w:val="right"/>
            </w:pPr>
            <w:r>
              <w:rPr>
                <w:rFonts w:ascii="Arial" w:hAnsi="Arial"/>
                <w:sz w:val="15"/>
              </w:rPr>
              <w:t xml:space="preserve">20.3x</w:t>
            </w:r>
          </w:p>
        </w:tc>
        <w:tc>
          <w:tcPr>
            <w:tcW w:type="dxa" w:w="718"/>
          </w:tcPr>
          <w:p>
            <w:pPr>
              <w:pStyle w:val="Compact"/>
              <w:spacing w:after="0" w:before="0" w:line="240" w:lineRule="auto"/>
              <w:jc w:val="right"/>
            </w:pPr>
            <w:r>
              <w:rPr>
                <w:rFonts w:ascii="Arial" w:hAnsi="Arial"/>
                <w:sz w:val="15"/>
              </w:rPr>
              <w:t xml:space="preserve">27.2x</w:t>
            </w:r>
          </w:p>
        </w:tc>
        <w:tc>
          <w:tcPr>
            <w:tcW w:type="dxa" w:w="809"/>
          </w:tcPr>
          <w:p>
            <w:pPr>
              <w:pStyle w:val="Compact"/>
              <w:spacing w:after="0" w:before="0" w:line="240" w:lineRule="auto"/>
              <w:jc w:val="right"/>
            </w:pPr>
            <w:r>
              <w:rPr>
                <w:rFonts w:ascii="Arial" w:hAnsi="Arial"/>
                <w:sz w:val="15"/>
              </w:rPr>
              <w:t xml:space="preserve">19.5x</w:t>
            </w:r>
          </w:p>
        </w:tc>
        <w:tc>
          <w:tcPr>
            <w:tcW w:type="dxa" w:w="706"/>
          </w:tcPr>
          <w:p>
            <w:pPr>
              <w:pStyle w:val="Compact"/>
              <w:spacing w:after="0" w:before="0" w:line="240" w:lineRule="auto"/>
              <w:jc w:val="right"/>
            </w:pPr>
            <w:r>
              <w:rPr>
                <w:rFonts w:ascii="Arial" w:hAnsi="Arial"/>
                <w:sz w:val="15"/>
              </w:rPr>
              <w:t xml:space="preserve">3.01x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Integra Life.</w:t>
            </w:r>
          </w:p>
        </w:tc>
        <w:tc>
          <w:tcPr>
            <w:tcW w:type="dxa" w:w="841"/>
            <w:shd w:val="clear" w:color="auto" w:fill="F1F2F5"/>
          </w:tcPr>
          <w:p>
            <w:pPr>
              <w:pStyle w:val="Compact"/>
              <w:spacing w:after="0" w:before="0" w:line="240" w:lineRule="auto"/>
              <w:jc w:val="left"/>
            </w:pPr>
            <w:r>
              <w:rPr>
                <w:rFonts w:ascii="Arial" w:hAnsi="Arial"/>
                <w:sz w:val="15"/>
              </w:rPr>
              <w:t xml:space="preserve">IART US</w:t>
            </w:r>
          </w:p>
        </w:tc>
        <w:tc>
          <w:tcPr>
            <w:tcW w:type="dxa" w:w="938"/>
            <w:shd w:val="clear" w:color="auto" w:fill="F1F2F5"/>
          </w:tcPr>
          <w:p>
            <w:pPr>
              <w:pStyle w:val="Compact"/>
              <w:spacing w:after="0" w:before="0" w:line="240" w:lineRule="auto"/>
              <w:jc w:val="right"/>
            </w:pPr>
            <w:r>
              <w:rPr>
                <w:rFonts w:ascii="Arial" w:hAnsi="Arial"/>
                <w:sz w:val="15"/>
              </w:rPr>
              <w:t xml:space="preserve">1,027</w:t>
            </w:r>
          </w:p>
        </w:tc>
        <w:tc>
          <w:tcPr>
            <w:tcW w:type="dxa" w:w="1092"/>
            <w:shd w:val="clear" w:color="auto" w:fill="F1F2F5"/>
          </w:tcPr>
          <w:p>
            <w:pPr>
              <w:pStyle w:val="Compact"/>
              <w:spacing w:after="0" w:before="0" w:line="240" w:lineRule="auto"/>
              <w:jc w:val="right"/>
            </w:pPr>
            <w:r>
              <w:rPr>
                <w:rFonts w:ascii="Arial" w:hAnsi="Arial"/>
                <w:sz w:val="15"/>
              </w:rPr>
              <w:t xml:space="preserve">1.70x</w:t>
            </w:r>
          </w:p>
        </w:tc>
        <w:tc>
          <w:tcPr>
            <w:tcW w:type="dxa" w:w="1185"/>
            <w:shd w:val="clear" w:color="auto" w:fill="F1F2F5"/>
          </w:tcPr>
          <w:p>
            <w:pPr>
              <w:pStyle w:val="Compact"/>
              <w:spacing w:after="0" w:before="0" w:line="240" w:lineRule="auto"/>
              <w:jc w:val="right"/>
            </w:pPr>
            <w:r>
              <w:rPr>
                <w:rFonts w:ascii="Arial" w:hAnsi="Arial"/>
                <w:sz w:val="15"/>
              </w:rPr>
              <w:t xml:space="preserve">8.2x</w:t>
            </w:r>
          </w:p>
        </w:tc>
        <w:tc>
          <w:tcPr>
            <w:tcW w:type="dxa" w:w="1211"/>
            <w:shd w:val="clear" w:color="auto" w:fill="F1F2F5"/>
          </w:tcPr>
          <w:p>
            <w:pPr>
              <w:pStyle w:val="Compact"/>
              <w:spacing w:after="0" w:before="0" w:line="240" w:lineRule="auto"/>
              <w:jc w:val="right"/>
            </w:pPr>
            <w:r>
              <w:rPr>
                <w:rFonts w:ascii="Arial" w:hAnsi="Arial"/>
                <w:sz w:val="15"/>
              </w:rPr>
              <w:t xml:space="preserve">8.0x</w:t>
            </w:r>
          </w:p>
        </w:tc>
        <w:tc>
          <w:tcPr>
            <w:tcW w:type="dxa" w:w="994"/>
            <w:shd w:val="clear" w:color="auto" w:fill="F1F2F5"/>
          </w:tcPr>
          <w:p>
            <w:pPr>
              <w:pStyle w:val="Compact"/>
              <w:spacing w:after="0" w:before="0" w:line="240" w:lineRule="auto"/>
              <w:jc w:val="right"/>
            </w:pPr>
            <w:r>
              <w:rPr>
                <w:rFonts w:ascii="Arial" w:hAnsi="Arial"/>
                <w:sz w:val="15"/>
              </w:rPr>
              <w:t xml:space="preserve">17.2x</w:t>
            </w:r>
          </w:p>
        </w:tc>
        <w:tc>
          <w:tcPr>
            <w:tcW w:type="dxa" w:w="718"/>
            <w:shd w:val="clear" w:color="auto" w:fill="F1F2F5"/>
          </w:tcPr>
          <w:p>
            <w:pPr>
              <w:pStyle w:val="Compact"/>
              <w:spacing w:after="0" w:before="0" w:line="240" w:lineRule="auto"/>
              <w:jc w:val="right"/>
            </w:pPr>
            <w:r>
              <w:rPr>
                <w:rFonts w:ascii="Arial" w:hAnsi="Arial"/>
                <w:sz w:val="15"/>
              </w:rPr>
              <w:t xml:space="preserve">n/m</w:t>
            </w:r>
          </w:p>
        </w:tc>
        <w:tc>
          <w:tcPr>
            <w:tcW w:type="dxa" w:w="809"/>
            <w:shd w:val="clear" w:color="auto" w:fill="F1F2F5"/>
          </w:tcPr>
          <w:p>
            <w:pPr>
              <w:pStyle w:val="Compact"/>
              <w:spacing w:after="0" w:before="0" w:line="240" w:lineRule="auto"/>
              <w:jc w:val="right"/>
            </w:pPr>
            <w:r>
              <w:rPr>
                <w:rFonts w:ascii="Arial" w:hAnsi="Arial"/>
                <w:sz w:val="15"/>
              </w:rPr>
              <w:t xml:space="preserve">5.4x</w:t>
            </w:r>
          </w:p>
        </w:tc>
        <w:tc>
          <w:tcPr>
            <w:tcW w:type="dxa" w:w="706"/>
            <w:shd w:val="clear" w:color="auto" w:fill="F1F2F5"/>
          </w:tcPr>
          <w:p>
            <w:pPr>
              <w:pStyle w:val="Compact"/>
              <w:spacing w:after="0" w:before="0" w:line="240" w:lineRule="auto"/>
              <w:jc w:val="right"/>
            </w:pPr>
            <w:r>
              <w:rPr>
                <w:rFonts w:ascii="Arial" w:hAnsi="Arial"/>
                <w:sz w:val="15"/>
              </w:rPr>
              <w:t xml:space="preserve">0.98x</w:t>
            </w:r>
          </w:p>
        </w:tc>
      </w:tr>
      <w:tr>
        <w:trPr>
          <w:cantSplit/>
        </w:trPr>
        <w:tc>
          <w:tcPr>
            <w:tcW w:type="dxa" w:w="1485"/>
          </w:tcPr>
          <w:p>
            <w:pPr>
              <w:pStyle w:val="Compact"/>
              <w:spacing w:after="0" w:before="0" w:line="240" w:lineRule="auto"/>
              <w:jc w:val="left"/>
            </w:pPr>
            <w:r>
              <w:rPr>
                <w:rFonts w:ascii="Arial" w:hAnsi="Arial"/>
                <w:sz w:val="15"/>
              </w:rPr>
              <w:t xml:space="preserve">Zimmer Biomet</w:t>
            </w:r>
          </w:p>
        </w:tc>
        <w:tc>
          <w:tcPr>
            <w:tcW w:type="dxa" w:w="841"/>
          </w:tcPr>
          <w:p>
            <w:pPr>
              <w:pStyle w:val="Compact"/>
              <w:spacing w:after="0" w:before="0" w:line="240" w:lineRule="auto"/>
              <w:jc w:val="left"/>
            </w:pPr>
            <w:r>
              <w:rPr>
                <w:rFonts w:ascii="Arial" w:hAnsi="Arial"/>
                <w:sz w:val="15"/>
              </w:rPr>
              <w:t xml:space="preserve">ZBH US</w:t>
            </w:r>
          </w:p>
        </w:tc>
        <w:tc>
          <w:tcPr>
            <w:tcW w:type="dxa" w:w="938"/>
          </w:tcPr>
          <w:p>
            <w:pPr>
              <w:pStyle w:val="Compact"/>
              <w:spacing w:after="0" w:before="0" w:line="240" w:lineRule="auto"/>
              <w:jc w:val="right"/>
            </w:pPr>
            <w:r>
              <w:rPr>
                <w:rFonts w:ascii="Arial" w:hAnsi="Arial"/>
                <w:sz w:val="15"/>
              </w:rPr>
              <w:t xml:space="preserve">18,116</w:t>
            </w:r>
          </w:p>
        </w:tc>
        <w:tc>
          <w:tcPr>
            <w:tcW w:type="dxa" w:w="1092"/>
          </w:tcPr>
          <w:p>
            <w:pPr>
              <w:pStyle w:val="Compact"/>
              <w:spacing w:after="0" w:before="0" w:line="240" w:lineRule="auto"/>
              <w:jc w:val="right"/>
            </w:pPr>
            <w:r>
              <w:rPr>
                <w:rFonts w:ascii="Arial" w:hAnsi="Arial"/>
                <w:sz w:val="15"/>
              </w:rPr>
              <w:t xml:space="preserve">2.97x</w:t>
            </w:r>
          </w:p>
        </w:tc>
        <w:tc>
          <w:tcPr>
            <w:tcW w:type="dxa" w:w="1185"/>
          </w:tcPr>
          <w:p>
            <w:pPr>
              <w:pStyle w:val="Compact"/>
              <w:spacing w:after="0" w:before="0" w:line="240" w:lineRule="auto"/>
              <w:jc w:val="right"/>
            </w:pPr>
            <w:r>
              <w:rPr>
                <w:rFonts w:ascii="Arial" w:hAnsi="Arial"/>
                <w:sz w:val="15"/>
              </w:rPr>
              <w:t xml:space="preserve">9.8x</w:t>
            </w:r>
          </w:p>
        </w:tc>
        <w:tc>
          <w:tcPr>
            <w:tcW w:type="dxa" w:w="1211"/>
          </w:tcPr>
          <w:p>
            <w:pPr>
              <w:pStyle w:val="Compact"/>
              <w:spacing w:after="0" w:before="0" w:line="240" w:lineRule="auto"/>
              <w:jc w:val="right"/>
            </w:pPr>
            <w:r>
              <w:rPr>
                <w:rFonts w:ascii="Arial" w:hAnsi="Arial"/>
                <w:sz w:val="15"/>
              </w:rPr>
              <w:t xml:space="preserve">8.9x</w:t>
            </w:r>
          </w:p>
        </w:tc>
        <w:tc>
          <w:tcPr>
            <w:tcW w:type="dxa" w:w="994"/>
          </w:tcPr>
          <w:p>
            <w:pPr>
              <w:pStyle w:val="Compact"/>
              <w:spacing w:after="0" w:before="0" w:line="240" w:lineRule="auto"/>
              <w:jc w:val="right"/>
            </w:pPr>
            <w:r>
              <w:rPr>
                <w:rFonts w:ascii="Arial" w:hAnsi="Arial"/>
                <w:sz w:val="15"/>
              </w:rPr>
              <w:t xml:space="preserve">17.8x</w:t>
            </w:r>
          </w:p>
        </w:tc>
        <w:tc>
          <w:tcPr>
            <w:tcW w:type="dxa" w:w="718"/>
          </w:tcPr>
          <w:p>
            <w:pPr>
              <w:pStyle w:val="Compact"/>
              <w:spacing w:after="0" w:before="0" w:line="240" w:lineRule="auto"/>
              <w:jc w:val="right"/>
            </w:pPr>
            <w:r>
              <w:rPr>
                <w:rFonts w:ascii="Arial" w:hAnsi="Arial"/>
                <w:sz w:val="15"/>
              </w:rPr>
              <w:t xml:space="preserve">23.1x</w:t>
            </w:r>
          </w:p>
        </w:tc>
        <w:tc>
          <w:tcPr>
            <w:tcW w:type="dxa" w:w="809"/>
          </w:tcPr>
          <w:p>
            <w:pPr>
              <w:pStyle w:val="Compact"/>
              <w:spacing w:after="0" w:before="0" w:line="240" w:lineRule="auto"/>
              <w:jc w:val="right"/>
            </w:pPr>
            <w:r>
              <w:rPr>
                <w:rFonts w:ascii="Arial" w:hAnsi="Arial"/>
                <w:sz w:val="15"/>
              </w:rPr>
              <w:t xml:space="preserve">10.9x</w:t>
            </w:r>
          </w:p>
        </w:tc>
        <w:tc>
          <w:tcPr>
            <w:tcW w:type="dxa" w:w="706"/>
          </w:tcPr>
          <w:p>
            <w:pPr>
              <w:pStyle w:val="Compact"/>
              <w:spacing w:after="0" w:before="0" w:line="240" w:lineRule="auto"/>
              <w:jc w:val="right"/>
            </w:pPr>
            <w:r>
              <w:rPr>
                <w:rFonts w:ascii="Arial" w:hAnsi="Arial"/>
                <w:sz w:val="15"/>
              </w:rPr>
              <w:t xml:space="preserve">1.43x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Edwards Lifesciences</w:t>
            </w:r>
          </w:p>
        </w:tc>
        <w:tc>
          <w:tcPr>
            <w:tcW w:type="dxa" w:w="841"/>
            <w:shd w:val="clear" w:color="auto" w:fill="F1F2F5"/>
          </w:tcPr>
          <w:p>
            <w:pPr>
              <w:pStyle w:val="Compact"/>
              <w:spacing w:after="0" w:before="0" w:line="240" w:lineRule="auto"/>
              <w:jc w:val="left"/>
            </w:pPr>
            <w:r>
              <w:rPr>
                <w:rFonts w:ascii="Arial" w:hAnsi="Arial"/>
                <w:sz w:val="15"/>
              </w:rPr>
              <w:t xml:space="preserve">EW US</w:t>
            </w:r>
          </w:p>
        </w:tc>
        <w:tc>
          <w:tcPr>
            <w:tcW w:type="dxa" w:w="938"/>
            <w:shd w:val="clear" w:color="auto" w:fill="F1F2F5"/>
          </w:tcPr>
          <w:p>
            <w:pPr>
              <w:pStyle w:val="Compact"/>
              <w:spacing w:after="0" w:before="0" w:line="240" w:lineRule="auto"/>
              <w:jc w:val="right"/>
            </w:pPr>
            <w:r>
              <w:rPr>
                <w:rFonts w:ascii="Arial" w:hAnsi="Arial"/>
                <w:sz w:val="15"/>
              </w:rPr>
              <w:t xml:space="preserve">49,916</w:t>
            </w:r>
          </w:p>
        </w:tc>
        <w:tc>
          <w:tcPr>
            <w:tcW w:type="dxa" w:w="1092"/>
            <w:shd w:val="clear" w:color="auto" w:fill="F1F2F5"/>
          </w:tcPr>
          <w:p>
            <w:pPr>
              <w:pStyle w:val="Compact"/>
              <w:spacing w:after="0" w:before="0" w:line="240" w:lineRule="auto"/>
              <w:jc w:val="right"/>
            </w:pPr>
            <w:r>
              <w:rPr>
                <w:rFonts w:ascii="Arial" w:hAnsi="Arial"/>
                <w:sz w:val="15"/>
              </w:rPr>
              <w:t xml:space="preserve">7.13x</w:t>
            </w:r>
          </w:p>
        </w:tc>
        <w:tc>
          <w:tcPr>
            <w:tcW w:type="dxa" w:w="1185"/>
            <w:shd w:val="clear" w:color="auto" w:fill="F1F2F5"/>
          </w:tcPr>
          <w:p>
            <w:pPr>
              <w:pStyle w:val="Compact"/>
              <w:spacing w:after="0" w:before="0" w:line="240" w:lineRule="auto"/>
              <w:jc w:val="right"/>
            </w:pPr>
            <w:r>
              <w:rPr>
                <w:rFonts w:ascii="Arial" w:hAnsi="Arial"/>
                <w:sz w:val="15"/>
              </w:rPr>
              <w:t xml:space="preserve">22.9x</w:t>
            </w:r>
          </w:p>
        </w:tc>
        <w:tc>
          <w:tcPr>
            <w:tcW w:type="dxa" w:w="1211"/>
            <w:shd w:val="clear" w:color="auto" w:fill="F1F2F5"/>
          </w:tcPr>
          <w:p>
            <w:pPr>
              <w:pStyle w:val="Compact"/>
              <w:spacing w:after="0" w:before="0" w:line="240" w:lineRule="auto"/>
              <w:jc w:val="right"/>
            </w:pPr>
            <w:r>
              <w:rPr>
                <w:rFonts w:ascii="Arial" w:hAnsi="Arial"/>
                <w:sz w:val="15"/>
              </w:rPr>
              <w:t xml:space="preserve">20.9x</w:t>
            </w:r>
          </w:p>
        </w:tc>
        <w:tc>
          <w:tcPr>
            <w:tcW w:type="dxa" w:w="994"/>
            <w:shd w:val="clear" w:color="auto" w:fill="F1F2F5"/>
          </w:tcPr>
          <w:p>
            <w:pPr>
              <w:pStyle w:val="Compact"/>
              <w:spacing w:after="0" w:before="0" w:line="240" w:lineRule="auto"/>
              <w:jc w:val="right"/>
            </w:pPr>
            <w:r>
              <w:rPr>
                <w:rFonts w:ascii="Arial" w:hAnsi="Arial"/>
                <w:sz w:val="15"/>
              </w:rPr>
              <w:t xml:space="preserve">25.4x</w:t>
            </w:r>
          </w:p>
        </w:tc>
        <w:tc>
          <w:tcPr>
            <w:tcW w:type="dxa" w:w="718"/>
            <w:shd w:val="clear" w:color="auto" w:fill="F1F2F5"/>
          </w:tcPr>
          <w:p>
            <w:pPr>
              <w:pStyle w:val="Compact"/>
              <w:spacing w:after="0" w:before="0" w:line="240" w:lineRule="auto"/>
              <w:jc w:val="right"/>
            </w:pPr>
            <w:r>
              <w:rPr>
                <w:rFonts w:ascii="Arial" w:hAnsi="Arial"/>
                <w:sz w:val="15"/>
              </w:rPr>
              <w:t xml:space="preserve">51.7x</w:t>
            </w:r>
          </w:p>
        </w:tc>
        <w:tc>
          <w:tcPr>
            <w:tcW w:type="dxa" w:w="809"/>
            <w:shd w:val="clear" w:color="auto" w:fill="F1F2F5"/>
          </w:tcPr>
          <w:p>
            <w:pPr>
              <w:pStyle w:val="Compact"/>
              <w:spacing w:after="0" w:before="0" w:line="240" w:lineRule="auto"/>
              <w:jc w:val="right"/>
            </w:pPr>
            <w:r>
              <w:rPr>
                <w:rFonts w:ascii="Arial" w:hAnsi="Arial"/>
                <w:sz w:val="15"/>
              </w:rPr>
              <w:t xml:space="preserve">27.6x</w:t>
            </w:r>
          </w:p>
        </w:tc>
        <w:tc>
          <w:tcPr>
            <w:tcW w:type="dxa" w:w="706"/>
            <w:shd w:val="clear" w:color="auto" w:fill="F1F2F5"/>
          </w:tcPr>
          <w:p>
            <w:pPr>
              <w:pStyle w:val="Compact"/>
              <w:spacing w:after="0" w:before="0" w:line="240" w:lineRule="auto"/>
              <w:jc w:val="right"/>
            </w:pPr>
            <w:r>
              <w:rPr>
                <w:rFonts w:ascii="Arial" w:hAnsi="Arial"/>
                <w:sz w:val="15"/>
              </w:rPr>
              <w:t xml:space="preserve">4.70x</w:t>
            </w:r>
          </w:p>
        </w:tc>
      </w:tr>
      <w:tr>
        <w:trPr>
          <w:cantSplit/>
        </w:trPr>
        <w:tc>
          <w:tcPr>
            <w:tcW w:type="dxa" w:w="1485"/>
          </w:tcPr>
          <w:p>
            <w:pPr>
              <w:pStyle w:val="Compact"/>
              <w:spacing w:after="0" w:before="0" w:line="240" w:lineRule="auto"/>
              <w:jc w:val="left"/>
            </w:pPr>
            <w:r>
              <w:rPr>
                <w:rFonts w:ascii="Arial" w:hAnsi="Arial"/>
                <w:sz w:val="15"/>
              </w:rPr>
              <w:t xml:space="preserve">GE HealthCare</w:t>
            </w:r>
          </w:p>
        </w:tc>
        <w:tc>
          <w:tcPr>
            <w:tcW w:type="dxa" w:w="841"/>
          </w:tcPr>
          <w:p>
            <w:pPr>
              <w:pStyle w:val="Compact"/>
              <w:spacing w:after="0" w:before="0" w:line="240" w:lineRule="auto"/>
              <w:jc w:val="left"/>
            </w:pPr>
            <w:r>
              <w:rPr>
                <w:rFonts w:ascii="Arial" w:hAnsi="Arial"/>
                <w:sz w:val="15"/>
              </w:rPr>
              <w:t xml:space="preserve">GEHC US</w:t>
            </w:r>
          </w:p>
        </w:tc>
        <w:tc>
          <w:tcPr>
            <w:tcW w:type="dxa" w:w="938"/>
          </w:tcPr>
          <w:p>
            <w:pPr>
              <w:pStyle w:val="Compact"/>
              <w:spacing w:after="0" w:before="0" w:line="240" w:lineRule="auto"/>
              <w:jc w:val="right"/>
            </w:pPr>
            <w:r>
              <w:rPr>
                <w:rFonts w:ascii="Arial" w:hAnsi="Arial"/>
                <w:sz w:val="15"/>
              </w:rPr>
              <w:t xml:space="preserve">31,424</w:t>
            </w:r>
          </w:p>
        </w:tc>
        <w:tc>
          <w:tcPr>
            <w:tcW w:type="dxa" w:w="1092"/>
          </w:tcPr>
          <w:p>
            <w:pPr>
              <w:pStyle w:val="Compact"/>
              <w:spacing w:after="0" w:before="0" w:line="240" w:lineRule="auto"/>
              <w:jc w:val="right"/>
            </w:pPr>
            <w:r>
              <w:rPr>
                <w:rFonts w:ascii="Arial" w:hAnsi="Arial"/>
                <w:sz w:val="15"/>
              </w:rPr>
              <w:t xml:space="preserve">1.89x</w:t>
            </w:r>
          </w:p>
        </w:tc>
        <w:tc>
          <w:tcPr>
            <w:tcW w:type="dxa" w:w="1185"/>
          </w:tcPr>
          <w:p>
            <w:pPr>
              <w:pStyle w:val="Compact"/>
              <w:spacing w:after="0" w:before="0" w:line="240" w:lineRule="auto"/>
              <w:jc w:val="right"/>
            </w:pPr>
            <w:r>
              <w:rPr>
                <w:rFonts w:ascii="Arial" w:hAnsi="Arial"/>
                <w:sz w:val="15"/>
              </w:rPr>
              <w:t xml:space="preserve">10.5x</w:t>
            </w:r>
          </w:p>
        </w:tc>
        <w:tc>
          <w:tcPr>
            <w:tcW w:type="dxa" w:w="1211"/>
          </w:tcPr>
          <w:p>
            <w:pPr>
              <w:pStyle w:val="Compact"/>
              <w:spacing w:after="0" w:before="0" w:line="240" w:lineRule="auto"/>
              <w:jc w:val="right"/>
            </w:pPr>
            <w:r>
              <w:rPr>
                <w:rFonts w:ascii="Arial" w:hAnsi="Arial"/>
                <w:sz w:val="15"/>
              </w:rPr>
              <w:t xml:space="preserve">9.8x</w:t>
            </w:r>
          </w:p>
        </w:tc>
        <w:tc>
          <w:tcPr>
            <w:tcW w:type="dxa" w:w="994"/>
          </w:tcPr>
          <w:p>
            <w:pPr>
              <w:pStyle w:val="Compact"/>
              <w:spacing w:after="0" w:before="0" w:line="240" w:lineRule="auto"/>
              <w:jc w:val="right"/>
            </w:pPr>
            <w:r>
              <w:rPr>
                <w:rFonts w:ascii="Arial" w:hAnsi="Arial"/>
                <w:sz w:val="15"/>
              </w:rPr>
              <w:t xml:space="preserve">13.5x</w:t>
            </w:r>
          </w:p>
        </w:tc>
        <w:tc>
          <w:tcPr>
            <w:tcW w:type="dxa" w:w="718"/>
          </w:tcPr>
          <w:p>
            <w:pPr>
              <w:pStyle w:val="Compact"/>
              <w:spacing w:after="0" w:before="0" w:line="240" w:lineRule="auto"/>
              <w:jc w:val="right"/>
            </w:pPr>
            <w:r>
              <w:rPr>
                <w:rFonts w:ascii="Arial" w:hAnsi="Arial"/>
                <w:sz w:val="15"/>
              </w:rPr>
              <w:t xml:space="preserve">16.0x</w:t>
            </w:r>
          </w:p>
        </w:tc>
        <w:tc>
          <w:tcPr>
            <w:tcW w:type="dxa" w:w="809"/>
          </w:tcPr>
          <w:p>
            <w:pPr>
              <w:pStyle w:val="Compact"/>
              <w:spacing w:after="0" w:before="0" w:line="240" w:lineRule="auto"/>
              <w:jc w:val="right"/>
            </w:pPr>
            <w:r>
              <w:rPr>
                <w:rFonts w:ascii="Arial" w:hAnsi="Arial"/>
                <w:sz w:val="15"/>
              </w:rPr>
              <w:t xml:space="preserve">13.5x</w:t>
            </w:r>
          </w:p>
        </w:tc>
        <w:tc>
          <w:tcPr>
            <w:tcW w:type="dxa" w:w="706"/>
          </w:tcPr>
          <w:p>
            <w:pPr>
              <w:pStyle w:val="Compact"/>
              <w:spacing w:after="0" w:before="0" w:line="240" w:lineRule="auto"/>
              <w:jc w:val="right"/>
            </w:pPr>
            <w:r>
              <w:rPr>
                <w:rFonts w:ascii="Arial" w:hAnsi="Arial"/>
                <w:sz w:val="15"/>
              </w:rPr>
              <w:t xml:space="preserve">2.86x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Ambu</w:t>
            </w:r>
          </w:p>
        </w:tc>
        <w:tc>
          <w:tcPr>
            <w:tcW w:type="dxa" w:w="841"/>
            <w:shd w:val="clear" w:color="auto" w:fill="F1F2F5"/>
          </w:tcPr>
          <w:p>
            <w:pPr>
              <w:pStyle w:val="Compact"/>
              <w:spacing w:after="0" w:before="0" w:line="240" w:lineRule="auto"/>
              <w:jc w:val="left"/>
            </w:pPr>
            <w:r>
              <w:rPr>
                <w:rFonts w:ascii="Arial" w:hAnsi="Arial"/>
                <w:sz w:val="15"/>
              </w:rPr>
              <w:t xml:space="preserve">AMBU B DC</w:t>
            </w:r>
          </w:p>
        </w:tc>
        <w:tc>
          <w:tcPr>
            <w:tcW w:type="dxa" w:w="938"/>
            <w:shd w:val="clear" w:color="auto" w:fill="F1F2F5"/>
          </w:tcPr>
          <w:p>
            <w:pPr>
              <w:pStyle w:val="Compact"/>
              <w:spacing w:after="0" w:before="0" w:line="240" w:lineRule="auto"/>
              <w:jc w:val="right"/>
            </w:pPr>
            <w:r>
              <w:rPr>
                <w:rFonts w:ascii="Arial" w:hAnsi="Arial"/>
                <w:sz w:val="15"/>
              </w:rPr>
              <w:t xml:space="preserve">3,075</w:t>
            </w:r>
          </w:p>
        </w:tc>
        <w:tc>
          <w:tcPr>
            <w:tcW w:type="dxa" w:w="1092"/>
            <w:shd w:val="clear" w:color="auto" w:fill="F1F2F5"/>
          </w:tcPr>
          <w:p>
            <w:pPr>
              <w:pStyle w:val="Compact"/>
              <w:spacing w:after="0" w:before="0" w:line="240" w:lineRule="auto"/>
              <w:jc w:val="right"/>
            </w:pPr>
            <w:r>
              <w:rPr>
                <w:rFonts w:ascii="Arial" w:hAnsi="Arial"/>
                <w:sz w:val="15"/>
              </w:rPr>
              <w:t xml:space="preserve">3.26x</w:t>
            </w:r>
          </w:p>
        </w:tc>
        <w:tc>
          <w:tcPr>
            <w:tcW w:type="dxa" w:w="1185"/>
            <w:shd w:val="clear" w:color="auto" w:fill="F1F2F5"/>
          </w:tcPr>
          <w:p>
            <w:pPr>
              <w:pStyle w:val="Compact"/>
              <w:spacing w:after="0" w:before="0" w:line="240" w:lineRule="auto"/>
              <w:jc w:val="right"/>
            </w:pPr>
            <w:r>
              <w:rPr>
                <w:rFonts w:ascii="Arial" w:hAnsi="Arial"/>
                <w:sz w:val="15"/>
              </w:rPr>
              <w:t xml:space="preserve">21.7x</w:t>
            </w:r>
          </w:p>
        </w:tc>
        <w:tc>
          <w:tcPr>
            <w:tcW w:type="dxa" w:w="1211"/>
            <w:shd w:val="clear" w:color="auto" w:fill="F1F2F5"/>
          </w:tcPr>
          <w:p>
            <w:pPr>
              <w:pStyle w:val="Compact"/>
              <w:spacing w:after="0" w:before="0" w:line="240" w:lineRule="auto"/>
              <w:jc w:val="right"/>
            </w:pPr>
            <w:r>
              <w:rPr>
                <w:rFonts w:ascii="Arial" w:hAnsi="Arial"/>
                <w:sz w:val="15"/>
              </w:rPr>
              <w:t xml:space="preserve">12.8x</w:t>
            </w:r>
          </w:p>
        </w:tc>
        <w:tc>
          <w:tcPr>
            <w:tcW w:type="dxa" w:w="994"/>
            <w:shd w:val="clear" w:color="auto" w:fill="F1F2F5"/>
          </w:tcPr>
          <w:p>
            <w:pPr>
              <w:pStyle w:val="Compact"/>
              <w:spacing w:after="0" w:before="0" w:line="240" w:lineRule="auto"/>
              <w:jc w:val="right"/>
            </w:pPr>
            <w:r>
              <w:rPr>
                <w:rFonts w:ascii="Arial" w:hAnsi="Arial"/>
                <w:sz w:val="15"/>
              </w:rPr>
              <w:t xml:space="preserve">28.8x</w:t>
            </w:r>
          </w:p>
        </w:tc>
        <w:tc>
          <w:tcPr>
            <w:tcW w:type="dxa" w:w="718"/>
            <w:shd w:val="clear" w:color="auto" w:fill="F1F2F5"/>
          </w:tcPr>
          <w:p>
            <w:pPr>
              <w:pStyle w:val="Compact"/>
              <w:spacing w:after="0" w:before="0" w:line="240" w:lineRule="auto"/>
              <w:jc w:val="right"/>
            </w:pPr>
            <w:r>
              <w:rPr>
                <w:rFonts w:ascii="Arial" w:hAnsi="Arial"/>
                <w:sz w:val="15"/>
              </w:rPr>
              <w:t xml:space="preserve">40.8x</w:t>
            </w:r>
          </w:p>
        </w:tc>
        <w:tc>
          <w:tcPr>
            <w:tcW w:type="dxa" w:w="809"/>
            <w:shd w:val="clear" w:color="auto" w:fill="F1F2F5"/>
          </w:tcPr>
          <w:p>
            <w:pPr>
              <w:pStyle w:val="Compact"/>
              <w:spacing w:after="0" w:before="0" w:line="240" w:lineRule="auto"/>
              <w:jc w:val="right"/>
            </w:pPr>
            <w:r>
              <w:rPr>
                <w:rFonts w:ascii="Arial" w:hAnsi="Arial"/>
                <w:sz w:val="15"/>
              </w:rPr>
              <w:t xml:space="preserve">23.2x</w:t>
            </w:r>
          </w:p>
        </w:tc>
        <w:tc>
          <w:tcPr>
            <w:tcW w:type="dxa" w:w="706"/>
            <w:shd w:val="clear" w:color="auto" w:fill="F1F2F5"/>
          </w:tcPr>
          <w:p>
            <w:pPr>
              <w:pStyle w:val="Compact"/>
              <w:spacing w:after="0" w:before="0" w:line="240" w:lineRule="auto"/>
              <w:jc w:val="right"/>
            </w:pPr>
            <w:r>
              <w:rPr>
                <w:rFonts w:ascii="Arial" w:hAnsi="Arial"/>
                <w:sz w:val="15"/>
              </w:rPr>
              <w:t xml:space="preserve">3.36x</w:t>
            </w:r>
          </w:p>
        </w:tc>
      </w:tr>
      <w:tr>
        <w:trPr>
          <w:cantSplit/>
        </w:trPr>
        <w:tc>
          <w:tcPr>
            <w:tcW w:type="dxa" w:w="1485"/>
          </w:tcPr>
          <w:p>
            <w:pPr>
              <w:pStyle w:val="Compact"/>
              <w:spacing w:after="0" w:before="0" w:line="240" w:lineRule="auto"/>
              <w:jc w:val="left"/>
            </w:pPr>
            <w:r>
              <w:rPr>
                <w:rFonts w:ascii="Arial" w:hAnsi="Arial"/>
                <w:sz w:val="15"/>
              </w:rPr>
              <w:t xml:space="preserve">Smith &amp; Nephew</w:t>
            </w:r>
          </w:p>
        </w:tc>
        <w:tc>
          <w:tcPr>
            <w:tcW w:type="dxa" w:w="841"/>
          </w:tcPr>
          <w:p>
            <w:pPr>
              <w:pStyle w:val="Compact"/>
              <w:spacing w:after="0" w:before="0" w:line="240" w:lineRule="auto"/>
              <w:jc w:val="left"/>
            </w:pPr>
            <w:r>
              <w:rPr>
                <w:rFonts w:ascii="Arial" w:hAnsi="Arial"/>
                <w:sz w:val="15"/>
              </w:rPr>
              <w:t xml:space="preserve">SN. LN</w:t>
            </w:r>
          </w:p>
        </w:tc>
        <w:tc>
          <w:tcPr>
            <w:tcW w:type="dxa" w:w="938"/>
          </w:tcPr>
          <w:p>
            <w:pPr>
              <w:pStyle w:val="Compact"/>
              <w:spacing w:after="0" w:before="0" w:line="240" w:lineRule="auto"/>
              <w:jc w:val="right"/>
            </w:pPr>
            <w:r>
              <w:rPr>
                <w:rFonts w:ascii="Arial" w:hAnsi="Arial"/>
                <w:sz w:val="15"/>
              </w:rPr>
              <w:t xml:space="preserve">12,099</w:t>
            </w:r>
          </w:p>
        </w:tc>
        <w:tc>
          <w:tcPr>
            <w:tcW w:type="dxa" w:w="1092"/>
          </w:tcPr>
          <w:p>
            <w:pPr>
              <w:pStyle w:val="Compact"/>
              <w:spacing w:after="0" w:before="0" w:line="240" w:lineRule="auto"/>
              <w:jc w:val="right"/>
            </w:pPr>
            <w:r>
              <w:rPr>
                <w:rFonts w:ascii="Arial" w:hAnsi="Arial"/>
                <w:sz w:val="15"/>
              </w:rPr>
              <w:t xml:space="preserve">2.39x</w:t>
            </w:r>
          </w:p>
        </w:tc>
        <w:tc>
          <w:tcPr>
            <w:tcW w:type="dxa" w:w="1185"/>
          </w:tcPr>
          <w:p>
            <w:pPr>
              <w:pStyle w:val="Compact"/>
              <w:spacing w:after="0" w:before="0" w:line="240" w:lineRule="auto"/>
              <w:jc w:val="right"/>
            </w:pPr>
            <w:r>
              <w:rPr>
                <w:rFonts w:ascii="Arial" w:hAnsi="Arial"/>
                <w:sz w:val="15"/>
              </w:rPr>
              <w:t xml:space="preserve">9.7x</w:t>
            </w:r>
          </w:p>
        </w:tc>
        <w:tc>
          <w:tcPr>
            <w:tcW w:type="dxa" w:w="1211"/>
          </w:tcPr>
          <w:p>
            <w:pPr>
              <w:pStyle w:val="Compact"/>
              <w:spacing w:after="0" w:before="0" w:line="240" w:lineRule="auto"/>
              <w:jc w:val="right"/>
            </w:pPr>
            <w:r>
              <w:rPr>
                <w:rFonts w:ascii="Arial" w:hAnsi="Arial"/>
                <w:sz w:val="15"/>
              </w:rPr>
              <w:t xml:space="preserve">8.8x</w:t>
            </w:r>
          </w:p>
        </w:tc>
        <w:tc>
          <w:tcPr>
            <w:tcW w:type="dxa" w:w="994"/>
          </w:tcPr>
          <w:p>
            <w:pPr>
              <w:pStyle w:val="Compact"/>
              <w:spacing w:after="0" w:before="0" w:line="240" w:lineRule="auto"/>
              <w:jc w:val="right"/>
            </w:pPr>
            <w:r>
              <w:rPr>
                <w:rFonts w:ascii="Arial" w:hAnsi="Arial"/>
                <w:sz w:val="15"/>
              </w:rPr>
              <w:t xml:space="preserve">14.8x</w:t>
            </w:r>
          </w:p>
        </w:tc>
        <w:tc>
          <w:tcPr>
            <w:tcW w:type="dxa" w:w="718"/>
          </w:tcPr>
          <w:p>
            <w:pPr>
              <w:pStyle w:val="Compact"/>
              <w:spacing w:after="0" w:before="0" w:line="240" w:lineRule="auto"/>
              <w:jc w:val="right"/>
            </w:pPr>
            <w:r>
              <w:rPr>
                <w:rFonts w:ascii="Arial" w:hAnsi="Arial"/>
                <w:sz w:val="15"/>
              </w:rPr>
              <w:t xml:space="preserve">19.5x</w:t>
            </w:r>
          </w:p>
        </w:tc>
        <w:tc>
          <w:tcPr>
            <w:tcW w:type="dxa" w:w="809"/>
          </w:tcPr>
          <w:p>
            <w:pPr>
              <w:pStyle w:val="Compact"/>
              <w:spacing w:after="0" w:before="0" w:line="240" w:lineRule="auto"/>
              <w:jc w:val="right"/>
            </w:pPr>
            <w:r>
              <w:rPr>
                <w:rFonts w:ascii="Arial" w:hAnsi="Arial"/>
                <w:sz w:val="15"/>
              </w:rPr>
              <w:t xml:space="preserve">12.6x</w:t>
            </w:r>
          </w:p>
        </w:tc>
        <w:tc>
          <w:tcPr>
            <w:tcW w:type="dxa" w:w="706"/>
          </w:tcPr>
          <w:p>
            <w:pPr>
              <w:pStyle w:val="Compact"/>
              <w:spacing w:after="0" w:before="0" w:line="240" w:lineRule="auto"/>
              <w:jc w:val="right"/>
            </w:pPr>
            <w:r>
              <w:rPr>
                <w:rFonts w:ascii="Arial" w:hAnsi="Arial"/>
                <w:sz w:val="15"/>
              </w:rPr>
              <w:t xml:space="preserve">2.36x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Siemens Healthineers</w:t>
            </w:r>
          </w:p>
        </w:tc>
        <w:tc>
          <w:tcPr>
            <w:tcW w:type="dxa" w:w="841"/>
            <w:shd w:val="clear" w:color="auto" w:fill="F1F2F5"/>
          </w:tcPr>
          <w:p>
            <w:pPr>
              <w:pStyle w:val="Compact"/>
              <w:spacing w:after="0" w:before="0" w:line="240" w:lineRule="auto"/>
              <w:jc w:val="left"/>
            </w:pPr>
            <w:r>
              <w:rPr>
                <w:rFonts w:ascii="Arial" w:hAnsi="Arial"/>
                <w:sz w:val="15"/>
              </w:rPr>
              <w:t xml:space="preserve">SHL GR</w:t>
            </w:r>
          </w:p>
        </w:tc>
        <w:tc>
          <w:tcPr>
            <w:tcW w:type="dxa" w:w="938"/>
            <w:shd w:val="clear" w:color="auto" w:fill="F1F2F5"/>
          </w:tcPr>
          <w:p>
            <w:pPr>
              <w:pStyle w:val="Compact"/>
              <w:spacing w:after="0" w:before="0" w:line="240" w:lineRule="auto"/>
              <w:jc w:val="right"/>
            </w:pPr>
            <w:r>
              <w:rPr>
                <w:rFonts w:ascii="Arial" w:hAnsi="Arial"/>
                <w:sz w:val="15"/>
              </w:rPr>
              <w:t xml:space="preserve">51,846</w:t>
            </w:r>
          </w:p>
        </w:tc>
        <w:tc>
          <w:tcPr>
            <w:tcW w:type="dxa" w:w="1092"/>
            <w:shd w:val="clear" w:color="auto" w:fill="F1F2F5"/>
          </w:tcPr>
          <w:p>
            <w:pPr>
              <w:pStyle w:val="Compact"/>
              <w:spacing w:after="0" w:before="0" w:line="240" w:lineRule="auto"/>
              <w:jc w:val="right"/>
            </w:pPr>
            <w:r>
              <w:rPr>
                <w:rFonts w:ascii="Arial" w:hAnsi="Arial"/>
                <w:sz w:val="15"/>
              </w:rPr>
              <w:t xml:space="preserve">2.54x</w:t>
            </w:r>
          </w:p>
        </w:tc>
        <w:tc>
          <w:tcPr>
            <w:tcW w:type="dxa" w:w="1185"/>
            <w:shd w:val="clear" w:color="auto" w:fill="F1F2F5"/>
          </w:tcPr>
          <w:p>
            <w:pPr>
              <w:pStyle w:val="Compact"/>
              <w:spacing w:after="0" w:before="0" w:line="240" w:lineRule="auto"/>
              <w:jc w:val="right"/>
            </w:pPr>
            <w:r>
              <w:rPr>
                <w:rFonts w:ascii="Arial" w:hAnsi="Arial"/>
                <w:sz w:val="15"/>
              </w:rPr>
              <w:t xml:space="preserve">13.9x</w:t>
            </w:r>
          </w:p>
        </w:tc>
        <w:tc>
          <w:tcPr>
            <w:tcW w:type="dxa" w:w="1211"/>
            <w:shd w:val="clear" w:color="auto" w:fill="F1F2F5"/>
          </w:tcPr>
          <w:p>
            <w:pPr>
              <w:pStyle w:val="Compact"/>
              <w:spacing w:after="0" w:before="0" w:line="240" w:lineRule="auto"/>
              <w:jc w:val="right"/>
            </w:pPr>
            <w:r>
              <w:rPr>
                <w:rFonts w:ascii="Arial" w:hAnsi="Arial"/>
                <w:sz w:val="15"/>
              </w:rPr>
              <w:t xml:space="preserve">12.3x</w:t>
            </w:r>
          </w:p>
        </w:tc>
        <w:tc>
          <w:tcPr>
            <w:tcW w:type="dxa" w:w="994"/>
            <w:shd w:val="clear" w:color="auto" w:fill="F1F2F5"/>
          </w:tcPr>
          <w:p>
            <w:pPr>
              <w:pStyle w:val="Compact"/>
              <w:spacing w:after="0" w:before="0" w:line="240" w:lineRule="auto"/>
              <w:jc w:val="right"/>
            </w:pPr>
            <w:r>
              <w:rPr>
                <w:rFonts w:ascii="Arial" w:hAnsi="Arial"/>
                <w:sz w:val="15"/>
              </w:rPr>
              <w:t xml:space="preserve">18.2x</w:t>
            </w:r>
          </w:p>
        </w:tc>
        <w:tc>
          <w:tcPr>
            <w:tcW w:type="dxa" w:w="718"/>
            <w:shd w:val="clear" w:color="auto" w:fill="F1F2F5"/>
          </w:tcPr>
          <w:p>
            <w:pPr>
              <w:pStyle w:val="Compact"/>
              <w:spacing w:after="0" w:before="0" w:line="240" w:lineRule="auto"/>
              <w:jc w:val="right"/>
            </w:pPr>
            <w:r>
              <w:rPr>
                <w:rFonts w:ascii="Arial" w:hAnsi="Arial"/>
                <w:sz w:val="15"/>
              </w:rPr>
              <w:t xml:space="preserve">21.0x</w:t>
            </w:r>
          </w:p>
        </w:tc>
        <w:tc>
          <w:tcPr>
            <w:tcW w:type="dxa" w:w="809"/>
            <w:shd w:val="clear" w:color="auto" w:fill="F1F2F5"/>
          </w:tcPr>
          <w:p>
            <w:pPr>
              <w:pStyle w:val="Compact"/>
              <w:spacing w:after="0" w:before="0" w:line="240" w:lineRule="auto"/>
              <w:jc w:val="right"/>
            </w:pPr>
            <w:r>
              <w:rPr>
                <w:rFonts w:ascii="Arial" w:hAnsi="Arial"/>
                <w:sz w:val="15"/>
              </w:rPr>
              <w:t xml:space="preserve">18.0x</w:t>
            </w:r>
          </w:p>
        </w:tc>
        <w:tc>
          <w:tcPr>
            <w:tcW w:type="dxa" w:w="706"/>
            <w:shd w:val="clear" w:color="auto" w:fill="F1F2F5"/>
          </w:tcPr>
          <w:p>
            <w:pPr>
              <w:pStyle w:val="Compact"/>
              <w:spacing w:after="0" w:before="0" w:line="240" w:lineRule="auto"/>
              <w:jc w:val="right"/>
            </w:pPr>
            <w:r>
              <w:rPr>
                <w:rFonts w:ascii="Arial" w:hAnsi="Arial"/>
                <w:sz w:val="15"/>
              </w:rPr>
              <w:t xml:space="preserve">2.42x</w:t>
            </w:r>
          </w:p>
        </w:tc>
      </w:tr>
      <w:tr>
        <w:trPr>
          <w:cantSplit/>
        </w:trPr>
        <w:tc>
          <w:tcPr>
            <w:tcW w:type="dxa" w:w="1485"/>
          </w:tcPr>
          <w:p>
            <w:pPr>
              <w:pStyle w:val="Compact"/>
              <w:spacing w:after="0" w:before="0" w:line="240" w:lineRule="auto"/>
              <w:jc w:val="left"/>
            </w:pPr>
            <w:r>
              <w:rPr>
                <w:rFonts w:ascii="Arial" w:hAnsi="Arial"/>
                <w:sz w:val="15"/>
              </w:rPr>
              <w:t xml:space="preserve">Philips</w:t>
            </w:r>
          </w:p>
        </w:tc>
        <w:tc>
          <w:tcPr>
            <w:tcW w:type="dxa" w:w="841"/>
          </w:tcPr>
          <w:p>
            <w:pPr>
              <w:pStyle w:val="Compact"/>
              <w:spacing w:after="0" w:before="0" w:line="240" w:lineRule="auto"/>
              <w:jc w:val="left"/>
            </w:pPr>
            <w:r>
              <w:rPr>
                <w:rFonts w:ascii="Arial" w:hAnsi="Arial"/>
                <w:sz w:val="15"/>
              </w:rPr>
              <w:t xml:space="preserve">PHIA NA</w:t>
            </w:r>
          </w:p>
        </w:tc>
        <w:tc>
          <w:tcPr>
            <w:tcW w:type="dxa" w:w="938"/>
          </w:tcPr>
          <w:p>
            <w:pPr>
              <w:pStyle w:val="Compact"/>
              <w:spacing w:after="0" w:before="0" w:line="240" w:lineRule="auto"/>
              <w:jc w:val="right"/>
            </w:pPr>
            <w:r>
              <w:rPr>
                <w:rFonts w:ascii="Arial" w:hAnsi="Arial"/>
                <w:sz w:val="15"/>
              </w:rPr>
              <w:t xml:space="preserve">25,438</w:t>
            </w:r>
          </w:p>
        </w:tc>
        <w:tc>
          <w:tcPr>
            <w:tcW w:type="dxa" w:w="1092"/>
          </w:tcPr>
          <w:p>
            <w:pPr>
              <w:pStyle w:val="Compact"/>
              <w:spacing w:after="0" w:before="0" w:line="240" w:lineRule="auto"/>
              <w:jc w:val="right"/>
            </w:pPr>
            <w:r>
              <w:rPr>
                <w:rFonts w:ascii="Arial" w:hAnsi="Arial"/>
                <w:sz w:val="15"/>
              </w:rPr>
              <w:t xml:space="preserve">1.60x</w:t>
            </w:r>
          </w:p>
        </w:tc>
        <w:tc>
          <w:tcPr>
            <w:tcW w:type="dxa" w:w="1185"/>
          </w:tcPr>
          <w:p>
            <w:pPr>
              <w:pStyle w:val="Compact"/>
              <w:spacing w:after="0" w:before="0" w:line="240" w:lineRule="auto"/>
              <w:jc w:val="right"/>
            </w:pPr>
            <w:r>
              <w:rPr>
                <w:rFonts w:ascii="Arial" w:hAnsi="Arial"/>
                <w:sz w:val="15"/>
              </w:rPr>
              <w:t xml:space="preserve">10.9x</w:t>
            </w:r>
          </w:p>
        </w:tc>
        <w:tc>
          <w:tcPr>
            <w:tcW w:type="dxa" w:w="1211"/>
          </w:tcPr>
          <w:p>
            <w:pPr>
              <w:pStyle w:val="Compact"/>
              <w:spacing w:after="0" w:before="0" w:line="240" w:lineRule="auto"/>
              <w:jc w:val="right"/>
            </w:pPr>
            <w:r>
              <w:rPr>
                <w:rFonts w:ascii="Arial" w:hAnsi="Arial"/>
                <w:sz w:val="15"/>
              </w:rPr>
              <w:t xml:space="preserve">8.6x</w:t>
            </w:r>
          </w:p>
        </w:tc>
        <w:tc>
          <w:tcPr>
            <w:tcW w:type="dxa" w:w="994"/>
          </w:tcPr>
          <w:p>
            <w:pPr>
              <w:pStyle w:val="Compact"/>
              <w:spacing w:after="0" w:before="0" w:line="240" w:lineRule="auto"/>
              <w:jc w:val="right"/>
            </w:pPr>
            <w:r>
              <w:rPr>
                <w:rFonts w:ascii="Arial" w:hAnsi="Arial"/>
                <w:sz w:val="15"/>
              </w:rPr>
              <w:t xml:space="preserve">16.5x</w:t>
            </w:r>
          </w:p>
        </w:tc>
        <w:tc>
          <w:tcPr>
            <w:tcW w:type="dxa" w:w="718"/>
          </w:tcPr>
          <w:p>
            <w:pPr>
              <w:pStyle w:val="Compact"/>
              <w:spacing w:after="0" w:before="0" w:line="240" w:lineRule="auto"/>
              <w:jc w:val="right"/>
            </w:pPr>
            <w:r>
              <w:rPr>
                <w:rFonts w:ascii="Arial" w:hAnsi="Arial"/>
                <w:sz w:val="15"/>
              </w:rPr>
              <w:t xml:space="preserve">20.3x</w:t>
            </w:r>
          </w:p>
        </w:tc>
        <w:tc>
          <w:tcPr>
            <w:tcW w:type="dxa" w:w="809"/>
          </w:tcPr>
          <w:p>
            <w:pPr>
              <w:pStyle w:val="Compact"/>
              <w:spacing w:after="0" w:before="0" w:line="240" w:lineRule="auto"/>
              <w:jc w:val="right"/>
            </w:pPr>
            <w:r>
              <w:rPr>
                <w:rFonts w:ascii="Arial" w:hAnsi="Arial"/>
                <w:sz w:val="15"/>
              </w:rPr>
              <w:t xml:space="preserve">14.2x</w:t>
            </w:r>
          </w:p>
        </w:tc>
        <w:tc>
          <w:tcPr>
            <w:tcW w:type="dxa" w:w="706"/>
          </w:tcPr>
          <w:p>
            <w:pPr>
              <w:pStyle w:val="Compact"/>
              <w:spacing w:after="0" w:before="0" w:line="240" w:lineRule="auto"/>
              <w:jc w:val="right"/>
            </w:pPr>
            <w:r>
              <w:rPr>
                <w:rFonts w:ascii="Arial" w:hAnsi="Arial"/>
                <w:sz w:val="15"/>
              </w:rPr>
              <w:t xml:space="preserve">1.98x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Coloplast</w:t>
            </w:r>
          </w:p>
        </w:tc>
        <w:tc>
          <w:tcPr>
            <w:tcW w:type="dxa" w:w="841"/>
            <w:shd w:val="clear" w:color="auto" w:fill="F1F2F5"/>
          </w:tcPr>
          <w:p>
            <w:pPr>
              <w:pStyle w:val="Compact"/>
              <w:spacing w:after="0" w:before="0" w:line="240" w:lineRule="auto"/>
              <w:jc w:val="left"/>
            </w:pPr>
            <w:r>
              <w:rPr>
                <w:rFonts w:ascii="Arial" w:hAnsi="Arial"/>
                <w:sz w:val="15"/>
              </w:rPr>
              <w:t xml:space="preserve">COLO B DC</w:t>
            </w:r>
          </w:p>
        </w:tc>
        <w:tc>
          <w:tcPr>
            <w:tcW w:type="dxa" w:w="938"/>
            <w:shd w:val="clear" w:color="auto" w:fill="F1F2F5"/>
          </w:tcPr>
          <w:p>
            <w:pPr>
              <w:pStyle w:val="Compact"/>
              <w:spacing w:after="0" w:before="0" w:line="240" w:lineRule="auto"/>
              <w:jc w:val="right"/>
            </w:pPr>
            <w:r>
              <w:rPr>
                <w:rFonts w:ascii="Arial" w:hAnsi="Arial"/>
                <w:sz w:val="15"/>
              </w:rPr>
              <w:t xml:space="preserve">15,985</w:t>
            </w:r>
          </w:p>
        </w:tc>
        <w:tc>
          <w:tcPr>
            <w:tcW w:type="dxa" w:w="1092"/>
            <w:shd w:val="clear" w:color="auto" w:fill="F1F2F5"/>
          </w:tcPr>
          <w:p>
            <w:pPr>
              <w:pStyle w:val="Compact"/>
              <w:spacing w:after="0" w:before="0" w:line="240" w:lineRule="auto"/>
              <w:jc w:val="right"/>
            </w:pPr>
            <w:r>
              <w:rPr>
                <w:rFonts w:ascii="Arial" w:hAnsi="Arial"/>
                <w:sz w:val="15"/>
              </w:rPr>
              <w:t xml:space="preserve">4.55x</w:t>
            </w:r>
          </w:p>
        </w:tc>
        <w:tc>
          <w:tcPr>
            <w:tcW w:type="dxa" w:w="1185"/>
            <w:shd w:val="clear" w:color="auto" w:fill="F1F2F5"/>
          </w:tcPr>
          <w:p>
            <w:pPr>
              <w:pStyle w:val="Compact"/>
              <w:spacing w:after="0" w:before="0" w:line="240" w:lineRule="auto"/>
              <w:jc w:val="right"/>
            </w:pPr>
            <w:r>
              <w:rPr>
                <w:rFonts w:ascii="Arial" w:hAnsi="Arial"/>
                <w:sz w:val="15"/>
              </w:rPr>
              <w:t xml:space="preserve">14.5x</w:t>
            </w:r>
          </w:p>
        </w:tc>
        <w:tc>
          <w:tcPr>
            <w:tcW w:type="dxa" w:w="1211"/>
            <w:shd w:val="clear" w:color="auto" w:fill="F1F2F5"/>
          </w:tcPr>
          <w:p>
            <w:pPr>
              <w:pStyle w:val="Compact"/>
              <w:spacing w:after="0" w:before="0" w:line="240" w:lineRule="auto"/>
              <w:jc w:val="right"/>
            </w:pPr>
            <w:r>
              <w:rPr>
                <w:rFonts w:ascii="Arial" w:hAnsi="Arial"/>
                <w:sz w:val="15"/>
              </w:rPr>
              <w:t xml:space="preserve">14.0x</w:t>
            </w:r>
          </w:p>
        </w:tc>
        <w:tc>
          <w:tcPr>
            <w:tcW w:type="dxa" w:w="994"/>
            <w:shd w:val="clear" w:color="auto" w:fill="F1F2F5"/>
          </w:tcPr>
          <w:p>
            <w:pPr>
              <w:pStyle w:val="Compact"/>
              <w:spacing w:after="0" w:before="0" w:line="240" w:lineRule="auto"/>
              <w:jc w:val="right"/>
            </w:pPr>
            <w:r>
              <w:rPr>
                <w:rFonts w:ascii="Arial" w:hAnsi="Arial"/>
                <w:sz w:val="15"/>
              </w:rPr>
              <w:t xml:space="preserve">16.9x</w:t>
            </w:r>
          </w:p>
        </w:tc>
        <w:tc>
          <w:tcPr>
            <w:tcW w:type="dxa" w:w="718"/>
            <w:shd w:val="clear" w:color="auto" w:fill="F1F2F5"/>
          </w:tcPr>
          <w:p>
            <w:pPr>
              <w:pStyle w:val="Compact"/>
              <w:spacing w:after="0" w:before="0" w:line="240" w:lineRule="auto"/>
              <w:jc w:val="right"/>
            </w:pPr>
            <w:r>
              <w:rPr>
                <w:rFonts w:ascii="Arial" w:hAnsi="Arial"/>
                <w:sz w:val="15"/>
              </w:rPr>
              <w:t xml:space="preserve">38.5x</w:t>
            </w:r>
          </w:p>
        </w:tc>
        <w:tc>
          <w:tcPr>
            <w:tcW w:type="dxa" w:w="809"/>
            <w:shd w:val="clear" w:color="auto" w:fill="F1F2F5"/>
          </w:tcPr>
          <w:p>
            <w:pPr>
              <w:pStyle w:val="Compact"/>
              <w:spacing w:after="0" w:before="0" w:line="240" w:lineRule="auto"/>
              <w:jc w:val="right"/>
            </w:pPr>
            <w:r>
              <w:rPr>
                <w:rFonts w:ascii="Arial" w:hAnsi="Arial"/>
                <w:sz w:val="15"/>
              </w:rPr>
              <w:t xml:space="preserve">19.3x</w:t>
            </w:r>
          </w:p>
        </w:tc>
        <w:tc>
          <w:tcPr>
            <w:tcW w:type="dxa" w:w="706"/>
            <w:shd w:val="clear" w:color="auto" w:fill="F1F2F5"/>
          </w:tcPr>
          <w:p>
            <w:pPr>
              <w:pStyle w:val="Compact"/>
              <w:spacing w:after="0" w:before="0" w:line="240" w:lineRule="auto"/>
              <w:jc w:val="right"/>
            </w:pPr>
            <w:r>
              <w:rPr>
                <w:rFonts w:ascii="Arial" w:hAnsi="Arial"/>
                <w:sz w:val="15"/>
              </w:rPr>
              <w:t xml:space="preserve">7.95x</w:t>
            </w:r>
          </w:p>
        </w:tc>
      </w:tr>
      <w:tr>
        <w:trPr>
          <w:cantSplit/>
        </w:trPr>
        <w:tc>
          <w:tcPr>
            <w:tcW w:type="dxa" w:w="1485"/>
          </w:tcPr>
          <w:p>
            <w:pPr>
              <w:pStyle w:val="Compact"/>
              <w:spacing w:after="0" w:before="0" w:line="240" w:lineRule="auto"/>
              <w:jc w:val="left"/>
            </w:pPr>
            <w:r>
              <w:rPr>
                <w:rFonts w:ascii="Arial" w:hAnsi="Arial"/>
                <w:sz w:val="15"/>
              </w:rPr>
              <w:t xml:space="preserve">Getinge</w:t>
            </w:r>
          </w:p>
        </w:tc>
        <w:tc>
          <w:tcPr>
            <w:tcW w:type="dxa" w:w="841"/>
          </w:tcPr>
          <w:p>
            <w:pPr>
              <w:pStyle w:val="Compact"/>
              <w:spacing w:after="0" w:before="0" w:line="240" w:lineRule="auto"/>
              <w:jc w:val="left"/>
            </w:pPr>
            <w:r>
              <w:rPr>
                <w:rFonts w:ascii="Arial" w:hAnsi="Arial"/>
                <w:sz w:val="15"/>
              </w:rPr>
              <w:t xml:space="preserve">GETI B SS</w:t>
            </w:r>
          </w:p>
        </w:tc>
        <w:tc>
          <w:tcPr>
            <w:tcW w:type="dxa" w:w="938"/>
          </w:tcPr>
          <w:p>
            <w:pPr>
              <w:pStyle w:val="Compact"/>
              <w:spacing w:after="0" w:before="0" w:line="240" w:lineRule="auto"/>
              <w:jc w:val="right"/>
            </w:pPr>
            <w:r>
              <w:rPr>
                <w:rFonts w:ascii="Arial" w:hAnsi="Arial"/>
                <w:sz w:val="15"/>
              </w:rPr>
              <w:t xml:space="preserve">7,186</w:t>
            </w:r>
          </w:p>
        </w:tc>
        <w:tc>
          <w:tcPr>
            <w:tcW w:type="dxa" w:w="1092"/>
          </w:tcPr>
          <w:p>
            <w:pPr>
              <w:pStyle w:val="Compact"/>
              <w:spacing w:after="0" w:before="0" w:line="240" w:lineRule="auto"/>
              <w:jc w:val="right"/>
            </w:pPr>
            <w:r>
              <w:rPr>
                <w:rFonts w:ascii="Arial" w:hAnsi="Arial"/>
                <w:sz w:val="15"/>
              </w:rPr>
              <w:t xml:space="preserve">2.35x</w:t>
            </w:r>
          </w:p>
        </w:tc>
        <w:tc>
          <w:tcPr>
            <w:tcW w:type="dxa" w:w="1185"/>
          </w:tcPr>
          <w:p>
            <w:pPr>
              <w:pStyle w:val="Compact"/>
              <w:spacing w:after="0" w:before="0" w:line="240" w:lineRule="auto"/>
              <w:jc w:val="right"/>
            </w:pPr>
            <w:r>
              <w:rPr>
                <w:rFonts w:ascii="Arial" w:hAnsi="Arial"/>
                <w:sz w:val="15"/>
              </w:rPr>
              <w:t xml:space="preserve">12.5x</w:t>
            </w:r>
          </w:p>
        </w:tc>
        <w:tc>
          <w:tcPr>
            <w:tcW w:type="dxa" w:w="1211"/>
          </w:tcPr>
          <w:p>
            <w:pPr>
              <w:pStyle w:val="Compact"/>
              <w:spacing w:after="0" w:before="0" w:line="240" w:lineRule="auto"/>
              <w:jc w:val="right"/>
            </w:pPr>
            <w:r>
              <w:rPr>
                <w:rFonts w:ascii="Arial" w:hAnsi="Arial"/>
                <w:sz w:val="15"/>
              </w:rPr>
              <w:t xml:space="preserve">10.7x</w:t>
            </w:r>
          </w:p>
        </w:tc>
        <w:tc>
          <w:tcPr>
            <w:tcW w:type="dxa" w:w="994"/>
          </w:tcPr>
          <w:p>
            <w:pPr>
              <w:pStyle w:val="Compact"/>
              <w:spacing w:after="0" w:before="0" w:line="240" w:lineRule="auto"/>
              <w:jc w:val="right"/>
            </w:pPr>
            <w:r>
              <w:rPr>
                <w:rFonts w:ascii="Arial" w:hAnsi="Arial"/>
                <w:sz w:val="15"/>
              </w:rPr>
              <w:t xml:space="preserve">16.8x</w:t>
            </w:r>
          </w:p>
        </w:tc>
        <w:tc>
          <w:tcPr>
            <w:tcW w:type="dxa" w:w="718"/>
          </w:tcPr>
          <w:p>
            <w:pPr>
              <w:pStyle w:val="Compact"/>
              <w:spacing w:after="0" w:before="0" w:line="240" w:lineRule="auto"/>
              <w:jc w:val="right"/>
            </w:pPr>
            <w:r>
              <w:rPr>
                <w:rFonts w:ascii="Arial" w:hAnsi="Arial"/>
                <w:sz w:val="15"/>
              </w:rPr>
              <w:t xml:space="preserve">26.6x</w:t>
            </w:r>
          </w:p>
        </w:tc>
        <w:tc>
          <w:tcPr>
            <w:tcW w:type="dxa" w:w="809"/>
          </w:tcPr>
          <w:p>
            <w:pPr>
              <w:pStyle w:val="Compact"/>
              <w:spacing w:after="0" w:before="0" w:line="240" w:lineRule="auto"/>
              <w:jc w:val="right"/>
            </w:pPr>
            <w:r>
              <w:rPr>
                <w:rFonts w:ascii="Arial" w:hAnsi="Arial"/>
                <w:sz w:val="15"/>
              </w:rPr>
              <w:t xml:space="preserve">21.0x</w:t>
            </w:r>
          </w:p>
        </w:tc>
        <w:tc>
          <w:tcPr>
            <w:tcW w:type="dxa" w:w="706"/>
          </w:tcPr>
          <w:p>
            <w:pPr>
              <w:pStyle w:val="Compact"/>
              <w:spacing w:after="0" w:before="0" w:line="240" w:lineRule="auto"/>
              <w:jc w:val="right"/>
            </w:pPr>
            <w:r>
              <w:rPr>
                <w:rFonts w:ascii="Arial" w:hAnsi="Arial"/>
                <w:sz w:val="15"/>
              </w:rPr>
              <w:t xml:space="preserve">2.30x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Carl Zeiss Meditec</w:t>
            </w:r>
          </w:p>
        </w:tc>
        <w:tc>
          <w:tcPr>
            <w:tcW w:type="dxa" w:w="841"/>
            <w:shd w:val="clear" w:color="auto" w:fill="F1F2F5"/>
          </w:tcPr>
          <w:p>
            <w:pPr>
              <w:pStyle w:val="Compact"/>
              <w:spacing w:after="0" w:before="0" w:line="240" w:lineRule="auto"/>
              <w:jc w:val="left"/>
            </w:pPr>
            <w:r>
              <w:rPr>
                <w:rFonts w:ascii="Arial" w:hAnsi="Arial"/>
                <w:sz w:val="15"/>
              </w:rPr>
              <w:t xml:space="preserve">AFX GR</w:t>
            </w:r>
          </w:p>
        </w:tc>
        <w:tc>
          <w:tcPr>
            <w:tcW w:type="dxa" w:w="938"/>
            <w:shd w:val="clear" w:color="auto" w:fill="F1F2F5"/>
          </w:tcPr>
          <w:p>
            <w:pPr>
              <w:pStyle w:val="Compact"/>
              <w:spacing w:after="0" w:before="0" w:line="240" w:lineRule="auto"/>
              <w:jc w:val="right"/>
            </w:pPr>
            <w:r>
              <w:rPr>
                <w:rFonts w:ascii="Arial" w:hAnsi="Arial"/>
                <w:sz w:val="15"/>
              </w:rPr>
              <w:t xml:space="preserve">3,222</w:t>
            </w:r>
          </w:p>
        </w:tc>
        <w:tc>
          <w:tcPr>
            <w:tcW w:type="dxa" w:w="1092"/>
            <w:shd w:val="clear" w:color="auto" w:fill="F1F2F5"/>
          </w:tcPr>
          <w:p>
            <w:pPr>
              <w:pStyle w:val="Compact"/>
              <w:spacing w:after="0" w:before="0" w:line="240" w:lineRule="auto"/>
              <w:jc w:val="right"/>
            </w:pPr>
            <w:r>
              <w:rPr>
                <w:rFonts w:ascii="Arial" w:hAnsi="Arial"/>
                <w:sz w:val="15"/>
              </w:rPr>
              <w:t xml:space="preserve">1.57x</w:t>
            </w:r>
          </w:p>
        </w:tc>
        <w:tc>
          <w:tcPr>
            <w:tcW w:type="dxa" w:w="1185"/>
            <w:shd w:val="clear" w:color="auto" w:fill="F1F2F5"/>
          </w:tcPr>
          <w:p>
            <w:pPr>
              <w:pStyle w:val="Compact"/>
              <w:spacing w:after="0" w:before="0" w:line="240" w:lineRule="auto"/>
              <w:jc w:val="right"/>
            </w:pPr>
            <w:r>
              <w:rPr>
                <w:rFonts w:ascii="Arial" w:hAnsi="Arial"/>
                <w:sz w:val="15"/>
              </w:rPr>
              <w:t xml:space="preserve">14.1x</w:t>
            </w:r>
          </w:p>
        </w:tc>
        <w:tc>
          <w:tcPr>
            <w:tcW w:type="dxa" w:w="1211"/>
            <w:shd w:val="clear" w:color="auto" w:fill="F1F2F5"/>
          </w:tcPr>
          <w:p>
            <w:pPr>
              <w:pStyle w:val="Compact"/>
              <w:spacing w:after="0" w:before="0" w:line="240" w:lineRule="auto"/>
              <w:jc w:val="right"/>
            </w:pPr>
            <w:r>
              <w:rPr>
                <w:rFonts w:ascii="Arial" w:hAnsi="Arial"/>
                <w:sz w:val="15"/>
              </w:rPr>
              <w:t xml:space="preserve">11.6x</w:t>
            </w:r>
          </w:p>
        </w:tc>
        <w:tc>
          <w:tcPr>
            <w:tcW w:type="dxa" w:w="994"/>
            <w:shd w:val="clear" w:color="auto" w:fill="F1F2F5"/>
          </w:tcPr>
          <w:p>
            <w:pPr>
              <w:pStyle w:val="Compact"/>
              <w:spacing w:after="0" w:before="0" w:line="240" w:lineRule="auto"/>
              <w:jc w:val="right"/>
            </w:pPr>
            <w:r>
              <w:rPr>
                <w:rFonts w:ascii="Arial" w:hAnsi="Arial"/>
                <w:sz w:val="15"/>
              </w:rPr>
              <w:t xml:space="preserve">21.7x</w:t>
            </w:r>
          </w:p>
        </w:tc>
        <w:tc>
          <w:tcPr>
            <w:tcW w:type="dxa" w:w="718"/>
            <w:shd w:val="clear" w:color="auto" w:fill="F1F2F5"/>
          </w:tcPr>
          <w:p>
            <w:pPr>
              <w:pStyle w:val="Compact"/>
              <w:spacing w:after="0" w:before="0" w:line="240" w:lineRule="auto"/>
              <w:jc w:val="right"/>
            </w:pPr>
            <w:r>
              <w:rPr>
                <w:rFonts w:ascii="Arial" w:hAnsi="Arial"/>
                <w:sz w:val="15"/>
              </w:rPr>
              <w:t xml:space="preserve">23.5x</w:t>
            </w:r>
          </w:p>
        </w:tc>
        <w:tc>
          <w:tcPr>
            <w:tcW w:type="dxa" w:w="809"/>
            <w:shd w:val="clear" w:color="auto" w:fill="F1F2F5"/>
          </w:tcPr>
          <w:p>
            <w:pPr>
              <w:pStyle w:val="Compact"/>
              <w:spacing w:after="0" w:before="0" w:line="240" w:lineRule="auto"/>
              <w:jc w:val="right"/>
            </w:pPr>
            <w:r>
              <w:rPr>
                <w:rFonts w:ascii="Arial" w:hAnsi="Arial"/>
                <w:sz w:val="15"/>
              </w:rPr>
              <w:t xml:space="preserve">23.0x</w:t>
            </w:r>
          </w:p>
        </w:tc>
        <w:tc>
          <w:tcPr>
            <w:tcW w:type="dxa" w:w="706"/>
            <w:shd w:val="clear" w:color="auto" w:fill="F1F2F5"/>
          </w:tcPr>
          <w:p>
            <w:pPr>
              <w:pStyle w:val="Compact"/>
              <w:spacing w:after="0" w:before="0" w:line="240" w:lineRule="auto"/>
              <w:jc w:val="right"/>
            </w:pPr>
            <w:r>
              <w:rPr>
                <w:rFonts w:ascii="Arial" w:hAnsi="Arial"/>
                <w:sz w:val="15"/>
              </w:rPr>
              <w:t xml:space="preserve">1.37x</w:t>
            </w:r>
          </w:p>
        </w:tc>
      </w:tr>
      <w:tr>
        <w:trPr>
          <w:cantSplit/>
        </w:trPr>
        <w:tc>
          <w:tcPr>
            <w:tcW w:type="dxa" w:w="1485"/>
          </w:tcPr>
          <w:p>
            <w:pPr>
              <w:pStyle w:val="Compact"/>
              <w:spacing w:after="0" w:before="0" w:line="240" w:lineRule="auto"/>
              <w:jc w:val="left"/>
            </w:pPr>
            <w:r>
              <w:rPr>
                <w:rFonts w:ascii="Arial" w:hAnsi="Arial"/>
                <w:sz w:val="15"/>
              </w:rPr>
              <w:t xml:space="preserve">Demant</w:t>
            </w:r>
          </w:p>
        </w:tc>
        <w:tc>
          <w:tcPr>
            <w:tcW w:type="dxa" w:w="841"/>
          </w:tcPr>
          <w:p>
            <w:pPr>
              <w:pStyle w:val="Compact"/>
              <w:spacing w:after="0" w:before="0" w:line="240" w:lineRule="auto"/>
              <w:jc w:val="left"/>
            </w:pPr>
            <w:r>
              <w:rPr>
                <w:rFonts w:ascii="Arial" w:hAnsi="Arial"/>
                <w:sz w:val="15"/>
              </w:rPr>
              <w:t xml:space="preserve">DEMANT DC</w:t>
            </w:r>
          </w:p>
        </w:tc>
        <w:tc>
          <w:tcPr>
            <w:tcW w:type="dxa" w:w="938"/>
          </w:tcPr>
          <w:p>
            <w:pPr>
              <w:pStyle w:val="Compact"/>
              <w:spacing w:after="0" w:before="0" w:line="240" w:lineRule="auto"/>
              <w:jc w:val="right"/>
            </w:pPr>
            <w:r>
              <w:rPr>
                <w:rFonts w:ascii="Arial" w:hAnsi="Arial"/>
                <w:sz w:val="15"/>
              </w:rPr>
              <w:t xml:space="preserve">11,376</w:t>
            </w:r>
          </w:p>
        </w:tc>
        <w:tc>
          <w:tcPr>
            <w:tcW w:type="dxa" w:w="1092"/>
          </w:tcPr>
          <w:p>
            <w:pPr>
              <w:pStyle w:val="Compact"/>
              <w:spacing w:after="0" w:before="0" w:line="240" w:lineRule="auto"/>
              <w:jc w:val="right"/>
            </w:pPr>
            <w:r>
              <w:rPr>
                <w:rFonts w:ascii="Arial" w:hAnsi="Arial"/>
                <w:sz w:val="15"/>
              </w:rPr>
              <w:t xml:space="preserve">3.84x</w:t>
            </w:r>
          </w:p>
        </w:tc>
        <w:tc>
          <w:tcPr>
            <w:tcW w:type="dxa" w:w="1185"/>
          </w:tcPr>
          <w:p>
            <w:pPr>
              <w:pStyle w:val="Compact"/>
              <w:spacing w:after="0" w:before="0" w:line="240" w:lineRule="auto"/>
              <w:jc w:val="right"/>
            </w:pPr>
            <w:r>
              <w:rPr>
                <w:rFonts w:ascii="Arial" w:hAnsi="Arial"/>
                <w:sz w:val="15"/>
              </w:rPr>
              <w:t xml:space="preserve">16.3x</w:t>
            </w:r>
          </w:p>
        </w:tc>
        <w:tc>
          <w:tcPr>
            <w:tcW w:type="dxa" w:w="1211"/>
          </w:tcPr>
          <w:p>
            <w:pPr>
              <w:pStyle w:val="Compact"/>
              <w:spacing w:after="0" w:before="0" w:line="240" w:lineRule="auto"/>
              <w:jc w:val="right"/>
            </w:pPr>
            <w:r>
              <w:rPr>
                <w:rFonts w:ascii="Arial" w:hAnsi="Arial"/>
                <w:sz w:val="15"/>
              </w:rPr>
              <w:t xml:space="preserve">14.1x</w:t>
            </w:r>
          </w:p>
        </w:tc>
        <w:tc>
          <w:tcPr>
            <w:tcW w:type="dxa" w:w="994"/>
          </w:tcPr>
          <w:p>
            <w:pPr>
              <w:pStyle w:val="Compact"/>
              <w:spacing w:after="0" w:before="0" w:line="240" w:lineRule="auto"/>
              <w:jc w:val="right"/>
            </w:pPr>
            <w:r>
              <w:rPr>
                <w:rFonts w:ascii="Arial" w:hAnsi="Arial"/>
                <w:sz w:val="15"/>
              </w:rPr>
              <w:t xml:space="preserve">22.1x</w:t>
            </w:r>
          </w:p>
        </w:tc>
        <w:tc>
          <w:tcPr>
            <w:tcW w:type="dxa" w:w="718"/>
          </w:tcPr>
          <w:p>
            <w:pPr>
              <w:pStyle w:val="Compact"/>
              <w:spacing w:after="0" w:before="0" w:line="240" w:lineRule="auto"/>
              <w:jc w:val="right"/>
            </w:pPr>
            <w:r>
              <w:rPr>
                <w:rFonts w:ascii="Arial" w:hAnsi="Arial"/>
                <w:sz w:val="15"/>
              </w:rPr>
              <w:t xml:space="preserve">31.3x</w:t>
            </w:r>
          </w:p>
        </w:tc>
        <w:tc>
          <w:tcPr>
            <w:tcW w:type="dxa" w:w="809"/>
          </w:tcPr>
          <w:p>
            <w:pPr>
              <w:pStyle w:val="Compact"/>
              <w:spacing w:after="0" w:before="0" w:line="240" w:lineRule="auto"/>
              <w:jc w:val="right"/>
            </w:pPr>
            <w:r>
              <w:rPr>
                <w:rFonts w:ascii="Arial" w:hAnsi="Arial"/>
                <w:sz w:val="15"/>
              </w:rPr>
              <w:t xml:space="preserve">22.9x</w:t>
            </w:r>
          </w:p>
        </w:tc>
        <w:tc>
          <w:tcPr>
            <w:tcW w:type="dxa" w:w="706"/>
          </w:tcPr>
          <w:p>
            <w:pPr>
              <w:pStyle w:val="Compact"/>
              <w:spacing w:after="0" w:before="0" w:line="240" w:lineRule="auto"/>
              <w:jc w:val="right"/>
            </w:pPr>
            <w:r>
              <w:rPr>
                <w:rFonts w:ascii="Arial" w:hAnsi="Arial"/>
                <w:sz w:val="15"/>
              </w:rPr>
              <w:t xml:space="preserve">6.74x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SonoScape Medical</w:t>
            </w:r>
          </w:p>
        </w:tc>
        <w:tc>
          <w:tcPr>
            <w:tcW w:type="dxa" w:w="841"/>
            <w:shd w:val="clear" w:color="auto" w:fill="F1F2F5"/>
          </w:tcPr>
          <w:p>
            <w:pPr>
              <w:pStyle w:val="Compact"/>
              <w:spacing w:after="0" w:before="0" w:line="240" w:lineRule="auto"/>
              <w:jc w:val="left"/>
            </w:pPr>
            <w:r>
              <w:rPr>
                <w:rFonts w:ascii="Arial" w:hAnsi="Arial"/>
                <w:sz w:val="15"/>
              </w:rPr>
              <w:t xml:space="preserve">300633 CH</w:t>
            </w:r>
          </w:p>
        </w:tc>
        <w:tc>
          <w:tcPr>
            <w:tcW w:type="dxa" w:w="938"/>
            <w:shd w:val="clear" w:color="auto" w:fill="F1F2F5"/>
          </w:tcPr>
          <w:p>
            <w:pPr>
              <w:pStyle w:val="Compact"/>
              <w:spacing w:after="0" w:before="0" w:line="240" w:lineRule="auto"/>
              <w:jc w:val="right"/>
            </w:pPr>
            <w:r>
              <w:rPr>
                <w:rFonts w:ascii="Arial" w:hAnsi="Arial"/>
                <w:sz w:val="15"/>
              </w:rPr>
              <w:t xml:space="preserve">1,182</w:t>
            </w:r>
          </w:p>
        </w:tc>
        <w:tc>
          <w:tcPr>
            <w:tcW w:type="dxa" w:w="1092"/>
            <w:shd w:val="clear" w:color="auto" w:fill="F1F2F5"/>
          </w:tcPr>
          <w:p>
            <w:pPr>
              <w:pStyle w:val="Compact"/>
              <w:spacing w:after="0" w:before="0" w:line="240" w:lineRule="auto"/>
              <w:jc w:val="right"/>
            </w:pPr>
            <w:r>
              <w:rPr>
                <w:rFonts w:ascii="Arial" w:hAnsi="Arial"/>
                <w:sz w:val="15"/>
              </w:rPr>
              <w:t xml:space="preserve">2.97x</w:t>
            </w:r>
          </w:p>
        </w:tc>
        <w:tc>
          <w:tcPr>
            <w:tcW w:type="dxa" w:w="1185"/>
            <w:shd w:val="clear" w:color="auto" w:fill="F1F2F5"/>
          </w:tcPr>
          <w:p>
            <w:pPr>
              <w:pStyle w:val="Compact"/>
              <w:spacing w:after="0" w:before="0" w:line="240" w:lineRule="auto"/>
              <w:jc w:val="right"/>
            </w:pPr>
            <w:r>
              <w:rPr>
                <w:rFonts w:ascii="Arial" w:hAnsi="Arial"/>
                <w:sz w:val="15"/>
              </w:rPr>
              <w:t xml:space="preserve">30.1x</w:t>
            </w:r>
          </w:p>
        </w:tc>
        <w:tc>
          <w:tcPr>
            <w:tcW w:type="dxa" w:w="1211"/>
            <w:shd w:val="clear" w:color="auto" w:fill="F1F2F5"/>
          </w:tcPr>
          <w:p>
            <w:pPr>
              <w:pStyle w:val="Compact"/>
              <w:spacing w:after="0" w:before="0" w:line="240" w:lineRule="auto"/>
              <w:jc w:val="right"/>
            </w:pPr>
            <w:r>
              <w:rPr>
                <w:rFonts w:ascii="Arial" w:hAnsi="Arial"/>
                <w:sz w:val="15"/>
              </w:rPr>
              <w:t xml:space="preserve">19.3x</w:t>
            </w:r>
          </w:p>
        </w:tc>
        <w:tc>
          <w:tcPr>
            <w:tcW w:type="dxa" w:w="994"/>
            <w:shd w:val="clear" w:color="auto" w:fill="F1F2F5"/>
          </w:tcPr>
          <w:p>
            <w:pPr>
              <w:pStyle w:val="Compact"/>
              <w:spacing w:after="0" w:before="0" w:line="240" w:lineRule="auto"/>
              <w:jc w:val="right"/>
            </w:pPr>
            <w:r>
              <w:rPr>
                <w:rFonts w:ascii="Arial" w:hAnsi="Arial"/>
                <w:sz w:val="15"/>
              </w:rPr>
              <w:t xml:space="preserve">53.2x</w:t>
            </w:r>
          </w:p>
        </w:tc>
        <w:tc>
          <w:tcPr>
            <w:tcW w:type="dxa" w:w="718"/>
            <w:shd w:val="clear" w:color="auto" w:fill="F1F2F5"/>
          </w:tcPr>
          <w:p>
            <w:pPr>
              <w:pStyle w:val="Compact"/>
              <w:spacing w:after="0" w:before="0" w:line="240" w:lineRule="auto"/>
              <w:jc w:val="right"/>
            </w:pPr>
            <w:r>
              <w:rPr>
                <w:rFonts w:ascii="Arial" w:hAnsi="Arial"/>
                <w:sz w:val="15"/>
              </w:rPr>
              <w:t xml:space="preserve">49.0x</w:t>
            </w:r>
          </w:p>
        </w:tc>
        <w:tc>
          <w:tcPr>
            <w:tcW w:type="dxa" w:w="809"/>
            <w:shd w:val="clear" w:color="auto" w:fill="F1F2F5"/>
          </w:tcPr>
          <w:p>
            <w:pPr>
              <w:pStyle w:val="Compact"/>
              <w:spacing w:after="0" w:before="0" w:line="240" w:lineRule="auto"/>
              <w:jc w:val="right"/>
            </w:pPr>
            <w:r>
              <w:rPr>
                <w:rFonts w:ascii="Arial" w:hAnsi="Arial"/>
                <w:sz w:val="15"/>
              </w:rPr>
              <w:t xml:space="preserve">27.0x</w:t>
            </w:r>
          </w:p>
        </w:tc>
        <w:tc>
          <w:tcPr>
            <w:tcW w:type="dxa" w:w="706"/>
            <w:shd w:val="clear" w:color="auto" w:fill="F1F2F5"/>
          </w:tcPr>
          <w:p>
            <w:pPr>
              <w:pStyle w:val="Compact"/>
              <w:spacing w:after="0" w:before="0" w:line="240" w:lineRule="auto"/>
              <w:jc w:val="right"/>
            </w:pPr>
            <w:r>
              <w:rPr>
                <w:rFonts w:ascii="Arial" w:hAnsi="Arial"/>
                <w:sz w:val="15"/>
              </w:rPr>
              <w:t xml:space="preserve">2.62x</w:t>
            </w:r>
          </w:p>
        </w:tc>
      </w:tr>
      <w:tr>
        <w:trPr>
          <w:cantSplit/>
        </w:trPr>
        <w:tc>
          <w:tcPr>
            <w:tcW w:type="dxa" w:w="1485"/>
          </w:tcPr>
          <w:p>
            <w:pPr>
              <w:pStyle w:val="Compact"/>
              <w:spacing w:after="0" w:before="0" w:line="240" w:lineRule="auto"/>
              <w:jc w:val="left"/>
            </w:pPr>
            <w:r>
              <w:rPr>
                <w:rFonts w:ascii="Arial" w:hAnsi="Arial"/>
                <w:sz w:val="15"/>
              </w:rPr>
              <w:t xml:space="preserve">Shanghai Aohua</w:t>
            </w:r>
          </w:p>
        </w:tc>
        <w:tc>
          <w:tcPr>
            <w:tcW w:type="dxa" w:w="841"/>
          </w:tcPr>
          <w:p>
            <w:pPr>
              <w:pStyle w:val="Compact"/>
              <w:spacing w:after="0" w:before="0" w:line="240" w:lineRule="auto"/>
              <w:jc w:val="left"/>
            </w:pPr>
            <w:r>
              <w:rPr>
                <w:rFonts w:ascii="Arial" w:hAnsi="Arial"/>
                <w:sz w:val="15"/>
              </w:rPr>
              <w:t xml:space="preserve">688212 CH</w:t>
            </w:r>
          </w:p>
        </w:tc>
        <w:tc>
          <w:tcPr>
            <w:tcW w:type="dxa" w:w="938"/>
          </w:tcPr>
          <w:p>
            <w:pPr>
              <w:pStyle w:val="Compact"/>
              <w:spacing w:after="0" w:before="0" w:line="240" w:lineRule="auto"/>
              <w:jc w:val="right"/>
            </w:pPr>
            <w:r>
              <w:rPr>
                <w:rFonts w:ascii="Arial" w:hAnsi="Arial"/>
                <w:sz w:val="15"/>
              </w:rPr>
              <w:t xml:space="preserve">497</w:t>
            </w:r>
          </w:p>
        </w:tc>
        <w:tc>
          <w:tcPr>
            <w:tcW w:type="dxa" w:w="1092"/>
          </w:tcPr>
          <w:p>
            <w:pPr>
              <w:pStyle w:val="Compact"/>
              <w:spacing w:after="0" w:before="0" w:line="240" w:lineRule="auto"/>
              <w:jc w:val="right"/>
            </w:pPr>
            <w:r>
              <w:rPr>
                <w:rFonts w:ascii="Arial" w:hAnsi="Arial"/>
                <w:sz w:val="15"/>
              </w:rPr>
              <w:t xml:space="preserve">4.28x</w:t>
            </w:r>
          </w:p>
        </w:tc>
        <w:tc>
          <w:tcPr>
            <w:tcW w:type="dxa" w:w="1185"/>
          </w:tcPr>
          <w:p>
            <w:pPr>
              <w:pStyle w:val="Compact"/>
              <w:spacing w:after="0" w:before="0" w:line="240" w:lineRule="auto"/>
              <w:jc w:val="right"/>
            </w:pPr>
            <w:r>
              <w:rPr>
                <w:rFonts w:ascii="Arial" w:hAnsi="Arial"/>
                <w:sz w:val="15"/>
              </w:rPr>
              <w:t xml:space="preserve">n/m</w:t>
            </w:r>
          </w:p>
        </w:tc>
        <w:tc>
          <w:tcPr>
            <w:tcW w:type="dxa" w:w="1211"/>
          </w:tcPr>
          <w:p>
            <w:pPr>
              <w:pStyle w:val="Compact"/>
              <w:spacing w:after="0" w:before="0" w:line="240" w:lineRule="auto"/>
              <w:jc w:val="right"/>
            </w:pPr>
            <w:r>
              <w:rPr>
                <w:rFonts w:ascii="Arial" w:hAnsi="Arial"/>
                <w:sz w:val="15"/>
              </w:rPr>
              <w:t xml:space="preserve">28.5x</w:t>
            </w:r>
          </w:p>
        </w:tc>
        <w:tc>
          <w:tcPr>
            <w:tcW w:type="dxa" w:w="994"/>
          </w:tcPr>
          <w:p>
            <w:pPr>
              <w:pStyle w:val="Compact"/>
              <w:spacing w:after="0" w:before="0" w:line="240" w:lineRule="auto"/>
              <w:jc w:val="right"/>
            </w:pPr>
            <w:r>
              <w:rPr>
                <w:rFonts w:ascii="Arial" w:hAnsi="Arial"/>
                <w:sz w:val="15"/>
              </w:rPr>
              <w:t xml:space="preserve">n/m</w:t>
            </w:r>
          </w:p>
        </w:tc>
        <w:tc>
          <w:tcPr>
            <w:tcW w:type="dxa" w:w="718"/>
          </w:tcPr>
          <w:p>
            <w:pPr>
              <w:pStyle w:val="Compact"/>
              <w:spacing w:after="0" w:before="0" w:line="240" w:lineRule="auto"/>
              <w:jc w:val="right"/>
            </w:pPr>
            <w:r>
              <w:rPr>
                <w:rFonts w:ascii="Arial" w:hAnsi="Arial"/>
                <w:sz w:val="15"/>
              </w:rPr>
              <w:t xml:space="preserve">n/m</w:t>
            </w:r>
          </w:p>
        </w:tc>
        <w:tc>
          <w:tcPr>
            <w:tcW w:type="dxa" w:w="809"/>
          </w:tcPr>
          <w:p>
            <w:pPr>
              <w:pStyle w:val="Compact"/>
              <w:spacing w:after="0" w:before="0" w:line="240" w:lineRule="auto"/>
              <w:jc w:val="right"/>
            </w:pPr>
            <w:r>
              <w:rPr>
                <w:rFonts w:ascii="Arial" w:hAnsi="Arial"/>
                <w:sz w:val="15"/>
              </w:rPr>
              <w:t xml:space="preserve">103.0x</w:t>
            </w:r>
          </w:p>
        </w:tc>
        <w:tc>
          <w:tcPr>
            <w:tcW w:type="dxa" w:w="706"/>
          </w:tcPr>
          <w:p>
            <w:pPr>
              <w:pStyle w:val="Compact"/>
              <w:spacing w:after="0" w:before="0" w:line="240" w:lineRule="auto"/>
              <w:jc w:val="right"/>
            </w:pPr>
            <w:r>
              <w:rPr>
                <w:rFonts w:ascii="Arial" w:hAnsi="Arial"/>
                <w:sz w:val="15"/>
              </w:rPr>
              <w:t xml:space="preserve">2.72x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Mindray</w:t>
            </w:r>
          </w:p>
        </w:tc>
        <w:tc>
          <w:tcPr>
            <w:tcW w:type="dxa" w:w="841"/>
            <w:shd w:val="clear" w:color="auto" w:fill="F1F2F5"/>
          </w:tcPr>
          <w:p>
            <w:pPr>
              <w:pStyle w:val="Compact"/>
              <w:spacing w:after="0" w:before="0" w:line="240" w:lineRule="auto"/>
              <w:jc w:val="left"/>
            </w:pPr>
            <w:r>
              <w:rPr>
                <w:rFonts w:ascii="Arial" w:hAnsi="Arial"/>
                <w:sz w:val="15"/>
              </w:rPr>
              <w:t xml:space="preserve">300760 CH</w:t>
            </w:r>
          </w:p>
        </w:tc>
        <w:tc>
          <w:tcPr>
            <w:tcW w:type="dxa" w:w="938"/>
            <w:shd w:val="clear" w:color="auto" w:fill="F1F2F5"/>
          </w:tcPr>
          <w:p>
            <w:pPr>
              <w:pStyle w:val="Compact"/>
              <w:spacing w:after="0" w:before="0" w:line="240" w:lineRule="auto"/>
              <w:jc w:val="right"/>
            </w:pPr>
            <w:r>
              <w:rPr>
                <w:rFonts w:ascii="Arial" w:hAnsi="Arial"/>
                <w:sz w:val="15"/>
              </w:rPr>
              <w:t xml:space="preserve">30,247</w:t>
            </w:r>
          </w:p>
        </w:tc>
        <w:tc>
          <w:tcPr>
            <w:tcW w:type="dxa" w:w="1092"/>
            <w:shd w:val="clear" w:color="auto" w:fill="F1F2F5"/>
          </w:tcPr>
          <w:p>
            <w:pPr>
              <w:pStyle w:val="Compact"/>
              <w:spacing w:after="0" w:before="0" w:line="240" w:lineRule="auto"/>
              <w:jc w:val="right"/>
            </w:pPr>
            <w:r>
              <w:rPr>
                <w:rFonts w:ascii="Arial" w:hAnsi="Arial"/>
                <w:sz w:val="15"/>
              </w:rPr>
              <w:t xml:space="preserve">5.50x</w:t>
            </w:r>
          </w:p>
        </w:tc>
        <w:tc>
          <w:tcPr>
            <w:tcW w:type="dxa" w:w="1185"/>
            <w:shd w:val="clear" w:color="auto" w:fill="F1F2F5"/>
          </w:tcPr>
          <w:p>
            <w:pPr>
              <w:pStyle w:val="Compact"/>
              <w:spacing w:after="0" w:before="0" w:line="240" w:lineRule="auto"/>
              <w:jc w:val="right"/>
            </w:pPr>
            <w:r>
              <w:rPr>
                <w:rFonts w:ascii="Arial" w:hAnsi="Arial"/>
                <w:sz w:val="15"/>
              </w:rPr>
              <w:t xml:space="preserve">16.4x</w:t>
            </w:r>
          </w:p>
        </w:tc>
        <w:tc>
          <w:tcPr>
            <w:tcW w:type="dxa" w:w="1211"/>
            <w:shd w:val="clear" w:color="auto" w:fill="F1F2F5"/>
          </w:tcPr>
          <w:p>
            <w:pPr>
              <w:pStyle w:val="Compact"/>
              <w:spacing w:after="0" w:before="0" w:line="240" w:lineRule="auto"/>
              <w:jc w:val="right"/>
            </w:pPr>
            <w:r>
              <w:rPr>
                <w:rFonts w:ascii="Arial" w:hAnsi="Arial"/>
                <w:sz w:val="15"/>
              </w:rPr>
              <w:t xml:space="preserve">15.1x</w:t>
            </w:r>
          </w:p>
        </w:tc>
        <w:tc>
          <w:tcPr>
            <w:tcW w:type="dxa" w:w="994"/>
            <w:shd w:val="clear" w:color="auto" w:fill="F1F2F5"/>
          </w:tcPr>
          <w:p>
            <w:pPr>
              <w:pStyle w:val="Compact"/>
              <w:spacing w:after="0" w:before="0" w:line="240" w:lineRule="auto"/>
              <w:jc w:val="right"/>
            </w:pPr>
            <w:r>
              <w:rPr>
                <w:rFonts w:ascii="Arial" w:hAnsi="Arial"/>
                <w:sz w:val="15"/>
              </w:rPr>
              <w:t xml:space="preserve">19.4x</w:t>
            </w:r>
          </w:p>
        </w:tc>
        <w:tc>
          <w:tcPr>
            <w:tcW w:type="dxa" w:w="718"/>
            <w:shd w:val="clear" w:color="auto" w:fill="F1F2F5"/>
          </w:tcPr>
          <w:p>
            <w:pPr>
              <w:pStyle w:val="Compact"/>
              <w:spacing w:after="0" w:before="0" w:line="240" w:lineRule="auto"/>
              <w:jc w:val="right"/>
            </w:pPr>
            <w:r>
              <w:rPr>
                <w:rFonts w:ascii="Arial" w:hAnsi="Arial"/>
                <w:sz w:val="15"/>
              </w:rPr>
              <w:t xml:space="preserve">25.8x</w:t>
            </w:r>
          </w:p>
        </w:tc>
        <w:tc>
          <w:tcPr>
            <w:tcW w:type="dxa" w:w="809"/>
            <w:shd w:val="clear" w:color="auto" w:fill="F1F2F5"/>
          </w:tcPr>
          <w:p>
            <w:pPr>
              <w:pStyle w:val="Compact"/>
              <w:spacing w:after="0" w:before="0" w:line="240" w:lineRule="auto"/>
              <w:jc w:val="right"/>
            </w:pPr>
            <w:r>
              <w:rPr>
                <w:rFonts w:ascii="Arial" w:hAnsi="Arial"/>
                <w:sz w:val="15"/>
              </w:rPr>
              <w:t xml:space="preserve">22.3x</w:t>
            </w:r>
          </w:p>
        </w:tc>
        <w:tc>
          <w:tcPr>
            <w:tcW w:type="dxa" w:w="706"/>
            <w:shd w:val="clear" w:color="auto" w:fill="F1F2F5"/>
          </w:tcPr>
          <w:p>
            <w:pPr>
              <w:pStyle w:val="Compact"/>
              <w:spacing w:after="0" w:before="0" w:line="240" w:lineRule="auto"/>
              <w:jc w:val="right"/>
            </w:pPr>
            <w:r>
              <w:rPr>
                <w:rFonts w:ascii="Arial" w:hAnsi="Arial"/>
                <w:sz w:val="15"/>
              </w:rPr>
              <w:t xml:space="preserve">5.00x</w:t>
            </w:r>
          </w:p>
        </w:tc>
      </w:tr>
      <w:tr>
        <w:trPr>
          <w:cantSplit/>
        </w:trPr>
        <w:tc>
          <w:tcPr>
            <w:tcW w:type="dxa" w:w="1485"/>
          </w:tcPr>
          <w:p>
            <w:pPr>
              <w:pStyle w:val="Compact"/>
              <w:spacing w:after="0" w:before="0" w:line="240" w:lineRule="auto"/>
              <w:jc w:val="left"/>
            </w:pPr>
            <w:r>
              <w:rPr>
                <w:rFonts w:ascii="Arial" w:hAnsi="Arial"/>
                <w:sz w:val="15"/>
              </w:rPr>
              <w:t xml:space="preserve">Micro-Tech (Nanjing)</w:t>
            </w:r>
          </w:p>
        </w:tc>
        <w:tc>
          <w:tcPr>
            <w:tcW w:type="dxa" w:w="841"/>
          </w:tcPr>
          <w:p>
            <w:pPr>
              <w:pStyle w:val="Compact"/>
              <w:spacing w:after="0" w:before="0" w:line="240" w:lineRule="auto"/>
              <w:jc w:val="left"/>
            </w:pPr>
            <w:r>
              <w:rPr>
                <w:rFonts w:ascii="Arial" w:hAnsi="Arial"/>
                <w:sz w:val="15"/>
              </w:rPr>
              <w:t xml:space="preserve">688029 CH</w:t>
            </w:r>
          </w:p>
        </w:tc>
        <w:tc>
          <w:tcPr>
            <w:tcW w:type="dxa" w:w="938"/>
          </w:tcPr>
          <w:p>
            <w:pPr>
              <w:pStyle w:val="Compact"/>
              <w:spacing w:after="0" w:before="0" w:line="240" w:lineRule="auto"/>
              <w:jc w:val="right"/>
            </w:pPr>
            <w:r>
              <w:rPr>
                <w:rFonts w:ascii="Arial" w:hAnsi="Arial"/>
                <w:sz w:val="15"/>
              </w:rPr>
              <w:t xml:space="preserve">2,183</w:t>
            </w:r>
          </w:p>
        </w:tc>
        <w:tc>
          <w:tcPr>
            <w:tcW w:type="dxa" w:w="1092"/>
          </w:tcPr>
          <w:p>
            <w:pPr>
              <w:pStyle w:val="Compact"/>
              <w:spacing w:after="0" w:before="0" w:line="240" w:lineRule="auto"/>
              <w:jc w:val="right"/>
            </w:pPr>
            <w:r>
              <w:rPr>
                <w:rFonts w:ascii="Arial" w:hAnsi="Arial"/>
                <w:sz w:val="15"/>
              </w:rPr>
              <w:t xml:space="preserve">3.88x</w:t>
            </w:r>
          </w:p>
        </w:tc>
        <w:tc>
          <w:tcPr>
            <w:tcW w:type="dxa" w:w="1185"/>
          </w:tcPr>
          <w:p>
            <w:pPr>
              <w:pStyle w:val="Compact"/>
              <w:spacing w:after="0" w:before="0" w:line="240" w:lineRule="auto"/>
              <w:jc w:val="right"/>
            </w:pPr>
            <w:r>
              <w:rPr>
                <w:rFonts w:ascii="Arial" w:hAnsi="Arial"/>
                <w:sz w:val="15"/>
              </w:rPr>
              <w:t xml:space="preserve">17.0x</w:t>
            </w:r>
          </w:p>
        </w:tc>
        <w:tc>
          <w:tcPr>
            <w:tcW w:type="dxa" w:w="1211"/>
          </w:tcPr>
          <w:p>
            <w:pPr>
              <w:pStyle w:val="Compact"/>
              <w:spacing w:after="0" w:before="0" w:line="240" w:lineRule="auto"/>
              <w:jc w:val="right"/>
            </w:pPr>
            <w:r>
              <w:rPr>
                <w:rFonts w:ascii="Arial" w:hAnsi="Arial"/>
                <w:sz w:val="15"/>
              </w:rPr>
              <w:t xml:space="preserve">15.3x</w:t>
            </w:r>
          </w:p>
        </w:tc>
        <w:tc>
          <w:tcPr>
            <w:tcW w:type="dxa" w:w="994"/>
          </w:tcPr>
          <w:p>
            <w:pPr>
              <w:pStyle w:val="Compact"/>
              <w:spacing w:after="0" w:before="0" w:line="240" w:lineRule="auto"/>
              <w:jc w:val="right"/>
            </w:pPr>
            <w:r>
              <w:rPr>
                <w:rFonts w:ascii="Arial" w:hAnsi="Arial"/>
                <w:sz w:val="15"/>
              </w:rPr>
              <w:t xml:space="preserve">19.8x</w:t>
            </w:r>
          </w:p>
        </w:tc>
        <w:tc>
          <w:tcPr>
            <w:tcW w:type="dxa" w:w="718"/>
          </w:tcPr>
          <w:p>
            <w:pPr>
              <w:pStyle w:val="Compact"/>
              <w:spacing w:after="0" w:before="0" w:line="240" w:lineRule="auto"/>
              <w:jc w:val="right"/>
            </w:pPr>
            <w:r>
              <w:rPr>
                <w:rFonts w:ascii="Arial" w:hAnsi="Arial"/>
                <w:sz w:val="15"/>
              </w:rPr>
              <w:t xml:space="preserve">28.6x</w:t>
            </w:r>
          </w:p>
        </w:tc>
        <w:tc>
          <w:tcPr>
            <w:tcW w:type="dxa" w:w="809"/>
          </w:tcPr>
          <w:p>
            <w:pPr>
              <w:pStyle w:val="Compact"/>
              <w:spacing w:after="0" w:before="0" w:line="240" w:lineRule="auto"/>
              <w:jc w:val="right"/>
            </w:pPr>
            <w:r>
              <w:rPr>
                <w:rFonts w:ascii="Arial" w:hAnsi="Arial"/>
                <w:sz w:val="15"/>
              </w:rPr>
              <w:t xml:space="preserve">25.2x</w:t>
            </w:r>
          </w:p>
        </w:tc>
        <w:tc>
          <w:tcPr>
            <w:tcW w:type="dxa" w:w="706"/>
          </w:tcPr>
          <w:p>
            <w:pPr>
              <w:pStyle w:val="Compact"/>
              <w:spacing w:after="0" w:before="0" w:line="240" w:lineRule="auto"/>
              <w:jc w:val="right"/>
            </w:pPr>
            <w:r>
              <w:rPr>
                <w:rFonts w:ascii="Arial" w:hAnsi="Arial"/>
                <w:sz w:val="15"/>
              </w:rPr>
              <w:t xml:space="preserve">3.49x</w:t>
            </w:r>
          </w:p>
        </w:tc>
      </w:tr>
      <w:tr>
        <w:trPr>
          <w:cantSplit/>
        </w:trPr>
        <w:tc>
          <w:tcPr>
            <w:tcW w:type="dxa" w:w="1485"/>
            <w:shd w:val="clear" w:color="auto" w:fill="F1F2F5"/>
          </w:tcPr>
          <w:p>
            <w:pPr>
              <w:pStyle w:val="Compact"/>
              <w:spacing w:after="0" w:before="0" w:line="240" w:lineRule="auto"/>
              <w:jc w:val="left"/>
            </w:pPr>
            <w:r>
              <w:rPr>
                <w:rFonts w:ascii="Arial" w:hAnsi="Arial"/>
                <w:sz w:val="15"/>
              </w:rPr>
              <w:t xml:space="preserve">MicroPort Scientific</w:t>
            </w:r>
          </w:p>
        </w:tc>
        <w:tc>
          <w:tcPr>
            <w:tcW w:type="dxa" w:w="841"/>
            <w:shd w:val="clear" w:color="auto" w:fill="F1F2F5"/>
          </w:tcPr>
          <w:p>
            <w:pPr>
              <w:pStyle w:val="Compact"/>
              <w:spacing w:after="0" w:before="0" w:line="240" w:lineRule="auto"/>
              <w:jc w:val="left"/>
            </w:pPr>
            <w:r>
              <w:rPr>
                <w:rFonts w:ascii="Arial" w:hAnsi="Arial"/>
                <w:sz w:val="15"/>
              </w:rPr>
              <w:t xml:space="preserve">853 HK</w:t>
            </w:r>
          </w:p>
        </w:tc>
        <w:tc>
          <w:tcPr>
            <w:tcW w:type="dxa" w:w="938"/>
            <w:shd w:val="clear" w:color="auto" w:fill="F1F2F5"/>
          </w:tcPr>
          <w:p>
            <w:pPr>
              <w:pStyle w:val="Compact"/>
              <w:spacing w:after="0" w:before="0" w:line="240" w:lineRule="auto"/>
              <w:jc w:val="right"/>
            </w:pPr>
            <w:r>
              <w:rPr>
                <w:rFonts w:ascii="Arial" w:hAnsi="Arial"/>
                <w:sz w:val="15"/>
              </w:rPr>
              <w:t xml:space="preserve">1,484</w:t>
            </w:r>
          </w:p>
        </w:tc>
        <w:tc>
          <w:tcPr>
            <w:tcW w:type="dxa" w:w="1092"/>
            <w:shd w:val="clear" w:color="auto" w:fill="F1F2F5"/>
          </w:tcPr>
          <w:p>
            <w:pPr>
              <w:pStyle w:val="Compact"/>
              <w:spacing w:after="0" w:before="0" w:line="240" w:lineRule="auto"/>
              <w:jc w:val="right"/>
            </w:pPr>
            <w:r>
              <w:rPr>
                <w:rFonts w:ascii="Arial" w:hAnsi="Arial"/>
                <w:sz w:val="15"/>
              </w:rPr>
              <w:t xml:space="preserve">2.53x</w:t>
            </w:r>
          </w:p>
        </w:tc>
        <w:tc>
          <w:tcPr>
            <w:tcW w:type="dxa" w:w="1185"/>
            <w:shd w:val="clear" w:color="auto" w:fill="F1F2F5"/>
          </w:tcPr>
          <w:p>
            <w:pPr>
              <w:pStyle w:val="Compact"/>
              <w:spacing w:after="0" w:before="0" w:line="240" w:lineRule="auto"/>
              <w:jc w:val="right"/>
            </w:pPr>
            <w:r>
              <w:rPr>
                <w:rFonts w:ascii="Arial" w:hAnsi="Arial"/>
                <w:sz w:val="15"/>
              </w:rPr>
              <w:t xml:space="preserve">51.7x</w:t>
            </w:r>
          </w:p>
        </w:tc>
        <w:tc>
          <w:tcPr>
            <w:tcW w:type="dxa" w:w="1211"/>
            <w:shd w:val="clear" w:color="auto" w:fill="F1F2F5"/>
          </w:tcPr>
          <w:p>
            <w:pPr>
              <w:pStyle w:val="Compact"/>
              <w:spacing w:after="0" w:before="0" w:line="240" w:lineRule="auto"/>
              <w:jc w:val="right"/>
            </w:pPr>
            <w:r>
              <w:rPr>
                <w:rFonts w:ascii="Arial" w:hAnsi="Arial"/>
                <w:sz w:val="15"/>
              </w:rPr>
              <w:t xml:space="preserve">n/m</w:t>
            </w:r>
          </w:p>
        </w:tc>
        <w:tc>
          <w:tcPr>
            <w:tcW w:type="dxa" w:w="994"/>
            <w:shd w:val="clear" w:color="auto" w:fill="F1F2F5"/>
          </w:tcPr>
          <w:p>
            <w:pPr>
              <w:pStyle w:val="Compact"/>
              <w:spacing w:after="0" w:before="0" w:line="240" w:lineRule="auto"/>
              <w:jc w:val="right"/>
            </w:pPr>
            <w:r>
              <w:rPr>
                <w:rFonts w:ascii="Arial" w:hAnsi="Arial"/>
                <w:sz w:val="15"/>
              </w:rPr>
              <w:t xml:space="preserve">n/m</w:t>
            </w:r>
          </w:p>
        </w:tc>
        <w:tc>
          <w:tcPr>
            <w:tcW w:type="dxa" w:w="718"/>
            <w:shd w:val="clear" w:color="auto" w:fill="F1F2F5"/>
          </w:tcPr>
          <w:p>
            <w:pPr>
              <w:pStyle w:val="Compact"/>
              <w:spacing w:after="0" w:before="0" w:line="240" w:lineRule="auto"/>
              <w:jc w:val="right"/>
            </w:pPr>
            <w:r>
              <w:rPr>
                <w:rFonts w:ascii="Arial" w:hAnsi="Arial"/>
                <w:sz w:val="15"/>
              </w:rPr>
              <w:t xml:space="preserve">n/m</w:t>
            </w:r>
          </w:p>
        </w:tc>
        <w:tc>
          <w:tcPr>
            <w:tcW w:type="dxa" w:w="809"/>
            <w:shd w:val="clear" w:color="auto" w:fill="F1F2F5"/>
          </w:tcPr>
          <w:p>
            <w:pPr>
              <w:pStyle w:val="Compact"/>
              <w:spacing w:after="0" w:before="0" w:line="240" w:lineRule="auto"/>
              <w:jc w:val="right"/>
            </w:pPr>
            <w:r>
              <w:rPr>
                <w:rFonts w:ascii="Arial" w:hAnsi="Arial"/>
                <w:sz w:val="15"/>
              </w:rPr>
              <w:t xml:space="preserve">n/m</w:t>
            </w:r>
          </w:p>
        </w:tc>
        <w:tc>
          <w:tcPr>
            <w:tcW w:type="dxa" w:w="706"/>
            <w:shd w:val="clear" w:color="auto" w:fill="F1F2F5"/>
          </w:tcPr>
          <w:p>
            <w:pPr>
              <w:pStyle w:val="Compact"/>
              <w:spacing w:after="0" w:before="0" w:line="240" w:lineRule="auto"/>
              <w:jc w:val="right"/>
            </w:pPr>
            <w:r>
              <w:rPr>
                <w:rFonts w:ascii="Arial" w:hAnsi="Arial"/>
                <w:sz w:val="15"/>
              </w:rPr>
              <w:t xml:space="preserve">n/m</w:t>
            </w:r>
          </w:p>
        </w:tc>
      </w:tr>
    </w:tbl>
    <w:p>
      <w:pPr>
        <w:pStyle w:val="BodyText"/>
      </w:pPr>
      <w:r>
        <w:rPr>
          <w:bCs/>
          <w:b/>
        </w:rPr>
        <w:t xml:space="preserve">(b) Operating and financial metrics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922"/>
        <w:gridCol w:w="1716"/>
        <w:gridCol w:w="1095"/>
        <w:gridCol w:w="1053"/>
        <w:gridCol w:w="1059"/>
        <w:gridCol w:w="1296"/>
        <w:gridCol w:w="924"/>
        <w:gridCol w:w="909"/>
      </w:tblGrid>
      <w:tr>
        <w:trPr>
          <w:tblHeader w:val="true"/>
          <w:tblHeader w:val="true"/>
          <w:cantSplit/>
        </w:trPr>
        <w:tc>
          <w:tcPr>
            <w:tcW w:type="dxa" w:w="1922"/>
            <w:shd w:val="clear" w:color="auto" w:fill="13213F"/>
          </w:tcPr>
          <w:p>
            <w:pPr>
              <w:pStyle w:val="Compact"/>
              <w:spacing w:after="0" w:before="0" w:line="240" w:lineRule="auto"/>
              <w:jc w:val="left"/>
            </w:pPr>
            <w:r>
              <w:rPr>
                <w:rFonts w:ascii="Arial" w:hAnsi="Arial"/>
                <w:b/>
                <w:color w:val="FFFFFF"/>
                <w:sz w:val="15"/>
              </w:rPr>
              <w:t xml:space="preserve">Company</w:t>
            </w:r>
          </w:p>
        </w:tc>
        <w:tc>
          <w:tcPr>
            <w:tcW w:type="dxa" w:w="1717"/>
            <w:shd w:val="clear" w:color="auto" w:fill="13213F"/>
          </w:tcPr>
          <w:p>
            <w:pPr>
              <w:pStyle w:val="Compact"/>
              <w:spacing w:after="0" w:before="0" w:line="240" w:lineRule="auto"/>
              <w:jc w:val="left"/>
            </w:pPr>
            <w:r>
              <w:rPr>
                <w:rFonts w:ascii="Arial" w:hAnsi="Arial"/>
                <w:b/>
                <w:color w:val="FFFFFF"/>
                <w:sz w:val="15"/>
              </w:rPr>
              <w:t xml:space="preserve">Country</w:t>
            </w:r>
          </w:p>
        </w:tc>
        <w:tc>
          <w:tcPr>
            <w:tcW w:type="dxa" w:w="1096"/>
            <w:shd w:val="clear" w:color="auto" w:fill="13213F"/>
          </w:tcPr>
          <w:p>
            <w:pPr>
              <w:pStyle w:val="Compact"/>
              <w:spacing w:after="0" w:before="0" w:line="240" w:lineRule="auto"/>
              <w:jc w:val="right"/>
            </w:pPr>
            <w:r>
              <w:rPr>
                <w:rFonts w:ascii="Arial" w:hAnsi="Arial"/>
                <w:b/>
                <w:color w:val="FFFFFF"/>
                <w:sz w:val="15"/>
              </w:rPr>
              <w:t xml:space="preserve">EBITDA margin</w:t>
            </w:r>
          </w:p>
        </w:tc>
        <w:tc>
          <w:tcPr>
            <w:tcW w:type="dxa" w:w="1054"/>
            <w:shd w:val="clear" w:color="auto" w:fill="13213F"/>
          </w:tcPr>
          <w:p>
            <w:pPr>
              <w:pStyle w:val="Compact"/>
              <w:spacing w:after="0" w:before="0" w:line="240" w:lineRule="auto"/>
              <w:jc w:val="right"/>
            </w:pPr>
            <w:r>
              <w:rPr>
                <w:rFonts w:ascii="Arial" w:hAnsi="Arial"/>
                <w:b/>
                <w:color w:val="FFFFFF"/>
                <w:sz w:val="15"/>
              </w:rPr>
              <w:t xml:space="preserve">EBIT margin</w:t>
            </w:r>
          </w:p>
        </w:tc>
        <w:tc>
          <w:tcPr>
            <w:tcW w:type="dxa" w:w="1060"/>
            <w:shd w:val="clear" w:color="auto" w:fill="13213F"/>
          </w:tcPr>
          <w:p>
            <w:pPr>
              <w:pStyle w:val="Compact"/>
              <w:spacing w:after="0" w:before="0" w:line="240" w:lineRule="auto"/>
              <w:jc w:val="right"/>
            </w:pPr>
            <w:r>
              <w:rPr>
                <w:rFonts w:ascii="Arial" w:hAnsi="Arial"/>
                <w:b/>
                <w:color w:val="FFFFFF"/>
                <w:sz w:val="15"/>
              </w:rPr>
              <w:t xml:space="preserve">Sales growth</w:t>
            </w:r>
          </w:p>
        </w:tc>
        <w:tc>
          <w:tcPr>
            <w:tcW w:type="dxa" w:w="1296"/>
            <w:shd w:val="clear" w:color="auto" w:fill="13213F"/>
          </w:tcPr>
          <w:p>
            <w:pPr>
              <w:pStyle w:val="Compact"/>
              <w:spacing w:after="0" w:before="0" w:line="240" w:lineRule="auto"/>
              <w:jc w:val="right"/>
            </w:pPr>
            <w:r>
              <w:rPr>
                <w:rFonts w:ascii="Arial" w:hAnsi="Arial"/>
                <w:b/>
                <w:color w:val="FFFFFF"/>
                <w:sz w:val="15"/>
              </w:rPr>
              <w:t xml:space="preserve">ND/EBITDA</w:t>
            </w:r>
          </w:p>
        </w:tc>
        <w:tc>
          <w:tcPr>
            <w:tcW w:type="dxa" w:w="924"/>
            <w:shd w:val="clear" w:color="auto" w:fill="13213F"/>
          </w:tcPr>
          <w:p>
            <w:pPr>
              <w:pStyle w:val="Compact"/>
              <w:spacing w:after="0" w:before="0" w:line="240" w:lineRule="auto"/>
              <w:jc w:val="right"/>
            </w:pPr>
            <w:r>
              <w:rPr>
                <w:rFonts w:ascii="Arial" w:hAnsi="Arial"/>
                <w:b/>
                <w:color w:val="FFFFFF"/>
                <w:sz w:val="15"/>
              </w:rPr>
              <w:t xml:space="preserve">Div. yield</w:t>
            </w:r>
          </w:p>
        </w:tc>
        <w:tc>
          <w:tcPr>
            <w:tcW w:type="dxa" w:w="909"/>
            <w:shd w:val="clear" w:color="auto" w:fill="13213F"/>
          </w:tcPr>
          <w:p>
            <w:pPr>
              <w:pStyle w:val="Compact"/>
              <w:spacing w:after="0" w:before="0" w:line="240" w:lineRule="auto"/>
              <w:jc w:val="right"/>
            </w:pPr>
            <w:r>
              <w:rPr>
                <w:rFonts w:ascii="Arial" w:hAnsi="Arial"/>
                <w:b/>
                <w:color w:val="FFFFFF"/>
                <w:sz w:val="15"/>
              </w:rPr>
              <w:t xml:space="preserve">FCF yield</w:t>
            </w:r>
          </w:p>
        </w:tc>
      </w:tr>
      <w:tr>
        <w:trPr>
          <w:cantSplit/>
        </w:trPr>
        <w:tc>
          <w:tcPr>
            <w:tcW w:type="dxa" w:w="1922"/>
          </w:tcPr>
          <w:p>
            <w:pPr>
              <w:pStyle w:val="Compact"/>
              <w:spacing w:after="0" w:before="0" w:line="240" w:lineRule="auto"/>
              <w:jc w:val="left"/>
            </w:pPr>
            <w:r>
              <w:rPr>
                <w:bCs/>
                <w:rFonts w:ascii="Arial" w:hAnsi="Arial"/>
                <w:b/>
                <w:sz w:val="15"/>
              </w:rPr>
              <w:t xml:space="preserve">Olympus</w:t>
            </w:r>
          </w:p>
        </w:tc>
        <w:tc>
          <w:tcPr>
            <w:tcW w:type="dxa" w:w="1717"/>
          </w:tcPr>
          <w:p>
            <w:pPr>
              <w:pStyle w:val="Compact"/>
              <w:spacing w:after="0" w:before="0" w:line="240" w:lineRule="auto"/>
              <w:jc w:val="left"/>
            </w:pPr>
            <w:r>
              <w:rPr>
                <w:bCs/>
                <w:rFonts w:ascii="Arial" w:hAnsi="Arial"/>
                <w:b/>
                <w:sz w:val="15"/>
              </w:rPr>
              <w:t xml:space="preserve">Japan</w:t>
            </w:r>
          </w:p>
        </w:tc>
        <w:tc>
          <w:tcPr>
            <w:tcW w:type="dxa" w:w="1096"/>
          </w:tcPr>
          <w:p>
            <w:pPr>
              <w:pStyle w:val="Compact"/>
              <w:spacing w:after="0" w:before="0" w:line="240" w:lineRule="auto"/>
              <w:jc w:val="right"/>
            </w:pPr>
            <w:r>
              <w:rPr>
                <w:bCs/>
                <w:rFonts w:ascii="Arial" w:hAnsi="Arial"/>
                <w:b/>
                <w:sz w:val="15"/>
              </w:rPr>
              <w:t xml:space="preserve">20.9%</w:t>
            </w:r>
          </w:p>
        </w:tc>
        <w:tc>
          <w:tcPr>
            <w:tcW w:type="dxa" w:w="1054"/>
          </w:tcPr>
          <w:p>
            <w:pPr>
              <w:pStyle w:val="Compact"/>
              <w:spacing w:after="0" w:before="0" w:line="240" w:lineRule="auto"/>
              <w:jc w:val="right"/>
            </w:pPr>
            <w:r>
              <w:rPr>
                <w:bCs/>
                <w:rFonts w:ascii="Arial" w:hAnsi="Arial"/>
                <w:b/>
                <w:sz w:val="15"/>
              </w:rPr>
              <w:t xml:space="preserve">14.4%</w:t>
            </w:r>
          </w:p>
        </w:tc>
        <w:tc>
          <w:tcPr>
            <w:tcW w:type="dxa" w:w="1060"/>
          </w:tcPr>
          <w:p>
            <w:pPr>
              <w:pStyle w:val="Compact"/>
              <w:spacing w:after="0" w:before="0" w:line="240" w:lineRule="auto"/>
              <w:jc w:val="right"/>
            </w:pPr>
            <w:r>
              <w:rPr>
                <w:bCs/>
                <w:rFonts w:ascii="Arial" w:hAnsi="Arial"/>
                <w:b/>
                <w:sz w:val="15"/>
              </w:rPr>
              <w:t xml:space="preserve">7.8%</w:t>
            </w:r>
          </w:p>
        </w:tc>
        <w:tc>
          <w:tcPr>
            <w:tcW w:type="dxa" w:w="1296"/>
          </w:tcPr>
          <w:p>
            <w:pPr>
              <w:pStyle w:val="Compact"/>
              <w:spacing w:after="0" w:before="0" w:line="240" w:lineRule="auto"/>
              <w:jc w:val="right"/>
            </w:pPr>
            <w:r>
              <w:rPr>
                <w:bCs/>
                <w:rFonts w:ascii="Arial" w:hAnsi="Arial"/>
                <w:b/>
                <w:sz w:val="15"/>
              </w:rPr>
              <w:t xml:space="preserve">0.92x</w:t>
            </w:r>
          </w:p>
        </w:tc>
        <w:tc>
          <w:tcPr>
            <w:tcW w:type="dxa" w:w="924"/>
          </w:tcPr>
          <w:p>
            <w:pPr>
              <w:pStyle w:val="Compact"/>
              <w:spacing w:after="0" w:before="0" w:line="240" w:lineRule="auto"/>
              <w:jc w:val="right"/>
            </w:pPr>
            <w:r>
              <w:rPr>
                <w:bCs/>
                <w:rFonts w:ascii="Arial" w:hAnsi="Arial"/>
                <w:b/>
                <w:sz w:val="15"/>
              </w:rPr>
              <w:t xml:space="preserve">1.8%</w:t>
            </w:r>
          </w:p>
        </w:tc>
        <w:tc>
          <w:tcPr>
            <w:tcW w:type="dxa" w:w="909"/>
          </w:tcPr>
          <w:p>
            <w:pPr>
              <w:pStyle w:val="Compact"/>
              <w:spacing w:after="0" w:before="0" w:line="240" w:lineRule="auto"/>
              <w:jc w:val="right"/>
            </w:pPr>
            <w:r>
              <w:rPr>
                <w:bCs/>
                <w:rFonts w:ascii="Arial" w:hAnsi="Arial"/>
                <w:b/>
                <w:sz w:val="15"/>
              </w:rPr>
              <w:t xml:space="preserve">4.0%</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FUJIFILM</w:t>
            </w:r>
          </w:p>
        </w:tc>
        <w:tc>
          <w:tcPr>
            <w:tcW w:type="dxa" w:w="1717"/>
            <w:shd w:val="clear" w:color="auto" w:fill="F1F2F5"/>
          </w:tcPr>
          <w:p>
            <w:pPr>
              <w:pStyle w:val="Compact"/>
              <w:spacing w:after="0" w:before="0" w:line="240" w:lineRule="auto"/>
              <w:jc w:val="left"/>
            </w:pPr>
            <w:r>
              <w:rPr>
                <w:rFonts w:ascii="Arial" w:hAnsi="Arial"/>
                <w:sz w:val="15"/>
              </w:rPr>
              <w:t xml:space="preserve">Japan</w:t>
            </w:r>
          </w:p>
        </w:tc>
        <w:tc>
          <w:tcPr>
            <w:tcW w:type="dxa" w:w="1096"/>
            <w:shd w:val="clear" w:color="auto" w:fill="F1F2F5"/>
          </w:tcPr>
          <w:p>
            <w:pPr>
              <w:pStyle w:val="Compact"/>
              <w:spacing w:after="0" w:before="0" w:line="240" w:lineRule="auto"/>
              <w:jc w:val="right"/>
            </w:pPr>
            <w:r>
              <w:rPr>
                <w:rFonts w:ascii="Arial" w:hAnsi="Arial"/>
                <w:sz w:val="15"/>
              </w:rPr>
              <w:t xml:space="preserve">14.8%</w:t>
            </w:r>
          </w:p>
        </w:tc>
        <w:tc>
          <w:tcPr>
            <w:tcW w:type="dxa" w:w="1054"/>
            <w:shd w:val="clear" w:color="auto" w:fill="F1F2F5"/>
          </w:tcPr>
          <w:p>
            <w:pPr>
              <w:pStyle w:val="Compact"/>
              <w:spacing w:after="0" w:before="0" w:line="240" w:lineRule="auto"/>
              <w:jc w:val="right"/>
            </w:pPr>
            <w:r>
              <w:rPr>
                <w:rFonts w:ascii="Arial" w:hAnsi="Arial"/>
                <w:sz w:val="15"/>
              </w:rPr>
              <w:t xml:space="preserve">9.5%</w:t>
            </w:r>
          </w:p>
        </w:tc>
        <w:tc>
          <w:tcPr>
            <w:tcW w:type="dxa" w:w="1060"/>
            <w:shd w:val="clear" w:color="auto" w:fill="F1F2F5"/>
          </w:tcPr>
          <w:p>
            <w:pPr>
              <w:pStyle w:val="Compact"/>
              <w:spacing w:after="0" w:before="0" w:line="240" w:lineRule="auto"/>
              <w:jc w:val="right"/>
            </w:pPr>
            <w:r>
              <w:rPr>
                <w:rFonts w:ascii="Arial" w:hAnsi="Arial"/>
                <w:sz w:val="15"/>
              </w:rPr>
              <w:t xml:space="preserve">7.4%</w:t>
            </w:r>
          </w:p>
        </w:tc>
        <w:tc>
          <w:tcPr>
            <w:tcW w:type="dxa" w:w="1296"/>
            <w:shd w:val="clear" w:color="auto" w:fill="F1F2F5"/>
          </w:tcPr>
          <w:p>
            <w:pPr>
              <w:pStyle w:val="Compact"/>
              <w:spacing w:after="0" w:before="0" w:line="240" w:lineRule="auto"/>
              <w:jc w:val="right"/>
            </w:pPr>
            <w:r>
              <w:rPr>
                <w:rFonts w:ascii="Arial" w:hAnsi="Arial"/>
                <w:sz w:val="15"/>
              </w:rPr>
              <w:t xml:space="preserve">1.89x</w:t>
            </w:r>
          </w:p>
        </w:tc>
        <w:tc>
          <w:tcPr>
            <w:tcW w:type="dxa" w:w="924"/>
            <w:shd w:val="clear" w:color="auto" w:fill="F1F2F5"/>
          </w:tcPr>
          <w:p>
            <w:pPr>
              <w:pStyle w:val="Compact"/>
              <w:spacing w:after="0" w:before="0" w:line="240" w:lineRule="auto"/>
              <w:jc w:val="right"/>
            </w:pPr>
            <w:r>
              <w:rPr>
                <w:rFonts w:ascii="Arial" w:hAnsi="Arial"/>
                <w:sz w:val="15"/>
              </w:rPr>
              <w:t xml:space="preserve">2.1%</w:t>
            </w:r>
          </w:p>
        </w:tc>
        <w:tc>
          <w:tcPr>
            <w:tcW w:type="dxa" w:w="909"/>
            <w:shd w:val="clear" w:color="auto" w:fill="F1F2F5"/>
          </w:tcPr>
          <w:p>
            <w:pPr>
              <w:pStyle w:val="Compact"/>
              <w:spacing w:after="0" w:before="0" w:line="240" w:lineRule="auto"/>
              <w:jc w:val="right"/>
            </w:pPr>
            <w:r>
              <w:rPr>
                <w:rFonts w:ascii="Arial" w:hAnsi="Arial"/>
                <w:sz w:val="15"/>
              </w:rPr>
              <w:t xml:space="preserve">-2.5%</w:t>
            </w:r>
          </w:p>
        </w:tc>
      </w:tr>
      <w:tr>
        <w:trPr>
          <w:cantSplit/>
        </w:trPr>
        <w:tc>
          <w:tcPr>
            <w:tcW w:type="dxa" w:w="1922"/>
          </w:tcPr>
          <w:p>
            <w:pPr>
              <w:pStyle w:val="Compact"/>
              <w:spacing w:after="0" w:before="0" w:line="240" w:lineRule="auto"/>
              <w:jc w:val="left"/>
            </w:pPr>
            <w:r>
              <w:rPr>
                <w:rFonts w:ascii="Arial" w:hAnsi="Arial"/>
                <w:sz w:val="15"/>
              </w:rPr>
              <w:t xml:space="preserve">HOYA</w:t>
            </w:r>
          </w:p>
        </w:tc>
        <w:tc>
          <w:tcPr>
            <w:tcW w:type="dxa" w:w="1717"/>
          </w:tcPr>
          <w:p>
            <w:pPr>
              <w:pStyle w:val="Compact"/>
              <w:spacing w:after="0" w:before="0" w:line="240" w:lineRule="auto"/>
              <w:jc w:val="left"/>
            </w:pPr>
            <w:r>
              <w:rPr>
                <w:rFonts w:ascii="Arial" w:hAnsi="Arial"/>
                <w:sz w:val="15"/>
              </w:rPr>
              <w:t xml:space="preserve">Japan</w:t>
            </w:r>
          </w:p>
        </w:tc>
        <w:tc>
          <w:tcPr>
            <w:tcW w:type="dxa" w:w="1096"/>
          </w:tcPr>
          <w:p>
            <w:pPr>
              <w:pStyle w:val="Compact"/>
              <w:spacing w:after="0" w:before="0" w:line="240" w:lineRule="auto"/>
              <w:jc w:val="right"/>
            </w:pPr>
            <w:r>
              <w:rPr>
                <w:rFonts w:ascii="Arial" w:hAnsi="Arial"/>
                <w:sz w:val="15"/>
              </w:rPr>
              <w:t xml:space="preserve">39.2%</w:t>
            </w:r>
          </w:p>
        </w:tc>
        <w:tc>
          <w:tcPr>
            <w:tcW w:type="dxa" w:w="1054"/>
          </w:tcPr>
          <w:p>
            <w:pPr>
              <w:pStyle w:val="Compact"/>
              <w:spacing w:after="0" w:before="0" w:line="240" w:lineRule="auto"/>
              <w:jc w:val="right"/>
            </w:pPr>
            <w:r>
              <w:rPr>
                <w:rFonts w:ascii="Arial" w:hAnsi="Arial"/>
                <w:sz w:val="15"/>
              </w:rPr>
              <w:t xml:space="preserve">32.9%</w:t>
            </w:r>
          </w:p>
        </w:tc>
        <w:tc>
          <w:tcPr>
            <w:tcW w:type="dxa" w:w="1060"/>
          </w:tcPr>
          <w:p>
            <w:pPr>
              <w:pStyle w:val="Compact"/>
              <w:spacing w:after="0" w:before="0" w:line="240" w:lineRule="auto"/>
              <w:jc w:val="right"/>
            </w:pPr>
            <w:r>
              <w:rPr>
                <w:rFonts w:ascii="Arial" w:hAnsi="Arial"/>
                <w:sz w:val="15"/>
              </w:rPr>
              <w:t xml:space="preserve">12.3%</w:t>
            </w:r>
          </w:p>
        </w:tc>
        <w:tc>
          <w:tcPr>
            <w:tcW w:type="dxa" w:w="1296"/>
          </w:tcPr>
          <w:p>
            <w:pPr>
              <w:pStyle w:val="Compact"/>
              <w:spacing w:after="0" w:before="0" w:line="240" w:lineRule="auto"/>
              <w:jc w:val="right"/>
            </w:pPr>
            <w:r>
              <w:rPr>
                <w:rFonts w:ascii="Arial" w:hAnsi="Arial"/>
                <w:sz w:val="15"/>
              </w:rPr>
              <w:t xml:space="preserve">-1.32x</w:t>
            </w:r>
          </w:p>
        </w:tc>
        <w:tc>
          <w:tcPr>
            <w:tcW w:type="dxa" w:w="924"/>
          </w:tcPr>
          <w:p>
            <w:pPr>
              <w:pStyle w:val="Compact"/>
              <w:spacing w:after="0" w:before="0" w:line="240" w:lineRule="auto"/>
              <w:jc w:val="right"/>
            </w:pPr>
            <w:r>
              <w:rPr>
                <w:rFonts w:ascii="Arial" w:hAnsi="Arial"/>
                <w:sz w:val="15"/>
              </w:rPr>
              <w:t xml:space="preserve">1.0%</w:t>
            </w:r>
          </w:p>
        </w:tc>
        <w:tc>
          <w:tcPr>
            <w:tcW w:type="dxa" w:w="909"/>
          </w:tcPr>
          <w:p>
            <w:pPr>
              <w:pStyle w:val="Compact"/>
              <w:spacing w:after="0" w:before="0" w:line="240" w:lineRule="auto"/>
              <w:jc w:val="right"/>
            </w:pPr>
            <w:r>
              <w:rPr>
                <w:rFonts w:ascii="Arial" w:hAnsi="Arial"/>
                <w:sz w:val="15"/>
              </w:rPr>
              <w:t xml:space="preserve">2.8%</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Terumo</w:t>
            </w:r>
          </w:p>
        </w:tc>
        <w:tc>
          <w:tcPr>
            <w:tcW w:type="dxa" w:w="1717"/>
            <w:shd w:val="clear" w:color="auto" w:fill="F1F2F5"/>
          </w:tcPr>
          <w:p>
            <w:pPr>
              <w:pStyle w:val="Compact"/>
              <w:spacing w:after="0" w:before="0" w:line="240" w:lineRule="auto"/>
              <w:jc w:val="left"/>
            </w:pPr>
            <w:r>
              <w:rPr>
                <w:rFonts w:ascii="Arial" w:hAnsi="Arial"/>
                <w:sz w:val="15"/>
              </w:rPr>
              <w:t xml:space="preserve">Japan</w:t>
            </w:r>
          </w:p>
        </w:tc>
        <w:tc>
          <w:tcPr>
            <w:tcW w:type="dxa" w:w="1096"/>
            <w:shd w:val="clear" w:color="auto" w:fill="F1F2F5"/>
          </w:tcPr>
          <w:p>
            <w:pPr>
              <w:pStyle w:val="Compact"/>
              <w:spacing w:after="0" w:before="0" w:line="240" w:lineRule="auto"/>
              <w:jc w:val="right"/>
            </w:pPr>
            <w:r>
              <w:rPr>
                <w:rFonts w:ascii="Arial" w:hAnsi="Arial"/>
                <w:sz w:val="15"/>
              </w:rPr>
              <w:t xml:space="preserve">25.8%</w:t>
            </w:r>
          </w:p>
        </w:tc>
        <w:tc>
          <w:tcPr>
            <w:tcW w:type="dxa" w:w="1054"/>
            <w:shd w:val="clear" w:color="auto" w:fill="F1F2F5"/>
          </w:tcPr>
          <w:p>
            <w:pPr>
              <w:pStyle w:val="Compact"/>
              <w:spacing w:after="0" w:before="0" w:line="240" w:lineRule="auto"/>
              <w:jc w:val="right"/>
            </w:pPr>
            <w:r>
              <w:rPr>
                <w:rFonts w:ascii="Arial" w:hAnsi="Arial"/>
                <w:sz w:val="15"/>
              </w:rPr>
              <w:t xml:space="preserve">19.5%</w:t>
            </w:r>
          </w:p>
        </w:tc>
        <w:tc>
          <w:tcPr>
            <w:tcW w:type="dxa" w:w="1060"/>
            <w:shd w:val="clear" w:color="auto" w:fill="F1F2F5"/>
          </w:tcPr>
          <w:p>
            <w:pPr>
              <w:pStyle w:val="Compact"/>
              <w:spacing w:after="0" w:before="0" w:line="240" w:lineRule="auto"/>
              <w:jc w:val="right"/>
            </w:pPr>
            <w:r>
              <w:rPr>
                <w:rFonts w:ascii="Arial" w:hAnsi="Arial"/>
                <w:sz w:val="15"/>
              </w:rPr>
              <w:t xml:space="preserve">14.1%</w:t>
            </w:r>
          </w:p>
        </w:tc>
        <w:tc>
          <w:tcPr>
            <w:tcW w:type="dxa" w:w="1296"/>
            <w:shd w:val="clear" w:color="auto" w:fill="F1F2F5"/>
          </w:tcPr>
          <w:p>
            <w:pPr>
              <w:pStyle w:val="Compact"/>
              <w:spacing w:after="0" w:before="0" w:line="240" w:lineRule="auto"/>
              <w:jc w:val="right"/>
            </w:pPr>
            <w:r>
              <w:rPr>
                <w:rFonts w:ascii="Arial" w:hAnsi="Arial"/>
                <w:sz w:val="15"/>
              </w:rPr>
              <w:t xml:space="preserve">0.40x</w:t>
            </w:r>
          </w:p>
        </w:tc>
        <w:tc>
          <w:tcPr>
            <w:tcW w:type="dxa" w:w="924"/>
            <w:shd w:val="clear" w:color="auto" w:fill="F1F2F5"/>
          </w:tcPr>
          <w:p>
            <w:pPr>
              <w:pStyle w:val="Compact"/>
              <w:spacing w:after="0" w:before="0" w:line="240" w:lineRule="auto"/>
              <w:jc w:val="right"/>
            </w:pPr>
            <w:r>
              <w:rPr>
                <w:rFonts w:ascii="Arial" w:hAnsi="Arial"/>
                <w:sz w:val="15"/>
              </w:rPr>
              <w:t xml:space="preserve">1.3%</w:t>
            </w:r>
          </w:p>
        </w:tc>
        <w:tc>
          <w:tcPr>
            <w:tcW w:type="dxa" w:w="909"/>
            <w:shd w:val="clear" w:color="auto" w:fill="F1F2F5"/>
          </w:tcPr>
          <w:p>
            <w:pPr>
              <w:pStyle w:val="Compact"/>
              <w:spacing w:after="0" w:before="0" w:line="240" w:lineRule="auto"/>
              <w:jc w:val="right"/>
            </w:pPr>
            <w:r>
              <w:rPr>
                <w:rFonts w:ascii="Arial" w:hAnsi="Arial"/>
                <w:sz w:val="15"/>
              </w:rPr>
              <w:t xml:space="preserve">5.6%</w:t>
            </w:r>
          </w:p>
        </w:tc>
      </w:tr>
      <w:tr>
        <w:trPr>
          <w:cantSplit/>
        </w:trPr>
        <w:tc>
          <w:tcPr>
            <w:tcW w:type="dxa" w:w="1922"/>
          </w:tcPr>
          <w:p>
            <w:pPr>
              <w:pStyle w:val="Compact"/>
              <w:spacing w:after="0" w:before="0" w:line="240" w:lineRule="auto"/>
              <w:jc w:val="left"/>
            </w:pPr>
            <w:r>
              <w:rPr>
                <w:rFonts w:ascii="Arial" w:hAnsi="Arial"/>
                <w:sz w:val="15"/>
              </w:rPr>
              <w:t xml:space="preserve">Sysmex</w:t>
            </w:r>
          </w:p>
        </w:tc>
        <w:tc>
          <w:tcPr>
            <w:tcW w:type="dxa" w:w="1717"/>
          </w:tcPr>
          <w:p>
            <w:pPr>
              <w:pStyle w:val="Compact"/>
              <w:spacing w:after="0" w:before="0" w:line="240" w:lineRule="auto"/>
              <w:jc w:val="left"/>
            </w:pPr>
            <w:r>
              <w:rPr>
                <w:rFonts w:ascii="Arial" w:hAnsi="Arial"/>
                <w:sz w:val="15"/>
              </w:rPr>
              <w:t xml:space="preserve">Japan</w:t>
            </w:r>
          </w:p>
        </w:tc>
        <w:tc>
          <w:tcPr>
            <w:tcW w:type="dxa" w:w="1096"/>
          </w:tcPr>
          <w:p>
            <w:pPr>
              <w:pStyle w:val="Compact"/>
              <w:spacing w:after="0" w:before="0" w:line="240" w:lineRule="auto"/>
              <w:jc w:val="right"/>
            </w:pPr>
            <w:r>
              <w:rPr>
                <w:rFonts w:ascii="Arial" w:hAnsi="Arial"/>
                <w:sz w:val="15"/>
              </w:rPr>
              <w:t xml:space="preserve">22.0%</w:t>
            </w:r>
          </w:p>
        </w:tc>
        <w:tc>
          <w:tcPr>
            <w:tcW w:type="dxa" w:w="1054"/>
          </w:tcPr>
          <w:p>
            <w:pPr>
              <w:pStyle w:val="Compact"/>
              <w:spacing w:after="0" w:before="0" w:line="240" w:lineRule="auto"/>
              <w:jc w:val="right"/>
            </w:pPr>
            <w:r>
              <w:rPr>
                <w:rFonts w:ascii="Arial" w:hAnsi="Arial"/>
                <w:sz w:val="15"/>
              </w:rPr>
              <w:t xml:space="preserve">12.9%</w:t>
            </w:r>
          </w:p>
        </w:tc>
        <w:tc>
          <w:tcPr>
            <w:tcW w:type="dxa" w:w="1060"/>
          </w:tcPr>
          <w:p>
            <w:pPr>
              <w:pStyle w:val="Compact"/>
              <w:spacing w:after="0" w:before="0" w:line="240" w:lineRule="auto"/>
              <w:jc w:val="right"/>
            </w:pPr>
            <w:r>
              <w:rPr>
                <w:rFonts w:ascii="Arial" w:hAnsi="Arial"/>
                <w:sz w:val="15"/>
              </w:rPr>
              <w:t xml:space="preserve">4.5%</w:t>
            </w:r>
          </w:p>
        </w:tc>
        <w:tc>
          <w:tcPr>
            <w:tcW w:type="dxa" w:w="1296"/>
          </w:tcPr>
          <w:p>
            <w:pPr>
              <w:pStyle w:val="Compact"/>
              <w:spacing w:after="0" w:before="0" w:line="240" w:lineRule="auto"/>
              <w:jc w:val="right"/>
            </w:pPr>
            <w:r>
              <w:rPr>
                <w:rFonts w:ascii="Arial" w:hAnsi="Arial"/>
                <w:sz w:val="15"/>
              </w:rPr>
              <w:t xml:space="preserve">0.09x</w:t>
            </w:r>
          </w:p>
        </w:tc>
        <w:tc>
          <w:tcPr>
            <w:tcW w:type="dxa" w:w="924"/>
          </w:tcPr>
          <w:p>
            <w:pPr>
              <w:pStyle w:val="Compact"/>
              <w:spacing w:after="0" w:before="0" w:line="240" w:lineRule="auto"/>
              <w:jc w:val="right"/>
            </w:pPr>
            <w:r>
              <w:rPr>
                <w:rFonts w:ascii="Arial" w:hAnsi="Arial"/>
                <w:sz w:val="15"/>
              </w:rPr>
              <w:t xml:space="preserve">2.1%</w:t>
            </w:r>
          </w:p>
        </w:tc>
        <w:tc>
          <w:tcPr>
            <w:tcW w:type="dxa" w:w="909"/>
          </w:tcPr>
          <w:p>
            <w:pPr>
              <w:pStyle w:val="Compact"/>
              <w:spacing w:after="0" w:before="0" w:line="240" w:lineRule="auto"/>
              <w:jc w:val="right"/>
            </w:pPr>
            <w:r>
              <w:rPr>
                <w:rFonts w:ascii="Arial" w:hAnsi="Arial"/>
                <w:sz w:val="15"/>
              </w:rPr>
              <w:t xml:space="preserve">5.9%</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Asahi Intecc</w:t>
            </w:r>
          </w:p>
        </w:tc>
        <w:tc>
          <w:tcPr>
            <w:tcW w:type="dxa" w:w="1717"/>
            <w:shd w:val="clear" w:color="auto" w:fill="F1F2F5"/>
          </w:tcPr>
          <w:p>
            <w:pPr>
              <w:pStyle w:val="Compact"/>
              <w:spacing w:after="0" w:before="0" w:line="240" w:lineRule="auto"/>
              <w:jc w:val="left"/>
            </w:pPr>
            <w:r>
              <w:rPr>
                <w:rFonts w:ascii="Arial" w:hAnsi="Arial"/>
                <w:sz w:val="15"/>
              </w:rPr>
              <w:t xml:space="preserve">Japan</w:t>
            </w:r>
          </w:p>
        </w:tc>
        <w:tc>
          <w:tcPr>
            <w:tcW w:type="dxa" w:w="1096"/>
            <w:shd w:val="clear" w:color="auto" w:fill="F1F2F5"/>
          </w:tcPr>
          <w:p>
            <w:pPr>
              <w:pStyle w:val="Compact"/>
              <w:spacing w:after="0" w:before="0" w:line="240" w:lineRule="auto"/>
              <w:jc w:val="right"/>
            </w:pPr>
            <w:r>
              <w:rPr>
                <w:rFonts w:ascii="Arial" w:hAnsi="Arial"/>
                <w:sz w:val="15"/>
              </w:rPr>
              <w:t xml:space="preserve">37.1%</w:t>
            </w:r>
          </w:p>
        </w:tc>
        <w:tc>
          <w:tcPr>
            <w:tcW w:type="dxa" w:w="1054"/>
            <w:shd w:val="clear" w:color="auto" w:fill="F1F2F5"/>
          </w:tcPr>
          <w:p>
            <w:pPr>
              <w:pStyle w:val="Compact"/>
              <w:spacing w:after="0" w:before="0" w:line="240" w:lineRule="auto"/>
              <w:jc w:val="right"/>
            </w:pPr>
            <w:r>
              <w:rPr>
                <w:rFonts w:ascii="Arial" w:hAnsi="Arial"/>
                <w:sz w:val="15"/>
              </w:rPr>
              <w:t xml:space="preserve">31.0%</w:t>
            </w:r>
          </w:p>
        </w:tc>
        <w:tc>
          <w:tcPr>
            <w:tcW w:type="dxa" w:w="1060"/>
            <w:shd w:val="clear" w:color="auto" w:fill="F1F2F5"/>
          </w:tcPr>
          <w:p>
            <w:pPr>
              <w:pStyle w:val="Compact"/>
              <w:spacing w:after="0" w:before="0" w:line="240" w:lineRule="auto"/>
              <w:jc w:val="right"/>
            </w:pPr>
            <w:r>
              <w:rPr>
                <w:rFonts w:ascii="Arial" w:hAnsi="Arial"/>
                <w:sz w:val="15"/>
              </w:rPr>
              <w:t xml:space="preserve">21.2%</w:t>
            </w:r>
          </w:p>
        </w:tc>
        <w:tc>
          <w:tcPr>
            <w:tcW w:type="dxa" w:w="1296"/>
            <w:shd w:val="clear" w:color="auto" w:fill="F1F2F5"/>
          </w:tcPr>
          <w:p>
            <w:pPr>
              <w:pStyle w:val="Compact"/>
              <w:spacing w:after="0" w:before="0" w:line="240" w:lineRule="auto"/>
              <w:jc w:val="right"/>
            </w:pPr>
            <w:r>
              <w:rPr>
                <w:rFonts w:ascii="Arial" w:hAnsi="Arial"/>
                <w:sz w:val="15"/>
              </w:rPr>
              <w:t xml:space="preserve">-1.07x</w:t>
            </w:r>
          </w:p>
        </w:tc>
        <w:tc>
          <w:tcPr>
            <w:tcW w:type="dxa" w:w="924"/>
            <w:shd w:val="clear" w:color="auto" w:fill="F1F2F5"/>
          </w:tcPr>
          <w:p>
            <w:pPr>
              <w:pStyle w:val="Compact"/>
              <w:spacing w:after="0" w:before="0" w:line="240" w:lineRule="auto"/>
              <w:jc w:val="right"/>
            </w:pPr>
            <w:r>
              <w:rPr>
                <w:rFonts w:ascii="Arial" w:hAnsi="Arial"/>
                <w:sz w:val="15"/>
              </w:rPr>
              <w:t xml:space="preserve">0.7%</w:t>
            </w:r>
          </w:p>
        </w:tc>
        <w:tc>
          <w:tcPr>
            <w:tcW w:type="dxa" w:w="909"/>
            <w:shd w:val="clear" w:color="auto" w:fill="F1F2F5"/>
          </w:tcPr>
          <w:p>
            <w:pPr>
              <w:pStyle w:val="Compact"/>
              <w:spacing w:after="0" w:before="0" w:line="240" w:lineRule="auto"/>
              <w:jc w:val="right"/>
            </w:pPr>
            <w:r>
              <w:rPr>
                <w:rFonts w:ascii="Arial" w:hAnsi="Arial"/>
                <w:sz w:val="15"/>
              </w:rPr>
              <w:t xml:space="preserve">3.4%</w:t>
            </w:r>
          </w:p>
        </w:tc>
      </w:tr>
      <w:tr>
        <w:trPr>
          <w:cantSplit/>
        </w:trPr>
        <w:tc>
          <w:tcPr>
            <w:tcW w:type="dxa" w:w="1922"/>
          </w:tcPr>
          <w:p>
            <w:pPr>
              <w:pStyle w:val="Compact"/>
              <w:spacing w:after="0" w:before="0" w:line="240" w:lineRule="auto"/>
              <w:jc w:val="left"/>
            </w:pPr>
            <w:r>
              <w:rPr>
                <w:rFonts w:ascii="Arial" w:hAnsi="Arial"/>
                <w:sz w:val="15"/>
              </w:rPr>
              <w:t xml:space="preserve">Nipro</w:t>
            </w:r>
          </w:p>
        </w:tc>
        <w:tc>
          <w:tcPr>
            <w:tcW w:type="dxa" w:w="1717"/>
          </w:tcPr>
          <w:p>
            <w:pPr>
              <w:pStyle w:val="Compact"/>
              <w:spacing w:after="0" w:before="0" w:line="240" w:lineRule="auto"/>
              <w:jc w:val="left"/>
            </w:pPr>
            <w:r>
              <w:rPr>
                <w:rFonts w:ascii="Arial" w:hAnsi="Arial"/>
                <w:sz w:val="15"/>
              </w:rPr>
              <w:t xml:space="preserve">Japan</w:t>
            </w:r>
          </w:p>
        </w:tc>
        <w:tc>
          <w:tcPr>
            <w:tcW w:type="dxa" w:w="1096"/>
          </w:tcPr>
          <w:p>
            <w:pPr>
              <w:pStyle w:val="Compact"/>
              <w:spacing w:after="0" w:before="0" w:line="240" w:lineRule="auto"/>
              <w:jc w:val="right"/>
            </w:pPr>
            <w:r>
              <w:rPr>
                <w:rFonts w:ascii="Arial" w:hAnsi="Arial"/>
                <w:sz w:val="15"/>
              </w:rPr>
              <w:t xml:space="preserve">15.0%</w:t>
            </w:r>
          </w:p>
        </w:tc>
        <w:tc>
          <w:tcPr>
            <w:tcW w:type="dxa" w:w="1054"/>
          </w:tcPr>
          <w:p>
            <w:pPr>
              <w:pStyle w:val="Compact"/>
              <w:spacing w:after="0" w:before="0" w:line="240" w:lineRule="auto"/>
              <w:jc w:val="right"/>
            </w:pPr>
            <w:r>
              <w:rPr>
                <w:rFonts w:ascii="Arial" w:hAnsi="Arial"/>
                <w:sz w:val="15"/>
              </w:rPr>
              <w:t xml:space="preserve">5.6%</w:t>
            </w:r>
          </w:p>
        </w:tc>
        <w:tc>
          <w:tcPr>
            <w:tcW w:type="dxa" w:w="1060"/>
          </w:tcPr>
          <w:p>
            <w:pPr>
              <w:pStyle w:val="Compact"/>
              <w:spacing w:after="0" w:before="0" w:line="240" w:lineRule="auto"/>
              <w:jc w:val="right"/>
            </w:pPr>
            <w:r>
              <w:rPr>
                <w:rFonts w:ascii="Arial" w:hAnsi="Arial"/>
                <w:sz w:val="15"/>
              </w:rPr>
              <w:t xml:space="preserve">2.7%</w:t>
            </w:r>
          </w:p>
        </w:tc>
        <w:tc>
          <w:tcPr>
            <w:tcW w:type="dxa" w:w="1296"/>
          </w:tcPr>
          <w:p>
            <w:pPr>
              <w:pStyle w:val="Compact"/>
              <w:spacing w:after="0" w:before="0" w:line="240" w:lineRule="auto"/>
              <w:jc w:val="right"/>
            </w:pPr>
            <w:r>
              <w:rPr>
                <w:rFonts w:ascii="Arial" w:hAnsi="Arial"/>
                <w:sz w:val="15"/>
              </w:rPr>
              <w:t xml:space="preserve">5.57x</w:t>
            </w:r>
          </w:p>
        </w:tc>
        <w:tc>
          <w:tcPr>
            <w:tcW w:type="dxa" w:w="924"/>
          </w:tcPr>
          <w:p>
            <w:pPr>
              <w:pStyle w:val="Compact"/>
              <w:spacing w:after="0" w:before="0" w:line="240" w:lineRule="auto"/>
              <w:jc w:val="right"/>
            </w:pPr>
            <w:r>
              <w:rPr>
                <w:rFonts w:ascii="Arial" w:hAnsi="Arial"/>
                <w:sz w:val="15"/>
              </w:rPr>
              <w:t xml:space="preserve">1.6%</w:t>
            </w:r>
          </w:p>
        </w:tc>
        <w:tc>
          <w:tcPr>
            <w:tcW w:type="dxa" w:w="909"/>
          </w:tcPr>
          <w:p>
            <w:pPr>
              <w:pStyle w:val="Compact"/>
              <w:spacing w:after="0" w:before="0" w:line="240" w:lineRule="auto"/>
              <w:jc w:val="right"/>
            </w:pPr>
            <w:r>
              <w:rPr>
                <w:rFonts w:ascii="Arial" w:hAnsi="Arial"/>
                <w:sz w:val="15"/>
              </w:rPr>
              <w:t xml:space="preserve">-3.3%</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Shimadzu</w:t>
            </w:r>
          </w:p>
        </w:tc>
        <w:tc>
          <w:tcPr>
            <w:tcW w:type="dxa" w:w="1717"/>
            <w:shd w:val="clear" w:color="auto" w:fill="F1F2F5"/>
          </w:tcPr>
          <w:p>
            <w:pPr>
              <w:pStyle w:val="Compact"/>
              <w:spacing w:after="0" w:before="0" w:line="240" w:lineRule="auto"/>
              <w:jc w:val="left"/>
            </w:pPr>
            <w:r>
              <w:rPr>
                <w:rFonts w:ascii="Arial" w:hAnsi="Arial"/>
                <w:sz w:val="15"/>
              </w:rPr>
              <w:t xml:space="preserve">Japan</w:t>
            </w:r>
          </w:p>
        </w:tc>
        <w:tc>
          <w:tcPr>
            <w:tcW w:type="dxa" w:w="1096"/>
            <w:shd w:val="clear" w:color="auto" w:fill="F1F2F5"/>
          </w:tcPr>
          <w:p>
            <w:pPr>
              <w:pStyle w:val="Compact"/>
              <w:spacing w:after="0" w:before="0" w:line="240" w:lineRule="auto"/>
              <w:jc w:val="right"/>
            </w:pPr>
            <w:r>
              <w:rPr>
                <w:rFonts w:ascii="Arial" w:hAnsi="Arial"/>
                <w:sz w:val="15"/>
              </w:rPr>
              <w:t xml:space="preserve">16.8%</w:t>
            </w:r>
          </w:p>
        </w:tc>
        <w:tc>
          <w:tcPr>
            <w:tcW w:type="dxa" w:w="1054"/>
            <w:shd w:val="clear" w:color="auto" w:fill="F1F2F5"/>
          </w:tcPr>
          <w:p>
            <w:pPr>
              <w:pStyle w:val="Compact"/>
              <w:spacing w:after="0" w:before="0" w:line="240" w:lineRule="auto"/>
              <w:jc w:val="right"/>
            </w:pPr>
            <w:r>
              <w:rPr>
                <w:rFonts w:ascii="Arial" w:hAnsi="Arial"/>
                <w:sz w:val="15"/>
              </w:rPr>
              <w:t xml:space="preserve">13.2%</w:t>
            </w:r>
          </w:p>
        </w:tc>
        <w:tc>
          <w:tcPr>
            <w:tcW w:type="dxa" w:w="1060"/>
            <w:shd w:val="clear" w:color="auto" w:fill="F1F2F5"/>
          </w:tcPr>
          <w:p>
            <w:pPr>
              <w:pStyle w:val="Compact"/>
              <w:spacing w:after="0" w:before="0" w:line="240" w:lineRule="auto"/>
              <w:jc w:val="right"/>
            </w:pPr>
            <w:r>
              <w:rPr>
                <w:rFonts w:ascii="Arial" w:hAnsi="Arial"/>
                <w:sz w:val="15"/>
              </w:rPr>
              <w:t xml:space="preserve">6.0%</w:t>
            </w:r>
          </w:p>
        </w:tc>
        <w:tc>
          <w:tcPr>
            <w:tcW w:type="dxa" w:w="1296"/>
            <w:shd w:val="clear" w:color="auto" w:fill="F1F2F5"/>
          </w:tcPr>
          <w:p>
            <w:pPr>
              <w:pStyle w:val="Compact"/>
              <w:spacing w:after="0" w:before="0" w:line="240" w:lineRule="auto"/>
              <w:jc w:val="right"/>
            </w:pPr>
            <w:r>
              <w:rPr>
                <w:rFonts w:ascii="Arial" w:hAnsi="Arial"/>
                <w:sz w:val="15"/>
              </w:rPr>
              <w:t xml:space="preserve">-1.49x</w:t>
            </w:r>
          </w:p>
        </w:tc>
        <w:tc>
          <w:tcPr>
            <w:tcW w:type="dxa" w:w="924"/>
            <w:shd w:val="clear" w:color="auto" w:fill="F1F2F5"/>
          </w:tcPr>
          <w:p>
            <w:pPr>
              <w:pStyle w:val="Compact"/>
              <w:spacing w:after="0" w:before="0" w:line="240" w:lineRule="auto"/>
              <w:jc w:val="right"/>
            </w:pPr>
            <w:r>
              <w:rPr>
                <w:rFonts w:ascii="Arial" w:hAnsi="Arial"/>
                <w:sz w:val="15"/>
              </w:rPr>
              <w:t xml:space="preserve">1.5%</w:t>
            </w:r>
          </w:p>
        </w:tc>
        <w:tc>
          <w:tcPr>
            <w:tcW w:type="dxa" w:w="909"/>
            <w:shd w:val="clear" w:color="auto" w:fill="F1F2F5"/>
          </w:tcPr>
          <w:p>
            <w:pPr>
              <w:pStyle w:val="Compact"/>
              <w:spacing w:after="0" w:before="0" w:line="240" w:lineRule="auto"/>
              <w:jc w:val="right"/>
            </w:pPr>
            <w:r>
              <w:rPr>
                <w:rFonts w:ascii="Arial" w:hAnsi="Arial"/>
                <w:sz w:val="15"/>
              </w:rPr>
              <w:t xml:space="preserve">3.1%</w:t>
            </w:r>
          </w:p>
        </w:tc>
      </w:tr>
      <w:tr>
        <w:trPr>
          <w:cantSplit/>
        </w:trPr>
        <w:tc>
          <w:tcPr>
            <w:tcW w:type="dxa" w:w="1922"/>
          </w:tcPr>
          <w:p>
            <w:pPr>
              <w:pStyle w:val="Compact"/>
              <w:spacing w:after="0" w:before="0" w:line="240" w:lineRule="auto"/>
              <w:jc w:val="left"/>
            </w:pPr>
            <w:r>
              <w:rPr>
                <w:rFonts w:ascii="Arial" w:hAnsi="Arial"/>
                <w:sz w:val="15"/>
              </w:rPr>
              <w:t xml:space="preserve">Stryker</w:t>
            </w:r>
          </w:p>
        </w:tc>
        <w:tc>
          <w:tcPr>
            <w:tcW w:type="dxa" w:w="1717"/>
          </w:tcPr>
          <w:p>
            <w:pPr>
              <w:pStyle w:val="Compact"/>
              <w:spacing w:after="0" w:before="0" w:line="240" w:lineRule="auto"/>
              <w:jc w:val="left"/>
            </w:pPr>
            <w:r>
              <w:rPr>
                <w:rFonts w:ascii="Arial" w:hAnsi="Arial"/>
                <w:sz w:val="15"/>
              </w:rPr>
              <w:t xml:space="preserve">United States</w:t>
            </w:r>
          </w:p>
        </w:tc>
        <w:tc>
          <w:tcPr>
            <w:tcW w:type="dxa" w:w="1096"/>
          </w:tcPr>
          <w:p>
            <w:pPr>
              <w:pStyle w:val="Compact"/>
              <w:spacing w:after="0" w:before="0" w:line="240" w:lineRule="auto"/>
              <w:jc w:val="right"/>
            </w:pPr>
            <w:r>
              <w:rPr>
                <w:rFonts w:ascii="Arial" w:hAnsi="Arial"/>
                <w:sz w:val="15"/>
              </w:rPr>
              <w:t xml:space="preserve">28.6%</w:t>
            </w:r>
          </w:p>
        </w:tc>
        <w:tc>
          <w:tcPr>
            <w:tcW w:type="dxa" w:w="1054"/>
          </w:tcPr>
          <w:p>
            <w:pPr>
              <w:pStyle w:val="Compact"/>
              <w:spacing w:after="0" w:before="0" w:line="240" w:lineRule="auto"/>
              <w:jc w:val="right"/>
            </w:pPr>
            <w:r>
              <w:rPr>
                <w:rFonts w:ascii="Arial" w:hAnsi="Arial"/>
                <w:sz w:val="15"/>
              </w:rPr>
              <w:t xml:space="preserve">23.8%</w:t>
            </w:r>
          </w:p>
        </w:tc>
        <w:tc>
          <w:tcPr>
            <w:tcW w:type="dxa" w:w="1060"/>
          </w:tcPr>
          <w:p>
            <w:pPr>
              <w:pStyle w:val="Compact"/>
              <w:spacing w:after="0" w:before="0" w:line="240" w:lineRule="auto"/>
              <w:jc w:val="right"/>
            </w:pPr>
            <w:r>
              <w:rPr>
                <w:rFonts w:ascii="Arial" w:hAnsi="Arial"/>
                <w:sz w:val="15"/>
              </w:rPr>
              <w:t xml:space="preserve">8.5%</w:t>
            </w:r>
          </w:p>
        </w:tc>
        <w:tc>
          <w:tcPr>
            <w:tcW w:type="dxa" w:w="1296"/>
          </w:tcPr>
          <w:p>
            <w:pPr>
              <w:pStyle w:val="Compact"/>
              <w:spacing w:after="0" w:before="0" w:line="240" w:lineRule="auto"/>
              <w:jc w:val="right"/>
            </w:pPr>
            <w:r>
              <w:rPr>
                <w:rFonts w:ascii="Arial" w:hAnsi="Arial"/>
                <w:sz w:val="15"/>
              </w:rPr>
              <w:t xml:space="preserve">1.62x</w:t>
            </w:r>
          </w:p>
        </w:tc>
        <w:tc>
          <w:tcPr>
            <w:tcW w:type="dxa" w:w="924"/>
          </w:tcPr>
          <w:p>
            <w:pPr>
              <w:pStyle w:val="Compact"/>
              <w:spacing w:after="0" w:before="0" w:line="240" w:lineRule="auto"/>
              <w:jc w:val="right"/>
            </w:pPr>
            <w:r>
              <w:rPr>
                <w:rFonts w:ascii="Arial" w:hAnsi="Arial"/>
                <w:sz w:val="15"/>
              </w:rPr>
              <w:t xml:space="preserve">1.2%</w:t>
            </w:r>
          </w:p>
        </w:tc>
        <w:tc>
          <w:tcPr>
            <w:tcW w:type="dxa" w:w="909"/>
          </w:tcPr>
          <w:p>
            <w:pPr>
              <w:pStyle w:val="Compact"/>
              <w:spacing w:after="0" w:before="0" w:line="240" w:lineRule="auto"/>
              <w:jc w:val="right"/>
            </w:pPr>
            <w:r>
              <w:rPr>
                <w:rFonts w:ascii="Arial" w:hAnsi="Arial"/>
                <w:sz w:val="15"/>
              </w:rPr>
              <w:t xml:space="preserve">4.2%</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Medtronic</w:t>
            </w:r>
          </w:p>
        </w:tc>
        <w:tc>
          <w:tcPr>
            <w:tcW w:type="dxa" w:w="1717"/>
            <w:shd w:val="clear" w:color="auto" w:fill="F1F2F5"/>
          </w:tcPr>
          <w:p>
            <w:pPr>
              <w:pStyle w:val="Compact"/>
              <w:spacing w:after="0" w:before="0" w:line="240" w:lineRule="auto"/>
              <w:jc w:val="left"/>
            </w:pPr>
            <w:r>
              <w:rPr>
                <w:rFonts w:ascii="Arial" w:hAnsi="Arial"/>
                <w:sz w:val="15"/>
              </w:rPr>
              <w:t xml:space="preserve">Ireland</w:t>
            </w:r>
          </w:p>
        </w:tc>
        <w:tc>
          <w:tcPr>
            <w:tcW w:type="dxa" w:w="1096"/>
            <w:shd w:val="clear" w:color="auto" w:fill="F1F2F5"/>
          </w:tcPr>
          <w:p>
            <w:pPr>
              <w:pStyle w:val="Compact"/>
              <w:spacing w:after="0" w:before="0" w:line="240" w:lineRule="auto"/>
              <w:jc w:val="right"/>
            </w:pPr>
            <w:r>
              <w:rPr>
                <w:rFonts w:ascii="Arial" w:hAnsi="Arial"/>
                <w:sz w:val="15"/>
              </w:rPr>
              <w:t xml:space="preserve">27.7%</w:t>
            </w:r>
          </w:p>
        </w:tc>
        <w:tc>
          <w:tcPr>
            <w:tcW w:type="dxa" w:w="1054"/>
            <w:shd w:val="clear" w:color="auto" w:fill="F1F2F5"/>
          </w:tcPr>
          <w:p>
            <w:pPr>
              <w:pStyle w:val="Compact"/>
              <w:spacing w:after="0" w:before="0" w:line="240" w:lineRule="auto"/>
              <w:jc w:val="right"/>
            </w:pPr>
            <w:r>
              <w:rPr>
                <w:rFonts w:ascii="Arial" w:hAnsi="Arial"/>
                <w:sz w:val="15"/>
              </w:rPr>
              <w:t xml:space="preserve">20.1%</w:t>
            </w:r>
          </w:p>
        </w:tc>
        <w:tc>
          <w:tcPr>
            <w:tcW w:type="dxa" w:w="1060"/>
            <w:shd w:val="clear" w:color="auto" w:fill="F1F2F5"/>
          </w:tcPr>
          <w:p>
            <w:pPr>
              <w:pStyle w:val="Compact"/>
              <w:spacing w:after="0" w:before="0" w:line="240" w:lineRule="auto"/>
              <w:jc w:val="right"/>
            </w:pPr>
            <w:r>
              <w:rPr>
                <w:rFonts w:ascii="Arial" w:hAnsi="Arial"/>
                <w:sz w:val="15"/>
              </w:rPr>
              <w:t xml:space="preserve">9.8%</w:t>
            </w:r>
          </w:p>
        </w:tc>
        <w:tc>
          <w:tcPr>
            <w:tcW w:type="dxa" w:w="1296"/>
            <w:shd w:val="clear" w:color="auto" w:fill="F1F2F5"/>
          </w:tcPr>
          <w:p>
            <w:pPr>
              <w:pStyle w:val="Compact"/>
              <w:spacing w:after="0" w:before="0" w:line="240" w:lineRule="auto"/>
              <w:jc w:val="right"/>
            </w:pPr>
            <w:r>
              <w:rPr>
                <w:rFonts w:ascii="Arial" w:hAnsi="Arial"/>
                <w:sz w:val="15"/>
              </w:rPr>
              <w:t xml:space="preserve">1.84x</w:t>
            </w:r>
          </w:p>
        </w:tc>
        <w:tc>
          <w:tcPr>
            <w:tcW w:type="dxa" w:w="924"/>
            <w:shd w:val="clear" w:color="auto" w:fill="F1F2F5"/>
          </w:tcPr>
          <w:p>
            <w:pPr>
              <w:pStyle w:val="Compact"/>
              <w:spacing w:after="0" w:before="0" w:line="240" w:lineRule="auto"/>
              <w:jc w:val="right"/>
            </w:pPr>
            <w:r>
              <w:rPr>
                <w:rFonts w:ascii="Arial" w:hAnsi="Arial"/>
                <w:sz w:val="15"/>
              </w:rPr>
              <w:t xml:space="preserve">3.2%</w:t>
            </w:r>
          </w:p>
        </w:tc>
        <w:tc>
          <w:tcPr>
            <w:tcW w:type="dxa" w:w="909"/>
            <w:shd w:val="clear" w:color="auto" w:fill="F1F2F5"/>
          </w:tcPr>
          <w:p>
            <w:pPr>
              <w:pStyle w:val="Compact"/>
              <w:spacing w:after="0" w:before="0" w:line="240" w:lineRule="auto"/>
              <w:jc w:val="right"/>
            </w:pPr>
            <w:r>
              <w:rPr>
                <w:rFonts w:ascii="Arial" w:hAnsi="Arial"/>
                <w:sz w:val="15"/>
              </w:rPr>
              <w:t xml:space="preserve">5.3%</w:t>
            </w:r>
          </w:p>
        </w:tc>
      </w:tr>
      <w:tr>
        <w:trPr>
          <w:cantSplit/>
        </w:trPr>
        <w:tc>
          <w:tcPr>
            <w:tcW w:type="dxa" w:w="1922"/>
          </w:tcPr>
          <w:p>
            <w:pPr>
              <w:pStyle w:val="Compact"/>
              <w:spacing w:after="0" w:before="0" w:line="240" w:lineRule="auto"/>
              <w:jc w:val="left"/>
            </w:pPr>
            <w:r>
              <w:rPr>
                <w:rFonts w:ascii="Arial" w:hAnsi="Arial"/>
                <w:sz w:val="15"/>
              </w:rPr>
              <w:t xml:space="preserve">Boston Scientific</w:t>
            </w:r>
          </w:p>
        </w:tc>
        <w:tc>
          <w:tcPr>
            <w:tcW w:type="dxa" w:w="1717"/>
          </w:tcPr>
          <w:p>
            <w:pPr>
              <w:pStyle w:val="Compact"/>
              <w:spacing w:after="0" w:before="0" w:line="240" w:lineRule="auto"/>
              <w:jc w:val="left"/>
            </w:pPr>
            <w:r>
              <w:rPr>
                <w:rFonts w:ascii="Arial" w:hAnsi="Arial"/>
                <w:sz w:val="15"/>
              </w:rPr>
              <w:t xml:space="preserve">United States</w:t>
            </w:r>
          </w:p>
        </w:tc>
        <w:tc>
          <w:tcPr>
            <w:tcW w:type="dxa" w:w="1096"/>
          </w:tcPr>
          <w:p>
            <w:pPr>
              <w:pStyle w:val="Compact"/>
              <w:spacing w:after="0" w:before="0" w:line="240" w:lineRule="auto"/>
              <w:jc w:val="right"/>
            </w:pPr>
            <w:r>
              <w:rPr>
                <w:rFonts w:ascii="Arial" w:hAnsi="Arial"/>
                <w:sz w:val="15"/>
              </w:rPr>
              <w:t xml:space="preserve">27.2%</w:t>
            </w:r>
          </w:p>
        </w:tc>
        <w:tc>
          <w:tcPr>
            <w:tcW w:type="dxa" w:w="1054"/>
          </w:tcPr>
          <w:p>
            <w:pPr>
              <w:pStyle w:val="Compact"/>
              <w:spacing w:after="0" w:before="0" w:line="240" w:lineRule="auto"/>
              <w:jc w:val="right"/>
            </w:pPr>
            <w:r>
              <w:rPr>
                <w:rFonts w:ascii="Arial" w:hAnsi="Arial"/>
                <w:sz w:val="15"/>
              </w:rPr>
              <w:t xml:space="preserve">20.5%</w:t>
            </w:r>
          </w:p>
        </w:tc>
        <w:tc>
          <w:tcPr>
            <w:tcW w:type="dxa" w:w="1060"/>
          </w:tcPr>
          <w:p>
            <w:pPr>
              <w:pStyle w:val="Compact"/>
              <w:spacing w:after="0" w:before="0" w:line="240" w:lineRule="auto"/>
              <w:jc w:val="right"/>
            </w:pPr>
            <w:r>
              <w:rPr>
                <w:rFonts w:ascii="Arial" w:hAnsi="Arial"/>
                <w:sz w:val="15"/>
              </w:rPr>
              <w:t xml:space="preserve">13.5%</w:t>
            </w:r>
          </w:p>
        </w:tc>
        <w:tc>
          <w:tcPr>
            <w:tcW w:type="dxa" w:w="1296"/>
          </w:tcPr>
          <w:p>
            <w:pPr>
              <w:pStyle w:val="Compact"/>
              <w:spacing w:after="0" w:before="0" w:line="240" w:lineRule="auto"/>
              <w:jc w:val="right"/>
            </w:pPr>
            <w:r>
              <w:rPr>
                <w:rFonts w:ascii="Arial" w:hAnsi="Arial"/>
                <w:sz w:val="15"/>
              </w:rPr>
              <w:t xml:space="preserve">2.12x</w:t>
            </w:r>
          </w:p>
        </w:tc>
        <w:tc>
          <w:tcPr>
            <w:tcW w:type="dxa" w:w="924"/>
          </w:tcPr>
          <w:p>
            <w:pPr>
              <w:pStyle w:val="Compact"/>
              <w:spacing w:after="0" w:before="0" w:line="240" w:lineRule="auto"/>
              <w:jc w:val="right"/>
            </w:pPr>
            <w:r>
              <w:rPr>
                <w:rFonts w:ascii="Arial" w:hAnsi="Arial"/>
                <w:sz w:val="15"/>
              </w:rPr>
              <w:t xml:space="preserve">0.0%</w:t>
            </w:r>
          </w:p>
        </w:tc>
        <w:tc>
          <w:tcPr>
            <w:tcW w:type="dxa" w:w="909"/>
          </w:tcPr>
          <w:p>
            <w:pPr>
              <w:pStyle w:val="Compact"/>
              <w:spacing w:after="0" w:before="0" w:line="240" w:lineRule="auto"/>
              <w:jc w:val="right"/>
            </w:pPr>
            <w:r>
              <w:rPr>
                <w:rFonts w:ascii="Arial" w:hAnsi="Arial"/>
                <w:sz w:val="15"/>
              </w:rPr>
              <w:t xml:space="preserve">5.6%</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Intuitive Surgical</w:t>
            </w:r>
          </w:p>
        </w:tc>
        <w:tc>
          <w:tcPr>
            <w:tcW w:type="dxa" w:w="1717"/>
            <w:shd w:val="clear" w:color="auto" w:fill="F1F2F5"/>
          </w:tcPr>
          <w:p>
            <w:pPr>
              <w:pStyle w:val="Compact"/>
              <w:spacing w:after="0" w:before="0" w:line="240" w:lineRule="auto"/>
              <w:jc w:val="left"/>
            </w:pPr>
            <w:r>
              <w:rPr>
                <w:rFonts w:ascii="Arial" w:hAnsi="Arial"/>
                <w:sz w:val="15"/>
              </w:rPr>
              <w:t xml:space="preserve">United States</w:t>
            </w:r>
          </w:p>
        </w:tc>
        <w:tc>
          <w:tcPr>
            <w:tcW w:type="dxa" w:w="1096"/>
            <w:shd w:val="clear" w:color="auto" w:fill="F1F2F5"/>
          </w:tcPr>
          <w:p>
            <w:pPr>
              <w:pStyle w:val="Compact"/>
              <w:spacing w:after="0" w:before="0" w:line="240" w:lineRule="auto"/>
              <w:jc w:val="right"/>
            </w:pPr>
            <w:r>
              <w:rPr>
                <w:rFonts w:ascii="Arial" w:hAnsi="Arial"/>
                <w:sz w:val="15"/>
              </w:rPr>
              <w:t xml:space="preserve">37.9%</w:t>
            </w:r>
          </w:p>
        </w:tc>
        <w:tc>
          <w:tcPr>
            <w:tcW w:type="dxa" w:w="1054"/>
            <w:shd w:val="clear" w:color="auto" w:fill="F1F2F5"/>
          </w:tcPr>
          <w:p>
            <w:pPr>
              <w:pStyle w:val="Compact"/>
              <w:spacing w:after="0" w:before="0" w:line="240" w:lineRule="auto"/>
              <w:jc w:val="right"/>
            </w:pPr>
            <w:r>
              <w:rPr>
                <w:rFonts w:ascii="Arial" w:hAnsi="Arial"/>
                <w:sz w:val="15"/>
              </w:rPr>
              <w:t xml:space="preserve">31.3%</w:t>
            </w:r>
          </w:p>
        </w:tc>
        <w:tc>
          <w:tcPr>
            <w:tcW w:type="dxa" w:w="1060"/>
            <w:shd w:val="clear" w:color="auto" w:fill="F1F2F5"/>
          </w:tcPr>
          <w:p>
            <w:pPr>
              <w:pStyle w:val="Compact"/>
              <w:spacing w:after="0" w:before="0" w:line="240" w:lineRule="auto"/>
              <w:jc w:val="right"/>
            </w:pPr>
            <w:r>
              <w:rPr>
                <w:rFonts w:ascii="Arial" w:hAnsi="Arial"/>
                <w:sz w:val="15"/>
              </w:rPr>
              <w:t xml:space="preserve">20.7%</w:t>
            </w:r>
          </w:p>
        </w:tc>
        <w:tc>
          <w:tcPr>
            <w:tcW w:type="dxa" w:w="1296"/>
            <w:shd w:val="clear" w:color="auto" w:fill="F1F2F5"/>
          </w:tcPr>
          <w:p>
            <w:pPr>
              <w:pStyle w:val="Compact"/>
              <w:spacing w:after="0" w:before="0" w:line="240" w:lineRule="auto"/>
              <w:jc w:val="right"/>
            </w:pPr>
            <w:r>
              <w:rPr>
                <w:rFonts w:ascii="Arial" w:hAnsi="Arial"/>
                <w:sz w:val="15"/>
              </w:rPr>
              <w:t xml:space="preserve">-1.25x</w:t>
            </w:r>
          </w:p>
        </w:tc>
        <w:tc>
          <w:tcPr>
            <w:tcW w:type="dxa" w:w="924"/>
            <w:shd w:val="clear" w:color="auto" w:fill="F1F2F5"/>
          </w:tcPr>
          <w:p>
            <w:pPr>
              <w:pStyle w:val="Compact"/>
              <w:spacing w:after="0" w:before="0" w:line="240" w:lineRule="auto"/>
              <w:jc w:val="right"/>
            </w:pPr>
            <w:r>
              <w:rPr>
                <w:rFonts w:ascii="Arial" w:hAnsi="Arial"/>
                <w:sz w:val="15"/>
              </w:rPr>
              <w:t xml:space="preserve">0.0%</w:t>
            </w:r>
          </w:p>
        </w:tc>
        <w:tc>
          <w:tcPr>
            <w:tcW w:type="dxa" w:w="909"/>
            <w:shd w:val="clear" w:color="auto" w:fill="F1F2F5"/>
          </w:tcPr>
          <w:p>
            <w:pPr>
              <w:pStyle w:val="Compact"/>
              <w:spacing w:after="0" w:before="0" w:line="240" w:lineRule="auto"/>
              <w:jc w:val="right"/>
            </w:pPr>
            <w:r>
              <w:rPr>
                <w:rFonts w:ascii="Arial" w:hAnsi="Arial"/>
                <w:sz w:val="15"/>
              </w:rPr>
              <w:t xml:space="preserve">2.1%</w:t>
            </w:r>
          </w:p>
        </w:tc>
      </w:tr>
      <w:tr>
        <w:trPr>
          <w:cantSplit/>
        </w:trPr>
        <w:tc>
          <w:tcPr>
            <w:tcW w:type="dxa" w:w="1922"/>
          </w:tcPr>
          <w:p>
            <w:pPr>
              <w:pStyle w:val="Compact"/>
              <w:spacing w:after="0" w:before="0" w:line="240" w:lineRule="auto"/>
              <w:jc w:val="left"/>
            </w:pPr>
            <w:r>
              <w:rPr>
                <w:rFonts w:ascii="Arial" w:hAnsi="Arial"/>
                <w:sz w:val="15"/>
              </w:rPr>
              <w:t xml:space="preserve">Johnson &amp; Johnson</w:t>
            </w:r>
          </w:p>
        </w:tc>
        <w:tc>
          <w:tcPr>
            <w:tcW w:type="dxa" w:w="1717"/>
          </w:tcPr>
          <w:p>
            <w:pPr>
              <w:pStyle w:val="Compact"/>
              <w:spacing w:after="0" w:before="0" w:line="240" w:lineRule="auto"/>
              <w:jc w:val="left"/>
            </w:pPr>
            <w:r>
              <w:rPr>
                <w:rFonts w:ascii="Arial" w:hAnsi="Arial"/>
                <w:sz w:val="15"/>
              </w:rPr>
              <w:t xml:space="preserve">United States</w:t>
            </w:r>
          </w:p>
        </w:tc>
        <w:tc>
          <w:tcPr>
            <w:tcW w:type="dxa" w:w="1096"/>
          </w:tcPr>
          <w:p>
            <w:pPr>
              <w:pStyle w:val="Compact"/>
              <w:spacing w:after="0" w:before="0" w:line="240" w:lineRule="auto"/>
              <w:jc w:val="right"/>
            </w:pPr>
            <w:r>
              <w:rPr>
                <w:rFonts w:ascii="Arial" w:hAnsi="Arial"/>
                <w:sz w:val="15"/>
              </w:rPr>
              <w:t xml:space="preserve">34.4%</w:t>
            </w:r>
          </w:p>
        </w:tc>
        <w:tc>
          <w:tcPr>
            <w:tcW w:type="dxa" w:w="1054"/>
          </w:tcPr>
          <w:p>
            <w:pPr>
              <w:pStyle w:val="Compact"/>
              <w:spacing w:after="0" w:before="0" w:line="240" w:lineRule="auto"/>
              <w:jc w:val="right"/>
            </w:pPr>
            <w:r>
              <w:rPr>
                <w:rFonts w:ascii="Arial" w:hAnsi="Arial"/>
                <w:sz w:val="15"/>
              </w:rPr>
              <w:t xml:space="preserve">26.4%</w:t>
            </w:r>
          </w:p>
        </w:tc>
        <w:tc>
          <w:tcPr>
            <w:tcW w:type="dxa" w:w="1060"/>
          </w:tcPr>
          <w:p>
            <w:pPr>
              <w:pStyle w:val="Compact"/>
              <w:spacing w:after="0" w:before="0" w:line="240" w:lineRule="auto"/>
              <w:jc w:val="right"/>
            </w:pPr>
            <w:r>
              <w:rPr>
                <w:rFonts w:ascii="Arial" w:hAnsi="Arial"/>
                <w:sz w:val="15"/>
              </w:rPr>
              <w:t xml:space="preserve">7.8%</w:t>
            </w:r>
          </w:p>
        </w:tc>
        <w:tc>
          <w:tcPr>
            <w:tcW w:type="dxa" w:w="1296"/>
          </w:tcPr>
          <w:p>
            <w:pPr>
              <w:pStyle w:val="Compact"/>
              <w:spacing w:after="0" w:before="0" w:line="240" w:lineRule="auto"/>
              <w:jc w:val="right"/>
            </w:pPr>
            <w:r>
              <w:rPr>
                <w:rFonts w:ascii="Arial" w:hAnsi="Arial"/>
                <w:sz w:val="15"/>
              </w:rPr>
              <w:t xml:space="preserve">0.83x</w:t>
            </w:r>
          </w:p>
        </w:tc>
        <w:tc>
          <w:tcPr>
            <w:tcW w:type="dxa" w:w="924"/>
          </w:tcPr>
          <w:p>
            <w:pPr>
              <w:pStyle w:val="Compact"/>
              <w:spacing w:after="0" w:before="0" w:line="240" w:lineRule="auto"/>
              <w:jc w:val="right"/>
            </w:pPr>
            <w:r>
              <w:rPr>
                <w:rFonts w:ascii="Arial" w:hAnsi="Arial"/>
                <w:sz w:val="15"/>
              </w:rPr>
              <w:t xml:space="preserve">2.0%</w:t>
            </w:r>
          </w:p>
        </w:tc>
        <w:tc>
          <w:tcPr>
            <w:tcW w:type="dxa" w:w="909"/>
          </w:tcPr>
          <w:p>
            <w:pPr>
              <w:pStyle w:val="Compact"/>
              <w:spacing w:after="0" w:before="0" w:line="240" w:lineRule="auto"/>
              <w:jc w:val="right"/>
            </w:pPr>
            <w:r>
              <w:rPr>
                <w:rFonts w:ascii="Arial" w:hAnsi="Arial"/>
                <w:sz w:val="15"/>
              </w:rPr>
              <w:t xml:space="preserve">3.2%</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Becton Dickinson</w:t>
            </w:r>
          </w:p>
        </w:tc>
        <w:tc>
          <w:tcPr>
            <w:tcW w:type="dxa" w:w="1717"/>
            <w:shd w:val="clear" w:color="auto" w:fill="F1F2F5"/>
          </w:tcPr>
          <w:p>
            <w:pPr>
              <w:pStyle w:val="Compact"/>
              <w:spacing w:after="0" w:before="0" w:line="240" w:lineRule="auto"/>
              <w:jc w:val="left"/>
            </w:pPr>
            <w:r>
              <w:rPr>
                <w:rFonts w:ascii="Arial" w:hAnsi="Arial"/>
                <w:sz w:val="15"/>
              </w:rPr>
              <w:t xml:space="preserve">United States</w:t>
            </w:r>
          </w:p>
        </w:tc>
        <w:tc>
          <w:tcPr>
            <w:tcW w:type="dxa" w:w="1096"/>
            <w:shd w:val="clear" w:color="auto" w:fill="F1F2F5"/>
          </w:tcPr>
          <w:p>
            <w:pPr>
              <w:pStyle w:val="Compact"/>
              <w:spacing w:after="0" w:before="0" w:line="240" w:lineRule="auto"/>
              <w:jc w:val="right"/>
            </w:pPr>
            <w:r>
              <w:rPr>
                <w:rFonts w:ascii="Arial" w:hAnsi="Arial"/>
                <w:sz w:val="15"/>
              </w:rPr>
              <w:t xml:space="preserve">27.2%</w:t>
            </w:r>
          </w:p>
        </w:tc>
        <w:tc>
          <w:tcPr>
            <w:tcW w:type="dxa" w:w="1054"/>
            <w:shd w:val="clear" w:color="auto" w:fill="F1F2F5"/>
          </w:tcPr>
          <w:p>
            <w:pPr>
              <w:pStyle w:val="Compact"/>
              <w:spacing w:after="0" w:before="0" w:line="240" w:lineRule="auto"/>
              <w:jc w:val="right"/>
            </w:pPr>
            <w:r>
              <w:rPr>
                <w:rFonts w:ascii="Arial" w:hAnsi="Arial"/>
                <w:sz w:val="15"/>
              </w:rPr>
              <w:t xml:space="preserve">16.3%</w:t>
            </w:r>
          </w:p>
        </w:tc>
        <w:tc>
          <w:tcPr>
            <w:tcW w:type="dxa" w:w="1060"/>
            <w:shd w:val="clear" w:color="auto" w:fill="F1F2F5"/>
          </w:tcPr>
          <w:p>
            <w:pPr>
              <w:pStyle w:val="Compact"/>
              <w:spacing w:after="0" w:before="0" w:line="240" w:lineRule="auto"/>
              <w:jc w:val="right"/>
            </w:pPr>
            <w:r>
              <w:rPr>
                <w:rFonts w:ascii="Arial" w:hAnsi="Arial"/>
                <w:sz w:val="15"/>
              </w:rPr>
              <w:t xml:space="preserve">n/m</w:t>
            </w:r>
          </w:p>
        </w:tc>
        <w:tc>
          <w:tcPr>
            <w:tcW w:type="dxa" w:w="1296"/>
            <w:shd w:val="clear" w:color="auto" w:fill="F1F2F5"/>
          </w:tcPr>
          <w:p>
            <w:pPr>
              <w:pStyle w:val="Compact"/>
              <w:spacing w:after="0" w:before="0" w:line="240" w:lineRule="auto"/>
              <w:jc w:val="right"/>
            </w:pPr>
            <w:r>
              <w:rPr>
                <w:rFonts w:ascii="Arial" w:hAnsi="Arial"/>
                <w:sz w:val="15"/>
              </w:rPr>
              <w:t xml:space="preserve">2.63x</w:t>
            </w:r>
          </w:p>
        </w:tc>
        <w:tc>
          <w:tcPr>
            <w:tcW w:type="dxa" w:w="924"/>
            <w:shd w:val="clear" w:color="auto" w:fill="F1F2F5"/>
          </w:tcPr>
          <w:p>
            <w:pPr>
              <w:pStyle w:val="Compact"/>
              <w:spacing w:after="0" w:before="0" w:line="240" w:lineRule="auto"/>
              <w:jc w:val="right"/>
            </w:pPr>
            <w:r>
              <w:rPr>
                <w:rFonts w:ascii="Arial" w:hAnsi="Arial"/>
                <w:sz w:val="15"/>
              </w:rPr>
              <w:t xml:space="preserve">2.2%</w:t>
            </w:r>
          </w:p>
        </w:tc>
        <w:tc>
          <w:tcPr>
            <w:tcW w:type="dxa" w:w="909"/>
            <w:shd w:val="clear" w:color="auto" w:fill="F1F2F5"/>
          </w:tcPr>
          <w:p>
            <w:pPr>
              <w:pStyle w:val="Compact"/>
              <w:spacing w:after="0" w:before="0" w:line="240" w:lineRule="auto"/>
              <w:jc w:val="right"/>
            </w:pPr>
            <w:r>
              <w:rPr>
                <w:rFonts w:ascii="Arial" w:hAnsi="Arial"/>
                <w:sz w:val="15"/>
              </w:rPr>
              <w:t xml:space="preserve">5.0%</w:t>
            </w:r>
          </w:p>
        </w:tc>
      </w:tr>
      <w:tr>
        <w:trPr>
          <w:cantSplit/>
        </w:trPr>
        <w:tc>
          <w:tcPr>
            <w:tcW w:type="dxa" w:w="1922"/>
          </w:tcPr>
          <w:p>
            <w:pPr>
              <w:pStyle w:val="Compact"/>
              <w:spacing w:after="0" w:before="0" w:line="240" w:lineRule="auto"/>
              <w:jc w:val="left"/>
            </w:pPr>
            <w:r>
              <w:rPr>
                <w:rFonts w:ascii="Arial" w:hAnsi="Arial"/>
                <w:sz w:val="15"/>
              </w:rPr>
              <w:t xml:space="preserve">Teleflex</w:t>
            </w:r>
          </w:p>
        </w:tc>
        <w:tc>
          <w:tcPr>
            <w:tcW w:type="dxa" w:w="1717"/>
          </w:tcPr>
          <w:p>
            <w:pPr>
              <w:pStyle w:val="Compact"/>
              <w:spacing w:after="0" w:before="0" w:line="240" w:lineRule="auto"/>
              <w:jc w:val="left"/>
            </w:pPr>
            <w:r>
              <w:rPr>
                <w:rFonts w:ascii="Arial" w:hAnsi="Arial"/>
                <w:sz w:val="15"/>
              </w:rPr>
              <w:t xml:space="preserve">United States</w:t>
            </w:r>
          </w:p>
        </w:tc>
        <w:tc>
          <w:tcPr>
            <w:tcW w:type="dxa" w:w="1096"/>
          </w:tcPr>
          <w:p>
            <w:pPr>
              <w:pStyle w:val="Compact"/>
              <w:spacing w:after="0" w:before="0" w:line="240" w:lineRule="auto"/>
              <w:jc w:val="right"/>
            </w:pPr>
            <w:r>
              <w:rPr>
                <w:rFonts w:ascii="Arial" w:hAnsi="Arial"/>
                <w:sz w:val="15"/>
              </w:rPr>
              <w:t xml:space="preserve">17.9%</w:t>
            </w:r>
          </w:p>
        </w:tc>
        <w:tc>
          <w:tcPr>
            <w:tcW w:type="dxa" w:w="1054"/>
          </w:tcPr>
          <w:p>
            <w:pPr>
              <w:pStyle w:val="Compact"/>
              <w:spacing w:after="0" w:before="0" w:line="240" w:lineRule="auto"/>
              <w:jc w:val="right"/>
            </w:pPr>
            <w:r>
              <w:rPr>
                <w:rFonts w:ascii="Arial" w:hAnsi="Arial"/>
                <w:sz w:val="15"/>
              </w:rPr>
              <w:t xml:space="preserve">8.8%</w:t>
            </w:r>
          </w:p>
        </w:tc>
        <w:tc>
          <w:tcPr>
            <w:tcW w:type="dxa" w:w="1060"/>
          </w:tcPr>
          <w:p>
            <w:pPr>
              <w:pStyle w:val="Compact"/>
              <w:spacing w:after="0" w:before="0" w:line="240" w:lineRule="auto"/>
              <w:jc w:val="right"/>
            </w:pPr>
            <w:r>
              <w:rPr>
                <w:rFonts w:ascii="Arial" w:hAnsi="Arial"/>
                <w:sz w:val="15"/>
              </w:rPr>
              <w:t xml:space="preserve">n/m</w:t>
            </w:r>
          </w:p>
        </w:tc>
        <w:tc>
          <w:tcPr>
            <w:tcW w:type="dxa" w:w="1296"/>
          </w:tcPr>
          <w:p>
            <w:pPr>
              <w:pStyle w:val="Compact"/>
              <w:spacing w:after="0" w:before="0" w:line="240" w:lineRule="auto"/>
              <w:jc w:val="right"/>
            </w:pPr>
            <w:r>
              <w:rPr>
                <w:rFonts w:ascii="Arial" w:hAnsi="Arial"/>
                <w:sz w:val="15"/>
              </w:rPr>
              <w:t xml:space="preserve">6.47x</w:t>
            </w:r>
          </w:p>
        </w:tc>
        <w:tc>
          <w:tcPr>
            <w:tcW w:type="dxa" w:w="924"/>
          </w:tcPr>
          <w:p>
            <w:pPr>
              <w:pStyle w:val="Compact"/>
              <w:spacing w:after="0" w:before="0" w:line="240" w:lineRule="auto"/>
              <w:jc w:val="right"/>
            </w:pPr>
            <w:r>
              <w:rPr>
                <w:rFonts w:ascii="Arial" w:hAnsi="Arial"/>
                <w:sz w:val="15"/>
              </w:rPr>
              <w:t xml:space="preserve">1.1%</w:t>
            </w:r>
          </w:p>
        </w:tc>
        <w:tc>
          <w:tcPr>
            <w:tcW w:type="dxa" w:w="909"/>
          </w:tcPr>
          <w:p>
            <w:pPr>
              <w:pStyle w:val="Compact"/>
              <w:spacing w:after="0" w:before="0" w:line="240" w:lineRule="auto"/>
              <w:jc w:val="right"/>
            </w:pPr>
            <w:r>
              <w:rPr>
                <w:rFonts w:ascii="Arial" w:hAnsi="Arial"/>
                <w:sz w:val="15"/>
              </w:rPr>
              <w:t xml:space="preserve">5.9%</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CONMED</w:t>
            </w:r>
          </w:p>
        </w:tc>
        <w:tc>
          <w:tcPr>
            <w:tcW w:type="dxa" w:w="1717"/>
            <w:shd w:val="clear" w:color="auto" w:fill="F1F2F5"/>
          </w:tcPr>
          <w:p>
            <w:pPr>
              <w:pStyle w:val="Compact"/>
              <w:spacing w:after="0" w:before="0" w:line="240" w:lineRule="auto"/>
              <w:jc w:val="left"/>
            </w:pPr>
            <w:r>
              <w:rPr>
                <w:rFonts w:ascii="Arial" w:hAnsi="Arial"/>
                <w:sz w:val="15"/>
              </w:rPr>
              <w:t xml:space="preserve">United States</w:t>
            </w:r>
          </w:p>
        </w:tc>
        <w:tc>
          <w:tcPr>
            <w:tcW w:type="dxa" w:w="1096"/>
            <w:shd w:val="clear" w:color="auto" w:fill="F1F2F5"/>
          </w:tcPr>
          <w:p>
            <w:pPr>
              <w:pStyle w:val="Compact"/>
              <w:spacing w:after="0" w:before="0" w:line="240" w:lineRule="auto"/>
              <w:jc w:val="right"/>
            </w:pPr>
            <w:r>
              <w:rPr>
                <w:rFonts w:ascii="Arial" w:hAnsi="Arial"/>
                <w:sz w:val="15"/>
              </w:rPr>
              <w:t xml:space="preserve">16.6%</w:t>
            </w:r>
          </w:p>
        </w:tc>
        <w:tc>
          <w:tcPr>
            <w:tcW w:type="dxa" w:w="1054"/>
            <w:shd w:val="clear" w:color="auto" w:fill="F1F2F5"/>
          </w:tcPr>
          <w:p>
            <w:pPr>
              <w:pStyle w:val="Compact"/>
              <w:spacing w:after="0" w:before="0" w:line="240" w:lineRule="auto"/>
              <w:jc w:val="right"/>
            </w:pPr>
            <w:r>
              <w:rPr>
                <w:rFonts w:ascii="Arial" w:hAnsi="Arial"/>
                <w:sz w:val="15"/>
              </w:rPr>
              <w:t xml:space="preserve">11.2%</w:t>
            </w:r>
          </w:p>
        </w:tc>
        <w:tc>
          <w:tcPr>
            <w:tcW w:type="dxa" w:w="1060"/>
            <w:shd w:val="clear" w:color="auto" w:fill="F1F2F5"/>
          </w:tcPr>
          <w:p>
            <w:pPr>
              <w:pStyle w:val="Compact"/>
              <w:spacing w:after="0" w:before="0" w:line="240" w:lineRule="auto"/>
              <w:jc w:val="right"/>
            </w:pPr>
            <w:r>
              <w:rPr>
                <w:rFonts w:ascii="Arial" w:hAnsi="Arial"/>
                <w:sz w:val="15"/>
              </w:rPr>
              <w:t xml:space="preserve">3.4%</w:t>
            </w:r>
          </w:p>
        </w:tc>
        <w:tc>
          <w:tcPr>
            <w:tcW w:type="dxa" w:w="1296"/>
            <w:shd w:val="clear" w:color="auto" w:fill="F1F2F5"/>
          </w:tcPr>
          <w:p>
            <w:pPr>
              <w:pStyle w:val="Compact"/>
              <w:spacing w:after="0" w:before="0" w:line="240" w:lineRule="auto"/>
              <w:jc w:val="right"/>
            </w:pPr>
            <w:r>
              <w:rPr>
                <w:rFonts w:ascii="Arial" w:hAnsi="Arial"/>
                <w:sz w:val="15"/>
              </w:rPr>
              <w:t xml:space="preserve">3.50x</w:t>
            </w:r>
          </w:p>
        </w:tc>
        <w:tc>
          <w:tcPr>
            <w:tcW w:type="dxa" w:w="924"/>
            <w:shd w:val="clear" w:color="auto" w:fill="F1F2F5"/>
          </w:tcPr>
          <w:p>
            <w:pPr>
              <w:pStyle w:val="Compact"/>
              <w:spacing w:after="0" w:before="0" w:line="240" w:lineRule="auto"/>
              <w:jc w:val="right"/>
            </w:pPr>
            <w:r>
              <w:rPr>
                <w:rFonts w:ascii="Arial" w:hAnsi="Arial"/>
                <w:sz w:val="15"/>
              </w:rPr>
              <w:t xml:space="preserve">0.9%</w:t>
            </w:r>
          </w:p>
        </w:tc>
        <w:tc>
          <w:tcPr>
            <w:tcW w:type="dxa" w:w="909"/>
            <w:shd w:val="clear" w:color="auto" w:fill="F1F2F5"/>
          </w:tcPr>
          <w:p>
            <w:pPr>
              <w:pStyle w:val="Compact"/>
              <w:spacing w:after="0" w:before="0" w:line="240" w:lineRule="auto"/>
              <w:jc w:val="right"/>
            </w:pPr>
            <w:r>
              <w:rPr>
                <w:rFonts w:ascii="Arial" w:hAnsi="Arial"/>
                <w:sz w:val="15"/>
              </w:rPr>
              <w:t xml:space="preserve">9.6%</w:t>
            </w:r>
          </w:p>
        </w:tc>
      </w:tr>
      <w:tr>
        <w:trPr>
          <w:cantSplit/>
        </w:trPr>
        <w:tc>
          <w:tcPr>
            <w:tcW w:type="dxa" w:w="1922"/>
          </w:tcPr>
          <w:p>
            <w:pPr>
              <w:pStyle w:val="Compact"/>
              <w:spacing w:after="0" w:before="0" w:line="240" w:lineRule="auto"/>
              <w:jc w:val="left"/>
            </w:pPr>
            <w:r>
              <w:rPr>
                <w:rFonts w:ascii="Arial" w:hAnsi="Arial"/>
                <w:sz w:val="15"/>
              </w:rPr>
              <w:t xml:space="preserve">STERIS</w:t>
            </w:r>
          </w:p>
        </w:tc>
        <w:tc>
          <w:tcPr>
            <w:tcW w:type="dxa" w:w="1717"/>
          </w:tcPr>
          <w:p>
            <w:pPr>
              <w:pStyle w:val="Compact"/>
              <w:spacing w:after="0" w:before="0" w:line="240" w:lineRule="auto"/>
              <w:jc w:val="left"/>
            </w:pPr>
            <w:r>
              <w:rPr>
                <w:rFonts w:ascii="Arial" w:hAnsi="Arial"/>
                <w:sz w:val="15"/>
              </w:rPr>
              <w:t xml:space="preserve">Ireland/US</w:t>
            </w:r>
          </w:p>
        </w:tc>
        <w:tc>
          <w:tcPr>
            <w:tcW w:type="dxa" w:w="1096"/>
          </w:tcPr>
          <w:p>
            <w:pPr>
              <w:pStyle w:val="Compact"/>
              <w:spacing w:after="0" w:before="0" w:line="240" w:lineRule="auto"/>
              <w:jc w:val="right"/>
            </w:pPr>
            <w:r>
              <w:rPr>
                <w:rFonts w:ascii="Arial" w:hAnsi="Arial"/>
                <w:sz w:val="15"/>
              </w:rPr>
              <w:t xml:space="preserve">27.2%</w:t>
            </w:r>
          </w:p>
        </w:tc>
        <w:tc>
          <w:tcPr>
            <w:tcW w:type="dxa" w:w="1054"/>
          </w:tcPr>
          <w:p>
            <w:pPr>
              <w:pStyle w:val="Compact"/>
              <w:spacing w:after="0" w:before="0" w:line="240" w:lineRule="auto"/>
              <w:jc w:val="right"/>
            </w:pPr>
            <w:r>
              <w:rPr>
                <w:rFonts w:ascii="Arial" w:hAnsi="Arial"/>
                <w:sz w:val="15"/>
              </w:rPr>
              <w:t xml:space="preserve">19.0%</w:t>
            </w:r>
          </w:p>
        </w:tc>
        <w:tc>
          <w:tcPr>
            <w:tcW w:type="dxa" w:w="1060"/>
          </w:tcPr>
          <w:p>
            <w:pPr>
              <w:pStyle w:val="Compact"/>
              <w:spacing w:after="0" w:before="0" w:line="240" w:lineRule="auto"/>
              <w:jc w:val="right"/>
            </w:pPr>
            <w:r>
              <w:rPr>
                <w:rFonts w:ascii="Arial" w:hAnsi="Arial"/>
                <w:sz w:val="15"/>
              </w:rPr>
              <w:t xml:space="preserve">8.4%</w:t>
            </w:r>
          </w:p>
        </w:tc>
        <w:tc>
          <w:tcPr>
            <w:tcW w:type="dxa" w:w="1296"/>
          </w:tcPr>
          <w:p>
            <w:pPr>
              <w:pStyle w:val="Compact"/>
              <w:spacing w:after="0" w:before="0" w:line="240" w:lineRule="auto"/>
              <w:jc w:val="right"/>
            </w:pPr>
            <w:r>
              <w:rPr>
                <w:rFonts w:ascii="Arial" w:hAnsi="Arial"/>
                <w:sz w:val="15"/>
              </w:rPr>
              <w:t xml:space="preserve">0.95x</w:t>
            </w:r>
          </w:p>
        </w:tc>
        <w:tc>
          <w:tcPr>
            <w:tcW w:type="dxa" w:w="924"/>
          </w:tcPr>
          <w:p>
            <w:pPr>
              <w:pStyle w:val="Compact"/>
              <w:spacing w:after="0" w:before="0" w:line="240" w:lineRule="auto"/>
              <w:jc w:val="right"/>
            </w:pPr>
            <w:r>
              <w:rPr>
                <w:rFonts w:ascii="Arial" w:hAnsi="Arial"/>
                <w:sz w:val="15"/>
              </w:rPr>
              <w:t xml:space="preserve">1.1%</w:t>
            </w:r>
          </w:p>
        </w:tc>
        <w:tc>
          <w:tcPr>
            <w:tcW w:type="dxa" w:w="909"/>
          </w:tcPr>
          <w:p>
            <w:pPr>
              <w:pStyle w:val="Compact"/>
              <w:spacing w:after="0" w:before="0" w:line="240" w:lineRule="auto"/>
              <w:jc w:val="right"/>
            </w:pPr>
            <w:r>
              <w:rPr>
                <w:rFonts w:ascii="Arial" w:hAnsi="Arial"/>
                <w:sz w:val="15"/>
              </w:rPr>
              <w:t xml:space="preserve">4.3%</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Integra Life.</w:t>
            </w:r>
          </w:p>
        </w:tc>
        <w:tc>
          <w:tcPr>
            <w:tcW w:type="dxa" w:w="1717"/>
            <w:shd w:val="clear" w:color="auto" w:fill="F1F2F5"/>
          </w:tcPr>
          <w:p>
            <w:pPr>
              <w:pStyle w:val="Compact"/>
              <w:spacing w:after="0" w:before="0" w:line="240" w:lineRule="auto"/>
              <w:jc w:val="left"/>
            </w:pPr>
            <w:r>
              <w:rPr>
                <w:rFonts w:ascii="Arial" w:hAnsi="Arial"/>
                <w:sz w:val="15"/>
              </w:rPr>
              <w:t xml:space="preserve">United States</w:t>
            </w:r>
          </w:p>
        </w:tc>
        <w:tc>
          <w:tcPr>
            <w:tcW w:type="dxa" w:w="1096"/>
            <w:shd w:val="clear" w:color="auto" w:fill="F1F2F5"/>
          </w:tcPr>
          <w:p>
            <w:pPr>
              <w:pStyle w:val="Compact"/>
              <w:spacing w:after="0" w:before="0" w:line="240" w:lineRule="auto"/>
              <w:jc w:val="right"/>
            </w:pPr>
            <w:r>
              <w:rPr>
                <w:rFonts w:ascii="Arial" w:hAnsi="Arial"/>
                <w:sz w:val="15"/>
              </w:rPr>
              <w:t xml:space="preserve">19.2%</w:t>
            </w:r>
          </w:p>
        </w:tc>
        <w:tc>
          <w:tcPr>
            <w:tcW w:type="dxa" w:w="1054"/>
            <w:shd w:val="clear" w:color="auto" w:fill="F1F2F5"/>
          </w:tcPr>
          <w:p>
            <w:pPr>
              <w:pStyle w:val="Compact"/>
              <w:spacing w:after="0" w:before="0" w:line="240" w:lineRule="auto"/>
              <w:jc w:val="right"/>
            </w:pPr>
            <w:r>
              <w:rPr>
                <w:rFonts w:ascii="Arial" w:hAnsi="Arial"/>
                <w:sz w:val="15"/>
              </w:rPr>
              <w:t xml:space="preserve">9.9%</w:t>
            </w:r>
          </w:p>
        </w:tc>
        <w:tc>
          <w:tcPr>
            <w:tcW w:type="dxa" w:w="1060"/>
            <w:shd w:val="clear" w:color="auto" w:fill="F1F2F5"/>
          </w:tcPr>
          <w:p>
            <w:pPr>
              <w:pStyle w:val="Compact"/>
              <w:spacing w:after="0" w:before="0" w:line="240" w:lineRule="auto"/>
              <w:jc w:val="right"/>
            </w:pPr>
            <w:r>
              <w:rPr>
                <w:rFonts w:ascii="Arial" w:hAnsi="Arial"/>
                <w:sz w:val="15"/>
              </w:rPr>
              <w:t xml:space="preserve">1.6%</w:t>
            </w:r>
          </w:p>
        </w:tc>
        <w:tc>
          <w:tcPr>
            <w:tcW w:type="dxa" w:w="1296"/>
            <w:shd w:val="clear" w:color="auto" w:fill="F1F2F5"/>
          </w:tcPr>
          <w:p>
            <w:pPr>
              <w:pStyle w:val="Compact"/>
              <w:spacing w:after="0" w:before="0" w:line="240" w:lineRule="auto"/>
              <w:jc w:val="right"/>
            </w:pPr>
            <w:r>
              <w:rPr>
                <w:rFonts w:ascii="Arial" w:hAnsi="Arial"/>
                <w:sz w:val="15"/>
              </w:rPr>
              <w:t xml:space="preserve">5.60x</w:t>
            </w:r>
          </w:p>
        </w:tc>
        <w:tc>
          <w:tcPr>
            <w:tcW w:type="dxa" w:w="924"/>
            <w:shd w:val="clear" w:color="auto" w:fill="F1F2F5"/>
          </w:tcPr>
          <w:p>
            <w:pPr>
              <w:pStyle w:val="Compact"/>
              <w:spacing w:after="0" w:before="0" w:line="240" w:lineRule="auto"/>
              <w:jc w:val="right"/>
            </w:pPr>
            <w:r>
              <w:rPr>
                <w:rFonts w:ascii="Arial" w:hAnsi="Arial"/>
                <w:sz w:val="15"/>
              </w:rPr>
              <w:t xml:space="preserve">0.0%</w:t>
            </w:r>
          </w:p>
        </w:tc>
        <w:tc>
          <w:tcPr>
            <w:tcW w:type="dxa" w:w="909"/>
            <w:shd w:val="clear" w:color="auto" w:fill="F1F2F5"/>
          </w:tcPr>
          <w:p>
            <w:pPr>
              <w:pStyle w:val="Compact"/>
              <w:spacing w:after="0" w:before="0" w:line="240" w:lineRule="auto"/>
              <w:jc w:val="right"/>
            </w:pPr>
            <w:r>
              <w:rPr>
                <w:rFonts w:ascii="Arial" w:hAnsi="Arial"/>
                <w:sz w:val="15"/>
              </w:rPr>
              <w:t xml:space="preserve">2.5%</w:t>
            </w:r>
          </w:p>
        </w:tc>
      </w:tr>
      <w:tr>
        <w:trPr>
          <w:cantSplit/>
        </w:trPr>
        <w:tc>
          <w:tcPr>
            <w:tcW w:type="dxa" w:w="1922"/>
          </w:tcPr>
          <w:p>
            <w:pPr>
              <w:pStyle w:val="Compact"/>
              <w:spacing w:after="0" w:before="0" w:line="240" w:lineRule="auto"/>
              <w:jc w:val="left"/>
            </w:pPr>
            <w:r>
              <w:rPr>
                <w:rFonts w:ascii="Arial" w:hAnsi="Arial"/>
                <w:sz w:val="15"/>
              </w:rPr>
              <w:t xml:space="preserve">Zimmer Biomet</w:t>
            </w:r>
          </w:p>
        </w:tc>
        <w:tc>
          <w:tcPr>
            <w:tcW w:type="dxa" w:w="1717"/>
          </w:tcPr>
          <w:p>
            <w:pPr>
              <w:pStyle w:val="Compact"/>
              <w:spacing w:after="0" w:before="0" w:line="240" w:lineRule="auto"/>
              <w:jc w:val="left"/>
            </w:pPr>
            <w:r>
              <w:rPr>
                <w:rFonts w:ascii="Arial" w:hAnsi="Arial"/>
                <w:sz w:val="15"/>
              </w:rPr>
              <w:t xml:space="preserve">United States</w:t>
            </w:r>
          </w:p>
        </w:tc>
        <w:tc>
          <w:tcPr>
            <w:tcW w:type="dxa" w:w="1096"/>
          </w:tcPr>
          <w:p>
            <w:pPr>
              <w:pStyle w:val="Compact"/>
              <w:spacing w:after="0" w:before="0" w:line="240" w:lineRule="auto"/>
              <w:jc w:val="right"/>
            </w:pPr>
            <w:r>
              <w:rPr>
                <w:rFonts w:ascii="Arial" w:hAnsi="Arial"/>
                <w:sz w:val="15"/>
              </w:rPr>
              <w:t xml:space="preserve">29.7%</w:t>
            </w:r>
          </w:p>
        </w:tc>
        <w:tc>
          <w:tcPr>
            <w:tcW w:type="dxa" w:w="1054"/>
          </w:tcPr>
          <w:p>
            <w:pPr>
              <w:pStyle w:val="Compact"/>
              <w:spacing w:after="0" w:before="0" w:line="240" w:lineRule="auto"/>
              <w:jc w:val="right"/>
            </w:pPr>
            <w:r>
              <w:rPr>
                <w:rFonts w:ascii="Arial" w:hAnsi="Arial"/>
                <w:sz w:val="15"/>
              </w:rPr>
              <w:t xml:space="preserve">16.7%</w:t>
            </w:r>
          </w:p>
        </w:tc>
        <w:tc>
          <w:tcPr>
            <w:tcW w:type="dxa" w:w="1060"/>
          </w:tcPr>
          <w:p>
            <w:pPr>
              <w:pStyle w:val="Compact"/>
              <w:spacing w:after="0" w:before="0" w:line="240" w:lineRule="auto"/>
              <w:jc w:val="right"/>
            </w:pPr>
            <w:r>
              <w:rPr>
                <w:rFonts w:ascii="Arial" w:hAnsi="Arial"/>
                <w:sz w:val="15"/>
              </w:rPr>
              <w:t xml:space="preserve">8.6%</w:t>
            </w:r>
          </w:p>
        </w:tc>
        <w:tc>
          <w:tcPr>
            <w:tcW w:type="dxa" w:w="1296"/>
          </w:tcPr>
          <w:p>
            <w:pPr>
              <w:pStyle w:val="Compact"/>
              <w:spacing w:after="0" w:before="0" w:line="240" w:lineRule="auto"/>
              <w:jc w:val="right"/>
            </w:pPr>
            <w:r>
              <w:rPr>
                <w:rFonts w:ascii="Arial" w:hAnsi="Arial"/>
                <w:sz w:val="15"/>
              </w:rPr>
              <w:t xml:space="preserve">2.83x</w:t>
            </w:r>
          </w:p>
        </w:tc>
        <w:tc>
          <w:tcPr>
            <w:tcW w:type="dxa" w:w="924"/>
          </w:tcPr>
          <w:p>
            <w:pPr>
              <w:pStyle w:val="Compact"/>
              <w:spacing w:after="0" w:before="0" w:line="240" w:lineRule="auto"/>
              <w:jc w:val="right"/>
            </w:pPr>
            <w:r>
              <w:rPr>
                <w:rFonts w:ascii="Arial" w:hAnsi="Arial"/>
                <w:sz w:val="15"/>
              </w:rPr>
              <w:t xml:space="preserve">1.0%</w:t>
            </w:r>
          </w:p>
        </w:tc>
        <w:tc>
          <w:tcPr>
            <w:tcW w:type="dxa" w:w="909"/>
          </w:tcPr>
          <w:p>
            <w:pPr>
              <w:pStyle w:val="Compact"/>
              <w:spacing w:after="0" w:before="0" w:line="240" w:lineRule="auto"/>
              <w:jc w:val="right"/>
            </w:pPr>
            <w:r>
              <w:rPr>
                <w:rFonts w:ascii="Arial" w:hAnsi="Arial"/>
                <w:sz w:val="15"/>
              </w:rPr>
              <w:t xml:space="preserve">6.6%</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Edwards Lifesciences</w:t>
            </w:r>
          </w:p>
        </w:tc>
        <w:tc>
          <w:tcPr>
            <w:tcW w:type="dxa" w:w="1717"/>
            <w:shd w:val="clear" w:color="auto" w:fill="F1F2F5"/>
          </w:tcPr>
          <w:p>
            <w:pPr>
              <w:pStyle w:val="Compact"/>
              <w:spacing w:after="0" w:before="0" w:line="240" w:lineRule="auto"/>
              <w:jc w:val="left"/>
            </w:pPr>
            <w:r>
              <w:rPr>
                <w:rFonts w:ascii="Arial" w:hAnsi="Arial"/>
                <w:sz w:val="15"/>
              </w:rPr>
              <w:t xml:space="preserve">United States</w:t>
            </w:r>
          </w:p>
        </w:tc>
        <w:tc>
          <w:tcPr>
            <w:tcW w:type="dxa" w:w="1096"/>
            <w:shd w:val="clear" w:color="auto" w:fill="F1F2F5"/>
          </w:tcPr>
          <w:p>
            <w:pPr>
              <w:pStyle w:val="Compact"/>
              <w:spacing w:after="0" w:before="0" w:line="240" w:lineRule="auto"/>
              <w:jc w:val="right"/>
            </w:pPr>
            <w:r>
              <w:rPr>
                <w:rFonts w:ascii="Arial" w:hAnsi="Arial"/>
                <w:sz w:val="15"/>
              </w:rPr>
              <w:t xml:space="preserve">30.7%</w:t>
            </w:r>
          </w:p>
        </w:tc>
        <w:tc>
          <w:tcPr>
            <w:tcW w:type="dxa" w:w="1054"/>
            <w:shd w:val="clear" w:color="auto" w:fill="F1F2F5"/>
          </w:tcPr>
          <w:p>
            <w:pPr>
              <w:pStyle w:val="Compact"/>
              <w:spacing w:after="0" w:before="0" w:line="240" w:lineRule="auto"/>
              <w:jc w:val="right"/>
            </w:pPr>
            <w:r>
              <w:rPr>
                <w:rFonts w:ascii="Arial" w:hAnsi="Arial"/>
                <w:sz w:val="15"/>
              </w:rPr>
              <w:t xml:space="preserve">28.1%</w:t>
            </w:r>
          </w:p>
        </w:tc>
        <w:tc>
          <w:tcPr>
            <w:tcW w:type="dxa" w:w="1060"/>
            <w:shd w:val="clear" w:color="auto" w:fill="F1F2F5"/>
          </w:tcPr>
          <w:p>
            <w:pPr>
              <w:pStyle w:val="Compact"/>
              <w:spacing w:after="0" w:before="0" w:line="240" w:lineRule="auto"/>
              <w:jc w:val="right"/>
            </w:pPr>
            <w:r>
              <w:rPr>
                <w:rFonts w:ascii="Arial" w:hAnsi="Arial"/>
                <w:sz w:val="15"/>
              </w:rPr>
              <w:t xml:space="preserve">14.6%</w:t>
            </w:r>
          </w:p>
        </w:tc>
        <w:tc>
          <w:tcPr>
            <w:tcW w:type="dxa" w:w="1296"/>
            <w:shd w:val="clear" w:color="auto" w:fill="F1F2F5"/>
          </w:tcPr>
          <w:p>
            <w:pPr>
              <w:pStyle w:val="Compact"/>
              <w:spacing w:after="0" w:before="0" w:line="240" w:lineRule="auto"/>
              <w:jc w:val="right"/>
            </w:pPr>
            <w:r>
              <w:rPr>
                <w:rFonts w:ascii="Arial" w:hAnsi="Arial"/>
                <w:sz w:val="15"/>
              </w:rPr>
              <w:t xml:space="preserve">-1.79x</w:t>
            </w:r>
          </w:p>
        </w:tc>
        <w:tc>
          <w:tcPr>
            <w:tcW w:type="dxa" w:w="924"/>
            <w:shd w:val="clear" w:color="auto" w:fill="F1F2F5"/>
          </w:tcPr>
          <w:p>
            <w:pPr>
              <w:pStyle w:val="Compact"/>
              <w:spacing w:after="0" w:before="0" w:line="240" w:lineRule="auto"/>
              <w:jc w:val="right"/>
            </w:pPr>
            <w:r>
              <w:rPr>
                <w:rFonts w:ascii="Arial" w:hAnsi="Arial"/>
                <w:sz w:val="15"/>
              </w:rPr>
              <w:t xml:space="preserve">0.0%</w:t>
            </w:r>
          </w:p>
        </w:tc>
        <w:tc>
          <w:tcPr>
            <w:tcW w:type="dxa" w:w="909"/>
            <w:shd w:val="clear" w:color="auto" w:fill="F1F2F5"/>
          </w:tcPr>
          <w:p>
            <w:pPr>
              <w:pStyle w:val="Compact"/>
              <w:spacing w:after="0" w:before="0" w:line="240" w:lineRule="auto"/>
              <w:jc w:val="right"/>
            </w:pPr>
            <w:r>
              <w:rPr>
                <w:rFonts w:ascii="Arial" w:hAnsi="Arial"/>
                <w:sz w:val="15"/>
              </w:rPr>
              <w:t xml:space="preserve">2.9%</w:t>
            </w:r>
          </w:p>
        </w:tc>
      </w:tr>
      <w:tr>
        <w:trPr>
          <w:cantSplit/>
        </w:trPr>
        <w:tc>
          <w:tcPr>
            <w:tcW w:type="dxa" w:w="1922"/>
          </w:tcPr>
          <w:p>
            <w:pPr>
              <w:pStyle w:val="Compact"/>
              <w:spacing w:after="0" w:before="0" w:line="240" w:lineRule="auto"/>
              <w:jc w:val="left"/>
            </w:pPr>
            <w:r>
              <w:rPr>
                <w:rFonts w:ascii="Arial" w:hAnsi="Arial"/>
                <w:sz w:val="15"/>
              </w:rPr>
              <w:t xml:space="preserve">GE HealthCare</w:t>
            </w:r>
          </w:p>
        </w:tc>
        <w:tc>
          <w:tcPr>
            <w:tcW w:type="dxa" w:w="1717"/>
          </w:tcPr>
          <w:p>
            <w:pPr>
              <w:pStyle w:val="Compact"/>
              <w:spacing w:after="0" w:before="0" w:line="240" w:lineRule="auto"/>
              <w:jc w:val="left"/>
            </w:pPr>
            <w:r>
              <w:rPr>
                <w:rFonts w:ascii="Arial" w:hAnsi="Arial"/>
                <w:sz w:val="15"/>
              </w:rPr>
              <w:t xml:space="preserve">United States</w:t>
            </w:r>
          </w:p>
        </w:tc>
        <w:tc>
          <w:tcPr>
            <w:tcW w:type="dxa" w:w="1096"/>
          </w:tcPr>
          <w:p>
            <w:pPr>
              <w:pStyle w:val="Compact"/>
              <w:spacing w:after="0" w:before="0" w:line="240" w:lineRule="auto"/>
              <w:jc w:val="right"/>
            </w:pPr>
            <w:r>
              <w:rPr>
                <w:rFonts w:ascii="Arial" w:hAnsi="Arial"/>
                <w:sz w:val="15"/>
              </w:rPr>
              <w:t xml:space="preserve">16.9%</w:t>
            </w:r>
          </w:p>
        </w:tc>
        <w:tc>
          <w:tcPr>
            <w:tcW w:type="dxa" w:w="1054"/>
          </w:tcPr>
          <w:p>
            <w:pPr>
              <w:pStyle w:val="Compact"/>
              <w:spacing w:after="0" w:before="0" w:line="240" w:lineRule="auto"/>
              <w:jc w:val="right"/>
            </w:pPr>
            <w:r>
              <w:rPr>
                <w:rFonts w:ascii="Arial" w:hAnsi="Arial"/>
                <w:sz w:val="15"/>
              </w:rPr>
              <w:t xml:space="preserve">14.0%</w:t>
            </w:r>
          </w:p>
        </w:tc>
        <w:tc>
          <w:tcPr>
            <w:tcW w:type="dxa" w:w="1060"/>
          </w:tcPr>
          <w:p>
            <w:pPr>
              <w:pStyle w:val="Compact"/>
              <w:spacing w:after="0" w:before="0" w:line="240" w:lineRule="auto"/>
              <w:jc w:val="right"/>
            </w:pPr>
            <w:r>
              <w:rPr>
                <w:rFonts w:ascii="Arial" w:hAnsi="Arial"/>
                <w:sz w:val="15"/>
              </w:rPr>
              <w:t xml:space="preserve">6.5%</w:t>
            </w:r>
          </w:p>
        </w:tc>
        <w:tc>
          <w:tcPr>
            <w:tcW w:type="dxa" w:w="1296"/>
          </w:tcPr>
          <w:p>
            <w:pPr>
              <w:pStyle w:val="Compact"/>
              <w:spacing w:after="0" w:before="0" w:line="240" w:lineRule="auto"/>
              <w:jc w:val="right"/>
            </w:pPr>
            <w:r>
              <w:rPr>
                <w:rFonts w:ascii="Arial" w:hAnsi="Arial"/>
                <w:sz w:val="15"/>
              </w:rPr>
              <w:t xml:space="preserve">2.36x</w:t>
            </w:r>
          </w:p>
        </w:tc>
        <w:tc>
          <w:tcPr>
            <w:tcW w:type="dxa" w:w="924"/>
          </w:tcPr>
          <w:p>
            <w:pPr>
              <w:pStyle w:val="Compact"/>
              <w:spacing w:after="0" w:before="0" w:line="240" w:lineRule="auto"/>
              <w:jc w:val="right"/>
            </w:pPr>
            <w:r>
              <w:rPr>
                <w:rFonts w:ascii="Arial" w:hAnsi="Arial"/>
                <w:sz w:val="15"/>
              </w:rPr>
              <w:t xml:space="preserve">0.2%</w:t>
            </w:r>
          </w:p>
        </w:tc>
        <w:tc>
          <w:tcPr>
            <w:tcW w:type="dxa" w:w="909"/>
          </w:tcPr>
          <w:p>
            <w:pPr>
              <w:pStyle w:val="Compact"/>
              <w:spacing w:after="0" w:before="0" w:line="240" w:lineRule="auto"/>
              <w:jc w:val="right"/>
            </w:pPr>
            <w:r>
              <w:rPr>
                <w:rFonts w:ascii="Arial" w:hAnsi="Arial"/>
                <w:sz w:val="15"/>
              </w:rPr>
              <w:t xml:space="preserve">5.0%</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Ambu</w:t>
            </w:r>
          </w:p>
        </w:tc>
        <w:tc>
          <w:tcPr>
            <w:tcW w:type="dxa" w:w="1717"/>
            <w:shd w:val="clear" w:color="auto" w:fill="F1F2F5"/>
          </w:tcPr>
          <w:p>
            <w:pPr>
              <w:pStyle w:val="Compact"/>
              <w:spacing w:after="0" w:before="0" w:line="240" w:lineRule="auto"/>
              <w:jc w:val="left"/>
            </w:pPr>
            <w:r>
              <w:rPr>
                <w:rFonts w:ascii="Arial" w:hAnsi="Arial"/>
                <w:sz w:val="15"/>
              </w:rPr>
              <w:t xml:space="preserve">Denmark</w:t>
            </w:r>
          </w:p>
        </w:tc>
        <w:tc>
          <w:tcPr>
            <w:tcW w:type="dxa" w:w="1096"/>
            <w:shd w:val="clear" w:color="auto" w:fill="F1F2F5"/>
          </w:tcPr>
          <w:p>
            <w:pPr>
              <w:pStyle w:val="Compact"/>
              <w:spacing w:after="0" w:before="0" w:line="240" w:lineRule="auto"/>
              <w:jc w:val="right"/>
            </w:pPr>
            <w:r>
              <w:rPr>
                <w:rFonts w:ascii="Arial" w:hAnsi="Arial"/>
                <w:sz w:val="15"/>
              </w:rPr>
              <w:t xml:space="preserve">13.9%</w:t>
            </w:r>
          </w:p>
        </w:tc>
        <w:tc>
          <w:tcPr>
            <w:tcW w:type="dxa" w:w="1054"/>
            <w:shd w:val="clear" w:color="auto" w:fill="F1F2F5"/>
          </w:tcPr>
          <w:p>
            <w:pPr>
              <w:pStyle w:val="Compact"/>
              <w:spacing w:after="0" w:before="0" w:line="240" w:lineRule="auto"/>
              <w:jc w:val="right"/>
            </w:pPr>
            <w:r>
              <w:rPr>
                <w:rFonts w:ascii="Arial" w:hAnsi="Arial"/>
                <w:sz w:val="15"/>
              </w:rPr>
              <w:t xml:space="preserve">11.3%</w:t>
            </w:r>
          </w:p>
        </w:tc>
        <w:tc>
          <w:tcPr>
            <w:tcW w:type="dxa" w:w="1060"/>
            <w:shd w:val="clear" w:color="auto" w:fill="F1F2F5"/>
          </w:tcPr>
          <w:p>
            <w:pPr>
              <w:pStyle w:val="Compact"/>
              <w:spacing w:after="0" w:before="0" w:line="240" w:lineRule="auto"/>
              <w:jc w:val="right"/>
            </w:pPr>
            <w:r>
              <w:rPr>
                <w:rFonts w:ascii="Arial" w:hAnsi="Arial"/>
                <w:sz w:val="15"/>
              </w:rPr>
              <w:t xml:space="preserve">4.7%</w:t>
            </w:r>
          </w:p>
        </w:tc>
        <w:tc>
          <w:tcPr>
            <w:tcW w:type="dxa" w:w="1296"/>
            <w:shd w:val="clear" w:color="auto" w:fill="F1F2F5"/>
          </w:tcPr>
          <w:p>
            <w:pPr>
              <w:pStyle w:val="Compact"/>
              <w:spacing w:after="0" w:before="0" w:line="240" w:lineRule="auto"/>
              <w:jc w:val="right"/>
            </w:pPr>
            <w:r>
              <w:rPr>
                <w:rFonts w:ascii="Arial" w:hAnsi="Arial"/>
                <w:sz w:val="15"/>
              </w:rPr>
              <w:t xml:space="preserve">-0.14x</w:t>
            </w:r>
          </w:p>
        </w:tc>
        <w:tc>
          <w:tcPr>
            <w:tcW w:type="dxa" w:w="924"/>
            <w:shd w:val="clear" w:color="auto" w:fill="F1F2F5"/>
          </w:tcPr>
          <w:p>
            <w:pPr>
              <w:pStyle w:val="Compact"/>
              <w:spacing w:after="0" w:before="0" w:line="240" w:lineRule="auto"/>
              <w:jc w:val="right"/>
            </w:pPr>
            <w:r>
              <w:rPr>
                <w:rFonts w:ascii="Arial" w:hAnsi="Arial"/>
                <w:sz w:val="15"/>
              </w:rPr>
              <w:t xml:space="preserve">0.5%</w:t>
            </w:r>
          </w:p>
        </w:tc>
        <w:tc>
          <w:tcPr>
            <w:tcW w:type="dxa" w:w="909"/>
            <w:shd w:val="clear" w:color="auto" w:fill="F1F2F5"/>
          </w:tcPr>
          <w:p>
            <w:pPr>
              <w:pStyle w:val="Compact"/>
              <w:spacing w:after="0" w:before="0" w:line="240" w:lineRule="auto"/>
              <w:jc w:val="right"/>
            </w:pPr>
            <w:r>
              <w:rPr>
                <w:rFonts w:ascii="Arial" w:hAnsi="Arial"/>
                <w:sz w:val="15"/>
              </w:rPr>
              <w:t xml:space="preserve">3.6%</w:t>
            </w:r>
          </w:p>
        </w:tc>
      </w:tr>
      <w:tr>
        <w:trPr>
          <w:cantSplit/>
        </w:trPr>
        <w:tc>
          <w:tcPr>
            <w:tcW w:type="dxa" w:w="1922"/>
          </w:tcPr>
          <w:p>
            <w:pPr>
              <w:pStyle w:val="Compact"/>
              <w:spacing w:after="0" w:before="0" w:line="240" w:lineRule="auto"/>
              <w:jc w:val="left"/>
            </w:pPr>
            <w:r>
              <w:rPr>
                <w:rFonts w:ascii="Arial" w:hAnsi="Arial"/>
                <w:sz w:val="15"/>
              </w:rPr>
              <w:t xml:space="preserve">Smith &amp; Nephew</w:t>
            </w:r>
          </w:p>
        </w:tc>
        <w:tc>
          <w:tcPr>
            <w:tcW w:type="dxa" w:w="1717"/>
          </w:tcPr>
          <w:p>
            <w:pPr>
              <w:pStyle w:val="Compact"/>
              <w:spacing w:after="0" w:before="0" w:line="240" w:lineRule="auto"/>
              <w:jc w:val="left"/>
            </w:pPr>
            <w:r>
              <w:rPr>
                <w:rFonts w:ascii="Arial" w:hAnsi="Arial"/>
                <w:sz w:val="15"/>
              </w:rPr>
              <w:t xml:space="preserve">United Kingdom</w:t>
            </w:r>
          </w:p>
        </w:tc>
        <w:tc>
          <w:tcPr>
            <w:tcW w:type="dxa" w:w="1096"/>
          </w:tcPr>
          <w:p>
            <w:pPr>
              <w:pStyle w:val="Compact"/>
              <w:spacing w:after="0" w:before="0" w:line="240" w:lineRule="auto"/>
              <w:jc w:val="right"/>
            </w:pPr>
            <w:r>
              <w:rPr>
                <w:rFonts w:ascii="Arial" w:hAnsi="Arial"/>
                <w:sz w:val="15"/>
              </w:rPr>
              <w:t xml:space="preserve">21.9%</w:t>
            </w:r>
          </w:p>
        </w:tc>
        <w:tc>
          <w:tcPr>
            <w:tcW w:type="dxa" w:w="1054"/>
          </w:tcPr>
          <w:p>
            <w:pPr>
              <w:pStyle w:val="Compact"/>
              <w:spacing w:after="0" w:before="0" w:line="240" w:lineRule="auto"/>
              <w:jc w:val="right"/>
            </w:pPr>
            <w:r>
              <w:rPr>
                <w:rFonts w:ascii="Arial" w:hAnsi="Arial"/>
                <w:sz w:val="15"/>
              </w:rPr>
              <w:t xml:space="preserve">14.2%</w:t>
            </w:r>
          </w:p>
        </w:tc>
        <w:tc>
          <w:tcPr>
            <w:tcW w:type="dxa" w:w="1060"/>
          </w:tcPr>
          <w:p>
            <w:pPr>
              <w:pStyle w:val="Compact"/>
              <w:spacing w:after="0" w:before="0" w:line="240" w:lineRule="auto"/>
              <w:jc w:val="right"/>
            </w:pPr>
            <w:r>
              <w:rPr>
                <w:rFonts w:ascii="Arial" w:hAnsi="Arial"/>
                <w:sz w:val="15"/>
              </w:rPr>
              <w:t xml:space="preserve">6.0%</w:t>
            </w:r>
          </w:p>
        </w:tc>
        <w:tc>
          <w:tcPr>
            <w:tcW w:type="dxa" w:w="1296"/>
          </w:tcPr>
          <w:p>
            <w:pPr>
              <w:pStyle w:val="Compact"/>
              <w:spacing w:after="0" w:before="0" w:line="240" w:lineRule="auto"/>
              <w:jc w:val="right"/>
            </w:pPr>
            <w:r>
              <w:rPr>
                <w:rFonts w:ascii="Arial" w:hAnsi="Arial"/>
                <w:sz w:val="15"/>
              </w:rPr>
              <w:t xml:space="preserve">2.19x</w:t>
            </w:r>
          </w:p>
        </w:tc>
        <w:tc>
          <w:tcPr>
            <w:tcW w:type="dxa" w:w="924"/>
          </w:tcPr>
          <w:p>
            <w:pPr>
              <w:pStyle w:val="Compact"/>
              <w:spacing w:after="0" w:before="0" w:line="240" w:lineRule="auto"/>
              <w:jc w:val="right"/>
            </w:pPr>
            <w:r>
              <w:rPr>
                <w:rFonts w:ascii="Arial" w:hAnsi="Arial"/>
                <w:sz w:val="15"/>
              </w:rPr>
              <w:t xml:space="preserve">2.8%</w:t>
            </w:r>
          </w:p>
        </w:tc>
        <w:tc>
          <w:tcPr>
            <w:tcW w:type="dxa" w:w="909"/>
          </w:tcPr>
          <w:p>
            <w:pPr>
              <w:pStyle w:val="Compact"/>
              <w:spacing w:after="0" w:before="0" w:line="240" w:lineRule="auto"/>
              <w:jc w:val="right"/>
            </w:pPr>
            <w:r>
              <w:rPr>
                <w:rFonts w:ascii="Arial" w:hAnsi="Arial"/>
                <w:sz w:val="15"/>
              </w:rPr>
              <w:t xml:space="preserve">7.1%</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Siemens Healthineers</w:t>
            </w:r>
          </w:p>
        </w:tc>
        <w:tc>
          <w:tcPr>
            <w:tcW w:type="dxa" w:w="1717"/>
            <w:shd w:val="clear" w:color="auto" w:fill="F1F2F5"/>
          </w:tcPr>
          <w:p>
            <w:pPr>
              <w:pStyle w:val="Compact"/>
              <w:spacing w:after="0" w:before="0" w:line="240" w:lineRule="auto"/>
              <w:jc w:val="left"/>
            </w:pPr>
            <w:r>
              <w:rPr>
                <w:rFonts w:ascii="Arial" w:hAnsi="Arial"/>
                <w:sz w:val="15"/>
              </w:rPr>
              <w:t xml:space="preserve">Germany</w:t>
            </w:r>
          </w:p>
        </w:tc>
        <w:tc>
          <w:tcPr>
            <w:tcW w:type="dxa" w:w="1096"/>
            <w:shd w:val="clear" w:color="auto" w:fill="F1F2F5"/>
          </w:tcPr>
          <w:p>
            <w:pPr>
              <w:pStyle w:val="Compact"/>
              <w:spacing w:after="0" w:before="0" w:line="240" w:lineRule="auto"/>
              <w:jc w:val="right"/>
            </w:pPr>
            <w:r>
              <w:rPr>
                <w:rFonts w:ascii="Arial" w:hAnsi="Arial"/>
                <w:sz w:val="15"/>
              </w:rPr>
              <w:t xml:space="preserve">17.4%</w:t>
            </w:r>
          </w:p>
        </w:tc>
        <w:tc>
          <w:tcPr>
            <w:tcW w:type="dxa" w:w="1054"/>
            <w:shd w:val="clear" w:color="auto" w:fill="F1F2F5"/>
          </w:tcPr>
          <w:p>
            <w:pPr>
              <w:pStyle w:val="Compact"/>
              <w:spacing w:after="0" w:before="0" w:line="240" w:lineRule="auto"/>
              <w:jc w:val="right"/>
            </w:pPr>
            <w:r>
              <w:rPr>
                <w:rFonts w:ascii="Arial" w:hAnsi="Arial"/>
                <w:sz w:val="15"/>
              </w:rPr>
              <w:t xml:space="preserve">14.0%</w:t>
            </w:r>
          </w:p>
        </w:tc>
        <w:tc>
          <w:tcPr>
            <w:tcW w:type="dxa" w:w="1060"/>
            <w:shd w:val="clear" w:color="auto" w:fill="F1F2F5"/>
          </w:tcPr>
          <w:p>
            <w:pPr>
              <w:pStyle w:val="Compact"/>
              <w:spacing w:after="0" w:before="0" w:line="240" w:lineRule="auto"/>
              <w:jc w:val="right"/>
            </w:pPr>
            <w:r>
              <w:rPr>
                <w:rFonts w:ascii="Arial" w:hAnsi="Arial"/>
                <w:sz w:val="15"/>
              </w:rPr>
              <w:t xml:space="preserve">-0.9%</w:t>
            </w:r>
          </w:p>
        </w:tc>
        <w:tc>
          <w:tcPr>
            <w:tcW w:type="dxa" w:w="1296"/>
            <w:shd w:val="clear" w:color="auto" w:fill="F1F2F5"/>
          </w:tcPr>
          <w:p>
            <w:pPr>
              <w:pStyle w:val="Compact"/>
              <w:spacing w:after="0" w:before="0" w:line="240" w:lineRule="auto"/>
              <w:jc w:val="right"/>
            </w:pPr>
            <w:r>
              <w:rPr>
                <w:rFonts w:ascii="Arial" w:hAnsi="Arial"/>
                <w:sz w:val="15"/>
              </w:rPr>
              <w:t xml:space="preserve">3.14x</w:t>
            </w:r>
          </w:p>
        </w:tc>
        <w:tc>
          <w:tcPr>
            <w:tcW w:type="dxa" w:w="924"/>
            <w:shd w:val="clear" w:color="auto" w:fill="F1F2F5"/>
          </w:tcPr>
          <w:p>
            <w:pPr>
              <w:pStyle w:val="Compact"/>
              <w:spacing w:after="0" w:before="0" w:line="240" w:lineRule="auto"/>
              <w:jc w:val="right"/>
            </w:pPr>
            <w:r>
              <w:rPr>
                <w:rFonts w:ascii="Arial" w:hAnsi="Arial"/>
                <w:sz w:val="15"/>
              </w:rPr>
              <w:t xml:space="preserve">2.4%</w:t>
            </w:r>
          </w:p>
        </w:tc>
        <w:tc>
          <w:tcPr>
            <w:tcW w:type="dxa" w:w="909"/>
            <w:shd w:val="clear" w:color="auto" w:fill="F1F2F5"/>
          </w:tcPr>
          <w:p>
            <w:pPr>
              <w:pStyle w:val="Compact"/>
              <w:spacing w:after="0" w:before="0" w:line="240" w:lineRule="auto"/>
              <w:jc w:val="right"/>
            </w:pPr>
            <w:r>
              <w:rPr>
                <w:rFonts w:ascii="Arial" w:hAnsi="Arial"/>
                <w:sz w:val="15"/>
              </w:rPr>
              <w:t xml:space="preserve">5.7%</w:t>
            </w:r>
          </w:p>
        </w:tc>
      </w:tr>
      <w:tr>
        <w:trPr>
          <w:cantSplit/>
        </w:trPr>
        <w:tc>
          <w:tcPr>
            <w:tcW w:type="dxa" w:w="1922"/>
          </w:tcPr>
          <w:p>
            <w:pPr>
              <w:pStyle w:val="Compact"/>
              <w:spacing w:after="0" w:before="0" w:line="240" w:lineRule="auto"/>
              <w:jc w:val="left"/>
            </w:pPr>
            <w:r>
              <w:rPr>
                <w:rFonts w:ascii="Arial" w:hAnsi="Arial"/>
                <w:sz w:val="15"/>
              </w:rPr>
              <w:t xml:space="preserve">Philips</w:t>
            </w:r>
          </w:p>
        </w:tc>
        <w:tc>
          <w:tcPr>
            <w:tcW w:type="dxa" w:w="1717"/>
          </w:tcPr>
          <w:p>
            <w:pPr>
              <w:pStyle w:val="Compact"/>
              <w:spacing w:after="0" w:before="0" w:line="240" w:lineRule="auto"/>
              <w:jc w:val="left"/>
            </w:pPr>
            <w:r>
              <w:rPr>
                <w:rFonts w:ascii="Arial" w:hAnsi="Arial"/>
                <w:sz w:val="15"/>
              </w:rPr>
              <w:t xml:space="preserve">Netherlands</w:t>
            </w:r>
          </w:p>
        </w:tc>
        <w:tc>
          <w:tcPr>
            <w:tcW w:type="dxa" w:w="1096"/>
          </w:tcPr>
          <w:p>
            <w:pPr>
              <w:pStyle w:val="Compact"/>
              <w:spacing w:after="0" w:before="0" w:line="240" w:lineRule="auto"/>
              <w:jc w:val="right"/>
            </w:pPr>
            <w:r>
              <w:rPr>
                <w:rFonts w:ascii="Arial" w:hAnsi="Arial"/>
                <w:sz w:val="15"/>
              </w:rPr>
              <w:t xml:space="preserve">13.7%</w:t>
            </w:r>
          </w:p>
        </w:tc>
        <w:tc>
          <w:tcPr>
            <w:tcW w:type="dxa" w:w="1054"/>
          </w:tcPr>
          <w:p>
            <w:pPr>
              <w:pStyle w:val="Compact"/>
              <w:spacing w:after="0" w:before="0" w:line="240" w:lineRule="auto"/>
              <w:jc w:val="right"/>
            </w:pPr>
            <w:r>
              <w:rPr>
                <w:rFonts w:ascii="Arial" w:hAnsi="Arial"/>
                <w:sz w:val="15"/>
              </w:rPr>
              <w:t xml:space="preserve">9.8%</w:t>
            </w:r>
          </w:p>
        </w:tc>
        <w:tc>
          <w:tcPr>
            <w:tcW w:type="dxa" w:w="1060"/>
          </w:tcPr>
          <w:p>
            <w:pPr>
              <w:pStyle w:val="Compact"/>
              <w:spacing w:after="0" w:before="0" w:line="240" w:lineRule="auto"/>
              <w:jc w:val="right"/>
            </w:pPr>
            <w:r>
              <w:rPr>
                <w:rFonts w:ascii="Arial" w:hAnsi="Arial"/>
                <w:sz w:val="15"/>
              </w:rPr>
              <w:t xml:space="preserve">-1.1%</w:t>
            </w:r>
          </w:p>
        </w:tc>
        <w:tc>
          <w:tcPr>
            <w:tcW w:type="dxa" w:w="1296"/>
          </w:tcPr>
          <w:p>
            <w:pPr>
              <w:pStyle w:val="Compact"/>
              <w:spacing w:after="0" w:before="0" w:line="240" w:lineRule="auto"/>
              <w:jc w:val="right"/>
            </w:pPr>
            <w:r>
              <w:rPr>
                <w:rFonts w:ascii="Arial" w:hAnsi="Arial"/>
                <w:sz w:val="15"/>
              </w:rPr>
              <w:t xml:space="preserve">2.35x</w:t>
            </w:r>
          </w:p>
        </w:tc>
        <w:tc>
          <w:tcPr>
            <w:tcW w:type="dxa" w:w="924"/>
          </w:tcPr>
          <w:p>
            <w:pPr>
              <w:pStyle w:val="Compact"/>
              <w:spacing w:after="0" w:before="0" w:line="240" w:lineRule="auto"/>
              <w:jc w:val="right"/>
            </w:pPr>
            <w:r>
              <w:rPr>
                <w:rFonts w:ascii="Arial" w:hAnsi="Arial"/>
                <w:sz w:val="15"/>
              </w:rPr>
              <w:t xml:space="preserve">1.6%</w:t>
            </w:r>
          </w:p>
        </w:tc>
        <w:tc>
          <w:tcPr>
            <w:tcW w:type="dxa" w:w="909"/>
          </w:tcPr>
          <w:p>
            <w:pPr>
              <w:pStyle w:val="Compact"/>
              <w:spacing w:after="0" w:before="0" w:line="240" w:lineRule="auto"/>
              <w:jc w:val="right"/>
            </w:pPr>
            <w:r>
              <w:rPr>
                <w:rFonts w:ascii="Arial" w:hAnsi="Arial"/>
                <w:sz w:val="15"/>
              </w:rPr>
              <w:t xml:space="preserve">8.8%</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Coloplast</w:t>
            </w:r>
          </w:p>
        </w:tc>
        <w:tc>
          <w:tcPr>
            <w:tcW w:type="dxa" w:w="1717"/>
            <w:shd w:val="clear" w:color="auto" w:fill="F1F2F5"/>
          </w:tcPr>
          <w:p>
            <w:pPr>
              <w:pStyle w:val="Compact"/>
              <w:spacing w:after="0" w:before="0" w:line="240" w:lineRule="auto"/>
              <w:jc w:val="left"/>
            </w:pPr>
            <w:r>
              <w:rPr>
                <w:rFonts w:ascii="Arial" w:hAnsi="Arial"/>
                <w:sz w:val="15"/>
              </w:rPr>
              <w:t xml:space="preserve">Denmark</w:t>
            </w:r>
          </w:p>
        </w:tc>
        <w:tc>
          <w:tcPr>
            <w:tcW w:type="dxa" w:w="1096"/>
            <w:shd w:val="clear" w:color="auto" w:fill="F1F2F5"/>
          </w:tcPr>
          <w:p>
            <w:pPr>
              <w:pStyle w:val="Compact"/>
              <w:spacing w:after="0" w:before="0" w:line="240" w:lineRule="auto"/>
              <w:jc w:val="right"/>
            </w:pPr>
            <w:r>
              <w:rPr>
                <w:rFonts w:ascii="Arial" w:hAnsi="Arial"/>
                <w:sz w:val="15"/>
              </w:rPr>
              <w:t xml:space="preserve">30.3%</w:t>
            </w:r>
          </w:p>
        </w:tc>
        <w:tc>
          <w:tcPr>
            <w:tcW w:type="dxa" w:w="1054"/>
            <w:shd w:val="clear" w:color="auto" w:fill="F1F2F5"/>
          </w:tcPr>
          <w:p>
            <w:pPr>
              <w:pStyle w:val="Compact"/>
              <w:spacing w:after="0" w:before="0" w:line="240" w:lineRule="auto"/>
              <w:jc w:val="right"/>
            </w:pPr>
            <w:r>
              <w:rPr>
                <w:rFonts w:ascii="Arial" w:hAnsi="Arial"/>
                <w:sz w:val="15"/>
              </w:rPr>
              <w:t xml:space="preserve">27.0%</w:t>
            </w:r>
          </w:p>
        </w:tc>
        <w:tc>
          <w:tcPr>
            <w:tcW w:type="dxa" w:w="1060"/>
            <w:shd w:val="clear" w:color="auto" w:fill="F1F2F5"/>
          </w:tcPr>
          <w:p>
            <w:pPr>
              <w:pStyle w:val="Compact"/>
              <w:spacing w:after="0" w:before="0" w:line="240" w:lineRule="auto"/>
              <w:jc w:val="right"/>
            </w:pPr>
            <w:r>
              <w:rPr>
                <w:rFonts w:ascii="Arial" w:hAnsi="Arial"/>
                <w:sz w:val="15"/>
              </w:rPr>
              <w:t xml:space="preserve">2.1%</w:t>
            </w:r>
          </w:p>
        </w:tc>
        <w:tc>
          <w:tcPr>
            <w:tcW w:type="dxa" w:w="1296"/>
            <w:shd w:val="clear" w:color="auto" w:fill="F1F2F5"/>
          </w:tcPr>
          <w:p>
            <w:pPr>
              <w:pStyle w:val="Compact"/>
              <w:spacing w:after="0" w:before="0" w:line="240" w:lineRule="auto"/>
              <w:jc w:val="right"/>
            </w:pPr>
            <w:r>
              <w:rPr>
                <w:rFonts w:ascii="Arial" w:hAnsi="Arial"/>
                <w:sz w:val="15"/>
              </w:rPr>
              <w:t xml:space="preserve">2.67x</w:t>
            </w:r>
          </w:p>
        </w:tc>
        <w:tc>
          <w:tcPr>
            <w:tcW w:type="dxa" w:w="924"/>
            <w:shd w:val="clear" w:color="auto" w:fill="F1F2F5"/>
          </w:tcPr>
          <w:p>
            <w:pPr>
              <w:pStyle w:val="Compact"/>
              <w:spacing w:after="0" w:before="0" w:line="240" w:lineRule="auto"/>
              <w:jc w:val="right"/>
            </w:pPr>
            <w:r>
              <w:rPr>
                <w:rFonts w:ascii="Arial" w:hAnsi="Arial"/>
                <w:sz w:val="15"/>
              </w:rPr>
              <w:t xml:space="preserve">4.9%</w:t>
            </w:r>
          </w:p>
        </w:tc>
        <w:tc>
          <w:tcPr>
            <w:tcW w:type="dxa" w:w="909"/>
            <w:shd w:val="clear" w:color="auto" w:fill="F1F2F5"/>
          </w:tcPr>
          <w:p>
            <w:pPr>
              <w:pStyle w:val="Compact"/>
              <w:spacing w:after="0" w:before="0" w:line="240" w:lineRule="auto"/>
              <w:jc w:val="right"/>
            </w:pPr>
            <w:r>
              <w:rPr>
                <w:rFonts w:ascii="Arial" w:hAnsi="Arial"/>
                <w:sz w:val="15"/>
              </w:rPr>
              <w:t xml:space="preserve">5.9%</w:t>
            </w:r>
          </w:p>
        </w:tc>
      </w:tr>
      <w:tr>
        <w:trPr>
          <w:cantSplit/>
        </w:trPr>
        <w:tc>
          <w:tcPr>
            <w:tcW w:type="dxa" w:w="1922"/>
          </w:tcPr>
          <w:p>
            <w:pPr>
              <w:pStyle w:val="Compact"/>
              <w:spacing w:after="0" w:before="0" w:line="240" w:lineRule="auto"/>
              <w:jc w:val="left"/>
            </w:pPr>
            <w:r>
              <w:rPr>
                <w:rFonts w:ascii="Arial" w:hAnsi="Arial"/>
                <w:sz w:val="15"/>
              </w:rPr>
              <w:t xml:space="preserve">Getinge</w:t>
            </w:r>
          </w:p>
        </w:tc>
        <w:tc>
          <w:tcPr>
            <w:tcW w:type="dxa" w:w="1717"/>
          </w:tcPr>
          <w:p>
            <w:pPr>
              <w:pStyle w:val="Compact"/>
              <w:spacing w:after="0" w:before="0" w:line="240" w:lineRule="auto"/>
              <w:jc w:val="left"/>
            </w:pPr>
            <w:r>
              <w:rPr>
                <w:rFonts w:ascii="Arial" w:hAnsi="Arial"/>
                <w:sz w:val="15"/>
              </w:rPr>
              <w:t xml:space="preserve">Sweden</w:t>
            </w:r>
          </w:p>
        </w:tc>
        <w:tc>
          <w:tcPr>
            <w:tcW w:type="dxa" w:w="1096"/>
          </w:tcPr>
          <w:p>
            <w:pPr>
              <w:pStyle w:val="Compact"/>
              <w:spacing w:after="0" w:before="0" w:line="240" w:lineRule="auto"/>
              <w:jc w:val="right"/>
            </w:pPr>
            <w:r>
              <w:rPr>
                <w:rFonts w:ascii="Arial" w:hAnsi="Arial"/>
                <w:sz w:val="15"/>
              </w:rPr>
              <w:t xml:space="preserve">17.2%</w:t>
            </w:r>
          </w:p>
        </w:tc>
        <w:tc>
          <w:tcPr>
            <w:tcW w:type="dxa" w:w="1054"/>
          </w:tcPr>
          <w:p>
            <w:pPr>
              <w:pStyle w:val="Compact"/>
              <w:spacing w:after="0" w:before="0" w:line="240" w:lineRule="auto"/>
              <w:jc w:val="right"/>
            </w:pPr>
            <w:r>
              <w:rPr>
                <w:rFonts w:ascii="Arial" w:hAnsi="Arial"/>
                <w:sz w:val="15"/>
              </w:rPr>
              <w:t xml:space="preserve">13.9%</w:t>
            </w:r>
          </w:p>
        </w:tc>
        <w:tc>
          <w:tcPr>
            <w:tcW w:type="dxa" w:w="1060"/>
          </w:tcPr>
          <w:p>
            <w:pPr>
              <w:pStyle w:val="Compact"/>
              <w:spacing w:after="0" w:before="0" w:line="240" w:lineRule="auto"/>
              <w:jc w:val="right"/>
            </w:pPr>
            <w:r>
              <w:rPr>
                <w:rFonts w:ascii="Arial" w:hAnsi="Arial"/>
                <w:sz w:val="15"/>
              </w:rPr>
              <w:t xml:space="preserve">-3.6%</w:t>
            </w:r>
          </w:p>
        </w:tc>
        <w:tc>
          <w:tcPr>
            <w:tcW w:type="dxa" w:w="1296"/>
          </w:tcPr>
          <w:p>
            <w:pPr>
              <w:pStyle w:val="Compact"/>
              <w:spacing w:after="0" w:before="0" w:line="240" w:lineRule="auto"/>
              <w:jc w:val="right"/>
            </w:pPr>
            <w:r>
              <w:rPr>
                <w:rFonts w:ascii="Arial" w:hAnsi="Arial"/>
                <w:sz w:val="15"/>
              </w:rPr>
              <w:t xml:space="preserve">1.54x</w:t>
            </w:r>
          </w:p>
        </w:tc>
        <w:tc>
          <w:tcPr>
            <w:tcW w:type="dxa" w:w="924"/>
          </w:tcPr>
          <w:p>
            <w:pPr>
              <w:pStyle w:val="Compact"/>
              <w:spacing w:after="0" w:before="0" w:line="240" w:lineRule="auto"/>
              <w:jc w:val="right"/>
            </w:pPr>
            <w:r>
              <w:rPr>
                <w:rFonts w:ascii="Arial" w:hAnsi="Arial"/>
                <w:sz w:val="15"/>
              </w:rPr>
              <w:t xml:space="preserve">1.8%</w:t>
            </w:r>
          </w:p>
        </w:tc>
        <w:tc>
          <w:tcPr>
            <w:tcW w:type="dxa" w:w="909"/>
          </w:tcPr>
          <w:p>
            <w:pPr>
              <w:pStyle w:val="Compact"/>
              <w:spacing w:after="0" w:before="0" w:line="240" w:lineRule="auto"/>
              <w:jc w:val="right"/>
            </w:pPr>
            <w:r>
              <w:rPr>
                <w:rFonts w:ascii="Arial" w:hAnsi="Arial"/>
                <w:sz w:val="15"/>
              </w:rPr>
              <w:t xml:space="preserve">5.3%</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Carl Zeiss Meditec</w:t>
            </w:r>
          </w:p>
        </w:tc>
        <w:tc>
          <w:tcPr>
            <w:tcW w:type="dxa" w:w="1717"/>
            <w:shd w:val="clear" w:color="auto" w:fill="F1F2F5"/>
          </w:tcPr>
          <w:p>
            <w:pPr>
              <w:pStyle w:val="Compact"/>
              <w:spacing w:after="0" w:before="0" w:line="240" w:lineRule="auto"/>
              <w:jc w:val="left"/>
            </w:pPr>
            <w:r>
              <w:rPr>
                <w:rFonts w:ascii="Arial" w:hAnsi="Arial"/>
                <w:sz w:val="15"/>
              </w:rPr>
              <w:t xml:space="preserve">Germany</w:t>
            </w:r>
          </w:p>
        </w:tc>
        <w:tc>
          <w:tcPr>
            <w:tcW w:type="dxa" w:w="1096"/>
            <w:shd w:val="clear" w:color="auto" w:fill="F1F2F5"/>
          </w:tcPr>
          <w:p>
            <w:pPr>
              <w:pStyle w:val="Compact"/>
              <w:spacing w:after="0" w:before="0" w:line="240" w:lineRule="auto"/>
              <w:jc w:val="right"/>
            </w:pPr>
            <w:r>
              <w:rPr>
                <w:rFonts w:ascii="Arial" w:hAnsi="Arial"/>
                <w:sz w:val="15"/>
              </w:rPr>
              <w:t xml:space="preserve">10.0%</w:t>
            </w:r>
          </w:p>
        </w:tc>
        <w:tc>
          <w:tcPr>
            <w:tcW w:type="dxa" w:w="1054"/>
            <w:shd w:val="clear" w:color="auto" w:fill="F1F2F5"/>
          </w:tcPr>
          <w:p>
            <w:pPr>
              <w:pStyle w:val="Compact"/>
              <w:spacing w:after="0" w:before="0" w:line="240" w:lineRule="auto"/>
              <w:jc w:val="right"/>
            </w:pPr>
            <w:r>
              <w:rPr>
                <w:rFonts w:ascii="Arial" w:hAnsi="Arial"/>
                <w:sz w:val="15"/>
              </w:rPr>
              <w:t xml:space="preserve">7.2%</w:t>
            </w:r>
          </w:p>
        </w:tc>
        <w:tc>
          <w:tcPr>
            <w:tcW w:type="dxa" w:w="1060"/>
            <w:shd w:val="clear" w:color="auto" w:fill="F1F2F5"/>
          </w:tcPr>
          <w:p>
            <w:pPr>
              <w:pStyle w:val="Compact"/>
              <w:spacing w:after="0" w:before="0" w:line="240" w:lineRule="auto"/>
              <w:jc w:val="right"/>
            </w:pPr>
            <w:r>
              <w:rPr>
                <w:rFonts w:ascii="Arial" w:hAnsi="Arial"/>
                <w:sz w:val="15"/>
              </w:rPr>
              <w:t xml:space="preserve">0.1%</w:t>
            </w:r>
          </w:p>
        </w:tc>
        <w:tc>
          <w:tcPr>
            <w:tcW w:type="dxa" w:w="1296"/>
            <w:shd w:val="clear" w:color="auto" w:fill="F1F2F5"/>
          </w:tcPr>
          <w:p>
            <w:pPr>
              <w:pStyle w:val="Compact"/>
              <w:spacing w:after="0" w:before="0" w:line="240" w:lineRule="auto"/>
              <w:jc w:val="right"/>
            </w:pPr>
            <w:r>
              <w:rPr>
                <w:rFonts w:ascii="Arial" w:hAnsi="Arial"/>
                <w:sz w:val="15"/>
              </w:rPr>
              <w:t xml:space="preserve">2.56x</w:t>
            </w:r>
          </w:p>
        </w:tc>
        <w:tc>
          <w:tcPr>
            <w:tcW w:type="dxa" w:w="924"/>
            <w:shd w:val="clear" w:color="auto" w:fill="F1F2F5"/>
          </w:tcPr>
          <w:p>
            <w:pPr>
              <w:pStyle w:val="Compact"/>
              <w:spacing w:after="0" w:before="0" w:line="240" w:lineRule="auto"/>
              <w:jc w:val="right"/>
            </w:pPr>
            <w:r>
              <w:rPr>
                <w:rFonts w:ascii="Arial" w:hAnsi="Arial"/>
                <w:sz w:val="15"/>
              </w:rPr>
              <w:t xml:space="preserve">1.8%</w:t>
            </w:r>
          </w:p>
        </w:tc>
        <w:tc>
          <w:tcPr>
            <w:tcW w:type="dxa" w:w="909"/>
            <w:shd w:val="clear" w:color="auto" w:fill="F1F2F5"/>
          </w:tcPr>
          <w:p>
            <w:pPr>
              <w:pStyle w:val="Compact"/>
              <w:spacing w:after="0" w:before="0" w:line="240" w:lineRule="auto"/>
              <w:jc w:val="right"/>
            </w:pPr>
            <w:r>
              <w:rPr>
                <w:rFonts w:ascii="Arial" w:hAnsi="Arial"/>
                <w:sz w:val="15"/>
              </w:rPr>
              <w:t xml:space="preserve">5.9%</w:t>
            </w:r>
          </w:p>
        </w:tc>
      </w:tr>
      <w:tr>
        <w:trPr>
          <w:cantSplit/>
        </w:trPr>
        <w:tc>
          <w:tcPr>
            <w:tcW w:type="dxa" w:w="1922"/>
          </w:tcPr>
          <w:p>
            <w:pPr>
              <w:pStyle w:val="Compact"/>
              <w:spacing w:after="0" w:before="0" w:line="240" w:lineRule="auto"/>
              <w:jc w:val="left"/>
            </w:pPr>
            <w:r>
              <w:rPr>
                <w:rFonts w:ascii="Arial" w:hAnsi="Arial"/>
                <w:sz w:val="15"/>
              </w:rPr>
              <w:t xml:space="preserve">Demant</w:t>
            </w:r>
          </w:p>
        </w:tc>
        <w:tc>
          <w:tcPr>
            <w:tcW w:type="dxa" w:w="1717"/>
          </w:tcPr>
          <w:p>
            <w:pPr>
              <w:pStyle w:val="Compact"/>
              <w:spacing w:after="0" w:before="0" w:line="240" w:lineRule="auto"/>
              <w:jc w:val="left"/>
            </w:pPr>
            <w:r>
              <w:rPr>
                <w:rFonts w:ascii="Arial" w:hAnsi="Arial"/>
                <w:sz w:val="15"/>
              </w:rPr>
              <w:t xml:space="preserve">Denmark</w:t>
            </w:r>
          </w:p>
        </w:tc>
        <w:tc>
          <w:tcPr>
            <w:tcW w:type="dxa" w:w="1096"/>
          </w:tcPr>
          <w:p>
            <w:pPr>
              <w:pStyle w:val="Compact"/>
              <w:spacing w:after="0" w:before="0" w:line="240" w:lineRule="auto"/>
              <w:jc w:val="right"/>
            </w:pPr>
            <w:r>
              <w:rPr>
                <w:rFonts w:ascii="Arial" w:hAnsi="Arial"/>
                <w:sz w:val="15"/>
              </w:rPr>
              <w:t xml:space="preserve">20.2%</w:t>
            </w:r>
          </w:p>
        </w:tc>
        <w:tc>
          <w:tcPr>
            <w:tcW w:type="dxa" w:w="1054"/>
          </w:tcPr>
          <w:p>
            <w:pPr>
              <w:pStyle w:val="Compact"/>
              <w:spacing w:after="0" w:before="0" w:line="240" w:lineRule="auto"/>
              <w:jc w:val="right"/>
            </w:pPr>
            <w:r>
              <w:rPr>
                <w:rFonts w:ascii="Arial" w:hAnsi="Arial"/>
                <w:sz w:val="15"/>
              </w:rPr>
              <w:t xml:space="preserve">17.2%</w:t>
            </w:r>
          </w:p>
        </w:tc>
        <w:tc>
          <w:tcPr>
            <w:tcW w:type="dxa" w:w="1060"/>
          </w:tcPr>
          <w:p>
            <w:pPr>
              <w:pStyle w:val="Compact"/>
              <w:spacing w:after="0" w:before="0" w:line="240" w:lineRule="auto"/>
              <w:jc w:val="right"/>
            </w:pPr>
            <w:r>
              <w:rPr>
                <w:rFonts w:ascii="Arial" w:hAnsi="Arial"/>
                <w:sz w:val="15"/>
              </w:rPr>
              <w:t xml:space="preserve">9.1%</w:t>
            </w:r>
          </w:p>
        </w:tc>
        <w:tc>
          <w:tcPr>
            <w:tcW w:type="dxa" w:w="1296"/>
          </w:tcPr>
          <w:p>
            <w:pPr>
              <w:pStyle w:val="Compact"/>
              <w:spacing w:after="0" w:before="0" w:line="240" w:lineRule="auto"/>
              <w:jc w:val="right"/>
            </w:pPr>
            <w:r>
              <w:rPr>
                <w:rFonts w:ascii="Arial" w:hAnsi="Arial"/>
                <w:sz w:val="15"/>
              </w:rPr>
              <w:t xml:space="preserve">3.78x</w:t>
            </w:r>
          </w:p>
        </w:tc>
        <w:tc>
          <w:tcPr>
            <w:tcW w:type="dxa" w:w="924"/>
          </w:tcPr>
          <w:p>
            <w:pPr>
              <w:pStyle w:val="Compact"/>
              <w:spacing w:after="0" w:before="0" w:line="240" w:lineRule="auto"/>
              <w:jc w:val="right"/>
            </w:pPr>
            <w:r>
              <w:rPr>
                <w:rFonts w:ascii="Arial" w:hAnsi="Arial"/>
                <w:sz w:val="15"/>
              </w:rPr>
              <w:t xml:space="preserve">0.0%</w:t>
            </w:r>
          </w:p>
        </w:tc>
        <w:tc>
          <w:tcPr>
            <w:tcW w:type="dxa" w:w="909"/>
          </w:tcPr>
          <w:p>
            <w:pPr>
              <w:pStyle w:val="Compact"/>
              <w:spacing w:after="0" w:before="0" w:line="240" w:lineRule="auto"/>
              <w:jc w:val="right"/>
            </w:pPr>
            <w:r>
              <w:rPr>
                <w:rFonts w:ascii="Arial" w:hAnsi="Arial"/>
                <w:sz w:val="15"/>
              </w:rPr>
              <w:t xml:space="preserve">4.4%</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SonoScape Medical</w:t>
            </w:r>
          </w:p>
        </w:tc>
        <w:tc>
          <w:tcPr>
            <w:tcW w:type="dxa" w:w="1717"/>
            <w:shd w:val="clear" w:color="auto" w:fill="F1F2F5"/>
          </w:tcPr>
          <w:p>
            <w:pPr>
              <w:pStyle w:val="Compact"/>
              <w:spacing w:after="0" w:before="0" w:line="240" w:lineRule="auto"/>
              <w:jc w:val="left"/>
            </w:pPr>
            <w:r>
              <w:rPr>
                <w:rFonts w:ascii="Arial" w:hAnsi="Arial"/>
                <w:sz w:val="15"/>
              </w:rPr>
              <w:t xml:space="preserve">China</w:t>
            </w:r>
          </w:p>
        </w:tc>
        <w:tc>
          <w:tcPr>
            <w:tcW w:type="dxa" w:w="1096"/>
            <w:shd w:val="clear" w:color="auto" w:fill="F1F2F5"/>
          </w:tcPr>
          <w:p>
            <w:pPr>
              <w:pStyle w:val="Compact"/>
              <w:spacing w:after="0" w:before="0" w:line="240" w:lineRule="auto"/>
              <w:jc w:val="right"/>
            </w:pPr>
            <w:r>
              <w:rPr>
                <w:rFonts w:ascii="Arial" w:hAnsi="Arial"/>
                <w:sz w:val="15"/>
              </w:rPr>
              <w:t xml:space="preserve">9.3%</w:t>
            </w:r>
          </w:p>
        </w:tc>
        <w:tc>
          <w:tcPr>
            <w:tcW w:type="dxa" w:w="1054"/>
            <w:shd w:val="clear" w:color="auto" w:fill="F1F2F5"/>
          </w:tcPr>
          <w:p>
            <w:pPr>
              <w:pStyle w:val="Compact"/>
              <w:spacing w:after="0" w:before="0" w:line="240" w:lineRule="auto"/>
              <w:jc w:val="right"/>
            </w:pPr>
            <w:r>
              <w:rPr>
                <w:rFonts w:ascii="Arial" w:hAnsi="Arial"/>
                <w:sz w:val="15"/>
              </w:rPr>
              <w:t xml:space="preserve">5.6%</w:t>
            </w:r>
          </w:p>
        </w:tc>
        <w:tc>
          <w:tcPr>
            <w:tcW w:type="dxa" w:w="1060"/>
            <w:shd w:val="clear" w:color="auto" w:fill="F1F2F5"/>
          </w:tcPr>
          <w:p>
            <w:pPr>
              <w:pStyle w:val="Compact"/>
              <w:spacing w:after="0" w:before="0" w:line="240" w:lineRule="auto"/>
              <w:jc w:val="right"/>
            </w:pPr>
            <w:r>
              <w:rPr>
                <w:rFonts w:ascii="Arial" w:hAnsi="Arial"/>
                <w:sz w:val="15"/>
              </w:rPr>
              <w:t xml:space="preserve">22.0%</w:t>
            </w:r>
          </w:p>
        </w:tc>
        <w:tc>
          <w:tcPr>
            <w:tcW w:type="dxa" w:w="1296"/>
            <w:shd w:val="clear" w:color="auto" w:fill="F1F2F5"/>
          </w:tcPr>
          <w:p>
            <w:pPr>
              <w:pStyle w:val="Compact"/>
              <w:spacing w:after="0" w:before="0" w:line="240" w:lineRule="auto"/>
              <w:jc w:val="right"/>
            </w:pPr>
            <w:r>
              <w:rPr>
                <w:rFonts w:ascii="Arial" w:hAnsi="Arial"/>
                <w:sz w:val="15"/>
              </w:rPr>
              <w:t xml:space="preserve">-3.54x</w:t>
            </w:r>
          </w:p>
        </w:tc>
        <w:tc>
          <w:tcPr>
            <w:tcW w:type="dxa" w:w="924"/>
            <w:shd w:val="clear" w:color="auto" w:fill="F1F2F5"/>
          </w:tcPr>
          <w:p>
            <w:pPr>
              <w:pStyle w:val="Compact"/>
              <w:spacing w:after="0" w:before="0" w:line="240" w:lineRule="auto"/>
              <w:jc w:val="right"/>
            </w:pPr>
            <w:r>
              <w:rPr>
                <w:rFonts w:ascii="Arial" w:hAnsi="Arial"/>
                <w:sz w:val="15"/>
              </w:rPr>
              <w:t xml:space="preserve">1.0%</w:t>
            </w:r>
          </w:p>
        </w:tc>
        <w:tc>
          <w:tcPr>
            <w:tcW w:type="dxa" w:w="909"/>
            <w:shd w:val="clear" w:color="auto" w:fill="F1F2F5"/>
          </w:tcPr>
          <w:p>
            <w:pPr>
              <w:pStyle w:val="Compact"/>
              <w:spacing w:after="0" w:before="0" w:line="240" w:lineRule="auto"/>
              <w:jc w:val="right"/>
            </w:pPr>
            <w:r>
              <w:rPr>
                <w:rFonts w:ascii="Arial" w:hAnsi="Arial"/>
                <w:sz w:val="15"/>
              </w:rPr>
              <w:t xml:space="preserve">-0.5%</w:t>
            </w:r>
          </w:p>
        </w:tc>
      </w:tr>
      <w:tr>
        <w:trPr>
          <w:cantSplit/>
        </w:trPr>
        <w:tc>
          <w:tcPr>
            <w:tcW w:type="dxa" w:w="1922"/>
          </w:tcPr>
          <w:p>
            <w:pPr>
              <w:pStyle w:val="Compact"/>
              <w:spacing w:after="0" w:before="0" w:line="240" w:lineRule="auto"/>
              <w:jc w:val="left"/>
            </w:pPr>
            <w:r>
              <w:rPr>
                <w:rFonts w:ascii="Arial" w:hAnsi="Arial"/>
                <w:sz w:val="15"/>
              </w:rPr>
              <w:t xml:space="preserve">Shanghai Aohua</w:t>
            </w:r>
          </w:p>
        </w:tc>
        <w:tc>
          <w:tcPr>
            <w:tcW w:type="dxa" w:w="1717"/>
          </w:tcPr>
          <w:p>
            <w:pPr>
              <w:pStyle w:val="Compact"/>
              <w:spacing w:after="0" w:before="0" w:line="240" w:lineRule="auto"/>
              <w:jc w:val="left"/>
            </w:pPr>
            <w:r>
              <w:rPr>
                <w:rFonts w:ascii="Arial" w:hAnsi="Arial"/>
                <w:sz w:val="15"/>
              </w:rPr>
              <w:t xml:space="preserve">China</w:t>
            </w:r>
          </w:p>
        </w:tc>
        <w:tc>
          <w:tcPr>
            <w:tcW w:type="dxa" w:w="1096"/>
          </w:tcPr>
          <w:p>
            <w:pPr>
              <w:pStyle w:val="Compact"/>
              <w:spacing w:after="0" w:before="0" w:line="240" w:lineRule="auto"/>
              <w:jc w:val="right"/>
            </w:pPr>
            <w:r>
              <w:rPr>
                <w:rFonts w:ascii="Arial" w:hAnsi="Arial"/>
                <w:sz w:val="15"/>
              </w:rPr>
              <w:t xml:space="preserve">-0.7%</w:t>
            </w:r>
          </w:p>
        </w:tc>
        <w:tc>
          <w:tcPr>
            <w:tcW w:type="dxa" w:w="1054"/>
          </w:tcPr>
          <w:p>
            <w:pPr>
              <w:pStyle w:val="Compact"/>
              <w:spacing w:after="0" w:before="0" w:line="240" w:lineRule="auto"/>
              <w:jc w:val="right"/>
            </w:pPr>
            <w:r>
              <w:rPr>
                <w:rFonts w:ascii="Arial" w:hAnsi="Arial"/>
                <w:sz w:val="15"/>
              </w:rPr>
              <w:t xml:space="preserve">-7.4%</w:t>
            </w:r>
          </w:p>
        </w:tc>
        <w:tc>
          <w:tcPr>
            <w:tcW w:type="dxa" w:w="1060"/>
          </w:tcPr>
          <w:p>
            <w:pPr>
              <w:pStyle w:val="Compact"/>
              <w:spacing w:after="0" w:before="0" w:line="240" w:lineRule="auto"/>
              <w:jc w:val="right"/>
            </w:pPr>
            <w:r>
              <w:rPr>
                <w:rFonts w:ascii="Arial" w:hAnsi="Arial"/>
                <w:sz w:val="15"/>
              </w:rPr>
              <w:t xml:space="preserve">20.8%</w:t>
            </w:r>
          </w:p>
        </w:tc>
        <w:tc>
          <w:tcPr>
            <w:tcW w:type="dxa" w:w="1296"/>
          </w:tcPr>
          <w:p>
            <w:pPr>
              <w:pStyle w:val="Compact"/>
              <w:spacing w:after="0" w:before="0" w:line="240" w:lineRule="auto"/>
              <w:jc w:val="right"/>
            </w:pPr>
            <w:r>
              <w:rPr>
                <w:rFonts w:ascii="Arial" w:hAnsi="Arial"/>
                <w:sz w:val="15"/>
              </w:rPr>
              <w:t xml:space="preserve">n/m</w:t>
            </w:r>
          </w:p>
        </w:tc>
        <w:tc>
          <w:tcPr>
            <w:tcW w:type="dxa" w:w="924"/>
          </w:tcPr>
          <w:p>
            <w:pPr>
              <w:pStyle w:val="Compact"/>
              <w:spacing w:after="0" w:before="0" w:line="240" w:lineRule="auto"/>
              <w:jc w:val="right"/>
            </w:pPr>
            <w:r>
              <w:rPr>
                <w:rFonts w:ascii="Arial" w:hAnsi="Arial"/>
                <w:sz w:val="15"/>
              </w:rPr>
              <w:t xml:space="preserve">0.2%</w:t>
            </w:r>
          </w:p>
        </w:tc>
        <w:tc>
          <w:tcPr>
            <w:tcW w:type="dxa" w:w="909"/>
          </w:tcPr>
          <w:p>
            <w:pPr>
              <w:pStyle w:val="Compact"/>
              <w:spacing w:after="0" w:before="0" w:line="240" w:lineRule="auto"/>
              <w:jc w:val="right"/>
            </w:pPr>
            <w:r>
              <w:rPr>
                <w:rFonts w:ascii="Arial" w:hAnsi="Arial"/>
                <w:sz w:val="15"/>
              </w:rPr>
              <w:t xml:space="preserve">-2.9%</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Mindray</w:t>
            </w:r>
          </w:p>
        </w:tc>
        <w:tc>
          <w:tcPr>
            <w:tcW w:type="dxa" w:w="1717"/>
            <w:shd w:val="clear" w:color="auto" w:fill="F1F2F5"/>
          </w:tcPr>
          <w:p>
            <w:pPr>
              <w:pStyle w:val="Compact"/>
              <w:spacing w:after="0" w:before="0" w:line="240" w:lineRule="auto"/>
              <w:jc w:val="left"/>
            </w:pPr>
            <w:r>
              <w:rPr>
                <w:rFonts w:ascii="Arial" w:hAnsi="Arial"/>
                <w:sz w:val="15"/>
              </w:rPr>
              <w:t xml:space="preserve">China</w:t>
            </w:r>
          </w:p>
        </w:tc>
        <w:tc>
          <w:tcPr>
            <w:tcW w:type="dxa" w:w="1096"/>
            <w:shd w:val="clear" w:color="auto" w:fill="F1F2F5"/>
          </w:tcPr>
          <w:p>
            <w:pPr>
              <w:pStyle w:val="Compact"/>
              <w:spacing w:after="0" w:before="0" w:line="240" w:lineRule="auto"/>
              <w:jc w:val="right"/>
            </w:pPr>
            <w:r>
              <w:rPr>
                <w:rFonts w:ascii="Arial" w:hAnsi="Arial"/>
                <w:sz w:val="15"/>
              </w:rPr>
              <w:t xml:space="preserve">33.0%</w:t>
            </w:r>
          </w:p>
        </w:tc>
        <w:tc>
          <w:tcPr>
            <w:tcW w:type="dxa" w:w="1054"/>
            <w:shd w:val="clear" w:color="auto" w:fill="F1F2F5"/>
          </w:tcPr>
          <w:p>
            <w:pPr>
              <w:pStyle w:val="Compact"/>
              <w:spacing w:after="0" w:before="0" w:line="240" w:lineRule="auto"/>
              <w:jc w:val="right"/>
            </w:pPr>
            <w:r>
              <w:rPr>
                <w:rFonts w:ascii="Arial" w:hAnsi="Arial"/>
                <w:sz w:val="15"/>
              </w:rPr>
              <w:t xml:space="preserve">28.3%</w:t>
            </w:r>
          </w:p>
        </w:tc>
        <w:tc>
          <w:tcPr>
            <w:tcW w:type="dxa" w:w="1060"/>
            <w:shd w:val="clear" w:color="auto" w:fill="F1F2F5"/>
          </w:tcPr>
          <w:p>
            <w:pPr>
              <w:pStyle w:val="Compact"/>
              <w:spacing w:after="0" w:before="0" w:line="240" w:lineRule="auto"/>
              <w:jc w:val="right"/>
            </w:pPr>
            <w:r>
              <w:rPr>
                <w:rFonts w:ascii="Arial" w:hAnsi="Arial"/>
                <w:sz w:val="15"/>
              </w:rPr>
              <w:t xml:space="preserve">4.1%</w:t>
            </w:r>
          </w:p>
        </w:tc>
        <w:tc>
          <w:tcPr>
            <w:tcW w:type="dxa" w:w="1296"/>
            <w:shd w:val="clear" w:color="auto" w:fill="F1F2F5"/>
          </w:tcPr>
          <w:p>
            <w:pPr>
              <w:pStyle w:val="Compact"/>
              <w:spacing w:after="0" w:before="0" w:line="240" w:lineRule="auto"/>
              <w:jc w:val="right"/>
            </w:pPr>
            <w:r>
              <w:rPr>
                <w:rFonts w:ascii="Arial" w:hAnsi="Arial"/>
                <w:sz w:val="15"/>
              </w:rPr>
              <w:t xml:space="preserve">-1.63x</w:t>
            </w:r>
          </w:p>
        </w:tc>
        <w:tc>
          <w:tcPr>
            <w:tcW w:type="dxa" w:w="924"/>
            <w:shd w:val="clear" w:color="auto" w:fill="F1F2F5"/>
          </w:tcPr>
          <w:p>
            <w:pPr>
              <w:pStyle w:val="Compact"/>
              <w:spacing w:after="0" w:before="0" w:line="240" w:lineRule="auto"/>
              <w:jc w:val="right"/>
            </w:pPr>
            <w:r>
              <w:rPr>
                <w:rFonts w:ascii="Arial" w:hAnsi="Arial"/>
                <w:sz w:val="15"/>
              </w:rPr>
              <w:t xml:space="preserve">2.5%</w:t>
            </w:r>
          </w:p>
        </w:tc>
        <w:tc>
          <w:tcPr>
            <w:tcW w:type="dxa" w:w="909"/>
            <w:shd w:val="clear" w:color="auto" w:fill="F1F2F5"/>
          </w:tcPr>
          <w:p>
            <w:pPr>
              <w:pStyle w:val="Compact"/>
              <w:spacing w:after="0" w:before="0" w:line="240" w:lineRule="auto"/>
              <w:jc w:val="right"/>
            </w:pPr>
            <w:r>
              <w:rPr>
                <w:rFonts w:ascii="Arial" w:hAnsi="Arial"/>
                <w:sz w:val="15"/>
              </w:rPr>
              <w:t xml:space="preserve">4.5%</w:t>
            </w:r>
          </w:p>
        </w:tc>
      </w:tr>
      <w:tr>
        <w:trPr>
          <w:cantSplit/>
        </w:trPr>
        <w:tc>
          <w:tcPr>
            <w:tcW w:type="dxa" w:w="1922"/>
          </w:tcPr>
          <w:p>
            <w:pPr>
              <w:pStyle w:val="Compact"/>
              <w:spacing w:after="0" w:before="0" w:line="240" w:lineRule="auto"/>
              <w:jc w:val="left"/>
            </w:pPr>
            <w:r>
              <w:rPr>
                <w:rFonts w:ascii="Arial" w:hAnsi="Arial"/>
                <w:sz w:val="15"/>
              </w:rPr>
              <w:t xml:space="preserve">Micro-Tech (Nanjing)</w:t>
            </w:r>
          </w:p>
        </w:tc>
        <w:tc>
          <w:tcPr>
            <w:tcW w:type="dxa" w:w="1717"/>
          </w:tcPr>
          <w:p>
            <w:pPr>
              <w:pStyle w:val="Compact"/>
              <w:spacing w:after="0" w:before="0" w:line="240" w:lineRule="auto"/>
              <w:jc w:val="left"/>
            </w:pPr>
            <w:r>
              <w:rPr>
                <w:rFonts w:ascii="Arial" w:hAnsi="Arial"/>
                <w:sz w:val="15"/>
              </w:rPr>
              <w:t xml:space="preserve">China</w:t>
            </w:r>
          </w:p>
        </w:tc>
        <w:tc>
          <w:tcPr>
            <w:tcW w:type="dxa" w:w="1096"/>
          </w:tcPr>
          <w:p>
            <w:pPr>
              <w:pStyle w:val="Compact"/>
              <w:spacing w:after="0" w:before="0" w:line="240" w:lineRule="auto"/>
              <w:jc w:val="right"/>
            </w:pPr>
            <w:r>
              <w:rPr>
                <w:rFonts w:ascii="Arial" w:hAnsi="Arial"/>
                <w:sz w:val="15"/>
              </w:rPr>
              <w:t xml:space="preserve">22.3%</w:t>
            </w:r>
          </w:p>
        </w:tc>
        <w:tc>
          <w:tcPr>
            <w:tcW w:type="dxa" w:w="1054"/>
          </w:tcPr>
          <w:p>
            <w:pPr>
              <w:pStyle w:val="Compact"/>
              <w:spacing w:after="0" w:before="0" w:line="240" w:lineRule="auto"/>
              <w:jc w:val="right"/>
            </w:pPr>
            <w:r>
              <w:rPr>
                <w:rFonts w:ascii="Arial" w:hAnsi="Arial"/>
                <w:sz w:val="15"/>
              </w:rPr>
              <w:t xml:space="preserve">19.6%</w:t>
            </w:r>
          </w:p>
        </w:tc>
        <w:tc>
          <w:tcPr>
            <w:tcW w:type="dxa" w:w="1060"/>
          </w:tcPr>
          <w:p>
            <w:pPr>
              <w:pStyle w:val="Compact"/>
              <w:spacing w:after="0" w:before="0" w:line="240" w:lineRule="auto"/>
              <w:jc w:val="right"/>
            </w:pPr>
            <w:r>
              <w:rPr>
                <w:rFonts w:ascii="Arial" w:hAnsi="Arial"/>
                <w:sz w:val="15"/>
              </w:rPr>
              <w:t xml:space="preserve">12.0%</w:t>
            </w:r>
          </w:p>
        </w:tc>
        <w:tc>
          <w:tcPr>
            <w:tcW w:type="dxa" w:w="1296"/>
          </w:tcPr>
          <w:p>
            <w:pPr>
              <w:pStyle w:val="Compact"/>
              <w:spacing w:after="0" w:before="0" w:line="240" w:lineRule="auto"/>
              <w:jc w:val="right"/>
            </w:pPr>
            <w:r>
              <w:rPr>
                <w:rFonts w:ascii="Arial" w:hAnsi="Arial"/>
                <w:sz w:val="15"/>
              </w:rPr>
              <w:t xml:space="preserve">-2.45x</w:t>
            </w:r>
          </w:p>
        </w:tc>
        <w:tc>
          <w:tcPr>
            <w:tcW w:type="dxa" w:w="924"/>
          </w:tcPr>
          <w:p>
            <w:pPr>
              <w:pStyle w:val="Compact"/>
              <w:spacing w:after="0" w:before="0" w:line="240" w:lineRule="auto"/>
              <w:jc w:val="right"/>
            </w:pPr>
            <w:r>
              <w:rPr>
                <w:rFonts w:ascii="Arial" w:hAnsi="Arial"/>
                <w:sz w:val="15"/>
              </w:rPr>
              <w:t xml:space="preserve">1.9%</w:t>
            </w:r>
          </w:p>
        </w:tc>
        <w:tc>
          <w:tcPr>
            <w:tcW w:type="dxa" w:w="909"/>
          </w:tcPr>
          <w:p>
            <w:pPr>
              <w:pStyle w:val="Compact"/>
              <w:spacing w:after="0" w:before="0" w:line="240" w:lineRule="auto"/>
              <w:jc w:val="right"/>
            </w:pPr>
            <w:r>
              <w:rPr>
                <w:rFonts w:ascii="Arial" w:hAnsi="Arial"/>
                <w:sz w:val="15"/>
              </w:rPr>
              <w:t xml:space="preserve">3.1%</w:t>
            </w:r>
          </w:p>
        </w:tc>
      </w:tr>
      <w:tr>
        <w:trPr>
          <w:cantSplit/>
        </w:trPr>
        <w:tc>
          <w:tcPr>
            <w:tcW w:type="dxa" w:w="1922"/>
            <w:shd w:val="clear" w:color="auto" w:fill="F1F2F5"/>
          </w:tcPr>
          <w:p>
            <w:pPr>
              <w:pStyle w:val="Compact"/>
              <w:spacing w:after="0" w:before="0" w:line="240" w:lineRule="auto"/>
              <w:jc w:val="left"/>
            </w:pPr>
            <w:r>
              <w:rPr>
                <w:rFonts w:ascii="Arial" w:hAnsi="Arial"/>
                <w:sz w:val="15"/>
              </w:rPr>
              <w:t xml:space="preserve">MicroPort Scientific</w:t>
            </w:r>
          </w:p>
        </w:tc>
        <w:tc>
          <w:tcPr>
            <w:tcW w:type="dxa" w:w="1717"/>
            <w:shd w:val="clear" w:color="auto" w:fill="F1F2F5"/>
          </w:tcPr>
          <w:p>
            <w:pPr>
              <w:pStyle w:val="Compact"/>
              <w:spacing w:after="0" w:before="0" w:line="240" w:lineRule="auto"/>
              <w:jc w:val="left"/>
            </w:pPr>
            <w:r>
              <w:rPr>
                <w:rFonts w:ascii="Arial" w:hAnsi="Arial"/>
                <w:sz w:val="15"/>
              </w:rPr>
              <w:t xml:space="preserve">China (HK-listed)</w:t>
            </w:r>
          </w:p>
        </w:tc>
        <w:tc>
          <w:tcPr>
            <w:tcW w:type="dxa" w:w="1096"/>
            <w:shd w:val="clear" w:color="auto" w:fill="F1F2F5"/>
          </w:tcPr>
          <w:p>
            <w:pPr>
              <w:pStyle w:val="Compact"/>
              <w:spacing w:after="0" w:before="0" w:line="240" w:lineRule="auto"/>
              <w:jc w:val="right"/>
            </w:pPr>
            <w:r>
              <w:rPr>
                <w:rFonts w:ascii="Arial" w:hAnsi="Arial"/>
                <w:sz w:val="15"/>
              </w:rPr>
              <w:t xml:space="preserve">4.9%</w:t>
            </w:r>
          </w:p>
        </w:tc>
        <w:tc>
          <w:tcPr>
            <w:tcW w:type="dxa" w:w="1054"/>
            <w:shd w:val="clear" w:color="auto" w:fill="F1F2F5"/>
          </w:tcPr>
          <w:p>
            <w:pPr>
              <w:pStyle w:val="Compact"/>
              <w:spacing w:after="0" w:before="0" w:line="240" w:lineRule="auto"/>
              <w:jc w:val="right"/>
            </w:pPr>
            <w:r>
              <w:rPr>
                <w:rFonts w:ascii="Arial" w:hAnsi="Arial"/>
                <w:sz w:val="15"/>
              </w:rPr>
              <w:t xml:space="preserve">-3.3%</w:t>
            </w:r>
          </w:p>
        </w:tc>
        <w:tc>
          <w:tcPr>
            <w:tcW w:type="dxa" w:w="1060"/>
            <w:shd w:val="clear" w:color="auto" w:fill="F1F2F5"/>
          </w:tcPr>
          <w:p>
            <w:pPr>
              <w:pStyle w:val="Compact"/>
              <w:spacing w:after="0" w:before="0" w:line="240" w:lineRule="auto"/>
              <w:jc w:val="right"/>
            </w:pPr>
            <w:r>
              <w:rPr>
                <w:rFonts w:ascii="Arial" w:hAnsi="Arial"/>
                <w:sz w:val="15"/>
              </w:rPr>
              <w:t xml:space="preserve">7.2%</w:t>
            </w:r>
          </w:p>
        </w:tc>
        <w:tc>
          <w:tcPr>
            <w:tcW w:type="dxa" w:w="1296"/>
            <w:shd w:val="clear" w:color="auto" w:fill="F1F2F5"/>
          </w:tcPr>
          <w:p>
            <w:pPr>
              <w:pStyle w:val="Compact"/>
              <w:spacing w:after="0" w:before="0" w:line="240" w:lineRule="auto"/>
              <w:jc w:val="right"/>
            </w:pPr>
            <w:r>
              <w:rPr>
                <w:rFonts w:ascii="Arial" w:hAnsi="Arial"/>
                <w:sz w:val="15"/>
              </w:rPr>
              <w:t xml:space="preserve">14.94x</w:t>
            </w:r>
          </w:p>
        </w:tc>
        <w:tc>
          <w:tcPr>
            <w:tcW w:type="dxa" w:w="924"/>
            <w:shd w:val="clear" w:color="auto" w:fill="F1F2F5"/>
          </w:tcPr>
          <w:p>
            <w:pPr>
              <w:pStyle w:val="Compact"/>
              <w:spacing w:after="0" w:before="0" w:line="240" w:lineRule="auto"/>
              <w:jc w:val="right"/>
            </w:pPr>
            <w:r>
              <w:rPr>
                <w:rFonts w:ascii="Arial" w:hAnsi="Arial"/>
                <w:sz w:val="15"/>
              </w:rPr>
              <w:t xml:space="preserve">0.0%</w:t>
            </w:r>
          </w:p>
        </w:tc>
        <w:tc>
          <w:tcPr>
            <w:tcW w:type="dxa" w:w="909"/>
            <w:shd w:val="clear" w:color="auto" w:fill="F1F2F5"/>
          </w:tcPr>
          <w:p>
            <w:pPr>
              <w:pStyle w:val="Compact"/>
              <w:spacing w:after="0" w:before="0" w:line="240" w:lineRule="auto"/>
              <w:jc w:val="right"/>
            </w:pPr>
            <w:r>
              <w:rPr>
                <w:rFonts w:ascii="Arial" w:hAnsi="Arial"/>
                <w:sz w:val="15"/>
              </w:rPr>
              <w:t xml:space="preserve">-1.2%</w:t>
            </w:r>
          </w:p>
        </w:tc>
      </w:tr>
    </w:tbl>
    <w:p>
      <w:pPr>
        <w:pStyle w:val="BodyText"/>
      </w:pPr>
      <w:r>
        <w:rPr>
          <w:bCs/>
          <w:b/>
        </w:rPr>
        <w:t xml:space="preserve">(c) Group medians (excluding Olympus)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82"/>
        <w:gridCol w:w="1090"/>
        <w:gridCol w:w="1185"/>
        <w:gridCol w:w="1212"/>
        <w:gridCol w:w="993"/>
        <w:gridCol w:w="717"/>
        <w:gridCol w:w="833"/>
        <w:gridCol w:w="836"/>
        <w:gridCol w:w="1226"/>
      </w:tblGrid>
      <w:tr>
        <w:trPr>
          <w:tblHeader w:val="true"/>
          <w:tblHeader w:val="true"/>
          <w:cantSplit/>
        </w:trPr>
        <w:tc>
          <w:tcPr>
            <w:tcW w:type="dxa" w:w="1882"/>
            <w:shd w:val="clear" w:color="auto" w:fill="13213F"/>
          </w:tcPr>
          <w:p>
            <w:pPr>
              <w:pStyle w:val="Compact"/>
              <w:spacing w:after="0" w:before="0" w:line="240" w:lineRule="auto"/>
              <w:jc w:val="left"/>
            </w:pPr>
            <w:r>
              <w:rPr>
                <w:rFonts w:ascii="Arial" w:hAnsi="Arial"/>
                <w:b/>
                <w:color w:val="FFFFFF"/>
                <w:sz w:val="15"/>
              </w:rPr>
              <w:t xml:space="preserve">Group</w:t>
            </w:r>
          </w:p>
        </w:tc>
        <w:tc>
          <w:tcPr>
            <w:tcW w:type="dxa" w:w="1090"/>
            <w:shd w:val="clear" w:color="auto" w:fill="13213F"/>
          </w:tcPr>
          <w:p>
            <w:pPr>
              <w:pStyle w:val="Compact"/>
              <w:spacing w:after="0" w:before="0" w:line="240" w:lineRule="auto"/>
              <w:jc w:val="right"/>
            </w:pPr>
            <w:r>
              <w:rPr>
                <w:rFonts w:ascii="Arial" w:hAnsi="Arial"/>
                <w:b/>
                <w:color w:val="FFFFFF"/>
                <w:sz w:val="15"/>
              </w:rPr>
              <w:t xml:space="preserve">TEV/Sales</w:t>
            </w:r>
          </w:p>
        </w:tc>
        <w:tc>
          <w:tcPr>
            <w:tcW w:type="dxa" w:w="1186"/>
            <w:shd w:val="clear" w:color="auto" w:fill="13213F"/>
          </w:tcPr>
          <w:p>
            <w:pPr>
              <w:pStyle w:val="Compact"/>
              <w:spacing w:after="0" w:before="0" w:line="240" w:lineRule="auto"/>
              <w:jc w:val="right"/>
            </w:pPr>
            <w:r>
              <w:rPr>
                <w:rFonts w:ascii="Arial" w:hAnsi="Arial"/>
                <w:b/>
                <w:color w:val="FFFFFF"/>
                <w:sz w:val="15"/>
              </w:rPr>
              <w:t xml:space="preserve">TEV/EBITDA</w:t>
            </w:r>
          </w:p>
        </w:tc>
        <w:tc>
          <w:tcPr>
            <w:tcW w:type="dxa" w:w="1213"/>
            <w:shd w:val="clear" w:color="auto" w:fill="13213F"/>
          </w:tcPr>
          <w:p>
            <w:pPr>
              <w:pStyle w:val="Compact"/>
              <w:spacing w:after="0" w:before="0" w:line="240" w:lineRule="auto"/>
              <w:jc w:val="right"/>
            </w:pPr>
            <w:r>
              <w:rPr>
                <w:rFonts w:ascii="Arial" w:hAnsi="Arial"/>
                <w:b/>
                <w:color w:val="FFFFFF"/>
                <w:sz w:val="15"/>
              </w:rPr>
              <w:t xml:space="preserve">NTM TEV/EBITDA</w:t>
            </w:r>
          </w:p>
        </w:tc>
        <w:tc>
          <w:tcPr>
            <w:tcW w:type="dxa" w:w="993"/>
            <w:shd w:val="clear" w:color="auto" w:fill="13213F"/>
          </w:tcPr>
          <w:p>
            <w:pPr>
              <w:pStyle w:val="Compact"/>
              <w:spacing w:after="0" w:before="0" w:line="240" w:lineRule="auto"/>
              <w:jc w:val="right"/>
            </w:pPr>
            <w:r>
              <w:rPr>
                <w:rFonts w:ascii="Arial" w:hAnsi="Arial"/>
                <w:b/>
                <w:color w:val="FFFFFF"/>
                <w:sz w:val="15"/>
              </w:rPr>
              <w:t xml:space="preserve">TEV/EBIT</w:t>
            </w:r>
          </w:p>
        </w:tc>
        <w:tc>
          <w:tcPr>
            <w:tcW w:type="dxa" w:w="718"/>
            <w:shd w:val="clear" w:color="auto" w:fill="13213F"/>
          </w:tcPr>
          <w:p>
            <w:pPr>
              <w:pStyle w:val="Compact"/>
              <w:spacing w:after="0" w:before="0" w:line="240" w:lineRule="auto"/>
              <w:jc w:val="right"/>
            </w:pPr>
            <w:r>
              <w:rPr>
                <w:rFonts w:ascii="Arial" w:hAnsi="Arial"/>
                <w:b/>
                <w:color w:val="FFFFFF"/>
                <w:sz w:val="15"/>
              </w:rPr>
              <w:t xml:space="preserve">P/E fwd</w:t>
            </w:r>
          </w:p>
        </w:tc>
        <w:tc>
          <w:tcPr>
            <w:tcW w:type="dxa" w:w="833"/>
            <w:shd w:val="clear" w:color="auto" w:fill="13213F"/>
          </w:tcPr>
          <w:p>
            <w:pPr>
              <w:pStyle w:val="Compact"/>
              <w:spacing w:after="0" w:before="0" w:line="240" w:lineRule="auto"/>
              <w:jc w:val="right"/>
            </w:pPr>
            <w:r>
              <w:rPr>
                <w:rFonts w:ascii="Arial" w:hAnsi="Arial"/>
                <w:b/>
                <w:color w:val="FFFFFF"/>
                <w:sz w:val="15"/>
              </w:rPr>
              <w:t xml:space="preserve">EBIT margin</w:t>
            </w:r>
          </w:p>
        </w:tc>
        <w:tc>
          <w:tcPr>
            <w:tcW w:type="dxa" w:w="837"/>
            <w:shd w:val="clear" w:color="auto" w:fill="13213F"/>
          </w:tcPr>
          <w:p>
            <w:pPr>
              <w:pStyle w:val="Compact"/>
              <w:spacing w:after="0" w:before="0" w:line="240" w:lineRule="auto"/>
              <w:jc w:val="right"/>
            </w:pPr>
            <w:r>
              <w:rPr>
                <w:rFonts w:ascii="Arial" w:hAnsi="Arial"/>
                <w:b/>
                <w:color w:val="FFFFFF"/>
                <w:sz w:val="15"/>
              </w:rPr>
              <w:t xml:space="preserve">Sales growth</w:t>
            </w:r>
          </w:p>
        </w:tc>
        <w:tc>
          <w:tcPr>
            <w:tcW w:type="dxa" w:w="1226"/>
            <w:shd w:val="clear" w:color="auto" w:fill="13213F"/>
          </w:tcPr>
          <w:p>
            <w:pPr>
              <w:pStyle w:val="Compact"/>
              <w:spacing w:after="0" w:before="0" w:line="240" w:lineRule="auto"/>
              <w:jc w:val="right"/>
            </w:pPr>
            <w:r>
              <w:rPr>
                <w:rFonts w:ascii="Arial" w:hAnsi="Arial"/>
                <w:b/>
                <w:color w:val="FFFFFF"/>
                <w:sz w:val="15"/>
              </w:rPr>
              <w:t xml:space="preserve">Olympus NTM EV/EBITDA discount</w:t>
            </w:r>
          </w:p>
        </w:tc>
      </w:tr>
      <w:tr>
        <w:trPr>
          <w:cantSplit/>
        </w:trPr>
        <w:tc>
          <w:tcPr>
            <w:tcW w:type="dxa" w:w="1882"/>
          </w:tcPr>
          <w:p>
            <w:pPr>
              <w:pStyle w:val="Compact"/>
              <w:spacing w:after="0" w:before="0" w:line="240" w:lineRule="auto"/>
              <w:jc w:val="left"/>
            </w:pPr>
            <w:r>
              <w:rPr>
                <w:rFonts w:ascii="Arial" w:hAnsi="Arial"/>
                <w:sz w:val="15"/>
              </w:rPr>
              <w:t xml:space="preserve">Japan medtech</w:t>
            </w:r>
          </w:p>
        </w:tc>
        <w:tc>
          <w:tcPr>
            <w:tcW w:type="dxa" w:w="1090"/>
          </w:tcPr>
          <w:p>
            <w:pPr>
              <w:pStyle w:val="Compact"/>
              <w:spacing w:after="0" w:before="0" w:line="240" w:lineRule="auto"/>
              <w:jc w:val="right"/>
            </w:pPr>
            <w:r>
              <w:rPr>
                <w:rFonts w:ascii="Arial" w:hAnsi="Arial"/>
                <w:sz w:val="15"/>
              </w:rPr>
              <w:t xml:space="preserve">2.16x</w:t>
            </w:r>
          </w:p>
        </w:tc>
        <w:tc>
          <w:tcPr>
            <w:tcW w:type="dxa" w:w="1186"/>
          </w:tcPr>
          <w:p>
            <w:pPr>
              <w:pStyle w:val="Compact"/>
              <w:spacing w:after="0" w:before="0" w:line="240" w:lineRule="auto"/>
              <w:jc w:val="right"/>
            </w:pPr>
            <w:r>
              <w:rPr>
                <w:rFonts w:ascii="Arial" w:hAnsi="Arial"/>
                <w:sz w:val="15"/>
              </w:rPr>
              <w:t xml:space="preserve">11.4x</w:t>
            </w:r>
          </w:p>
        </w:tc>
        <w:tc>
          <w:tcPr>
            <w:tcW w:type="dxa" w:w="1213"/>
          </w:tcPr>
          <w:p>
            <w:pPr>
              <w:pStyle w:val="Compact"/>
              <w:spacing w:after="0" w:before="0" w:line="240" w:lineRule="auto"/>
              <w:jc w:val="right"/>
            </w:pPr>
            <w:r>
              <w:rPr>
                <w:rFonts w:ascii="Arial" w:hAnsi="Arial"/>
                <w:sz w:val="15"/>
              </w:rPr>
              <w:t xml:space="preserve">10.3x</w:t>
            </w:r>
          </w:p>
        </w:tc>
        <w:tc>
          <w:tcPr>
            <w:tcW w:type="dxa" w:w="993"/>
          </w:tcPr>
          <w:p>
            <w:pPr>
              <w:pStyle w:val="Compact"/>
              <w:spacing w:after="0" w:before="0" w:line="240" w:lineRule="auto"/>
              <w:jc w:val="right"/>
            </w:pPr>
            <w:r>
              <w:rPr>
                <w:rFonts w:ascii="Arial" w:hAnsi="Arial"/>
                <w:sz w:val="15"/>
              </w:rPr>
              <w:t xml:space="preserve">17.1x</w:t>
            </w:r>
          </w:p>
        </w:tc>
        <w:tc>
          <w:tcPr>
            <w:tcW w:type="dxa" w:w="718"/>
          </w:tcPr>
          <w:p>
            <w:pPr>
              <w:pStyle w:val="Compact"/>
              <w:spacing w:after="0" w:before="0" w:line="240" w:lineRule="auto"/>
              <w:jc w:val="right"/>
            </w:pPr>
            <w:r>
              <w:rPr>
                <w:rFonts w:ascii="Arial" w:hAnsi="Arial"/>
                <w:sz w:val="15"/>
              </w:rPr>
              <w:t xml:space="preserve">21.7x</w:t>
            </w:r>
          </w:p>
        </w:tc>
        <w:tc>
          <w:tcPr>
            <w:tcW w:type="dxa" w:w="833"/>
          </w:tcPr>
          <w:p>
            <w:pPr>
              <w:pStyle w:val="Compact"/>
              <w:spacing w:after="0" w:before="0" w:line="240" w:lineRule="auto"/>
              <w:jc w:val="right"/>
            </w:pPr>
            <w:r>
              <w:rPr>
                <w:rFonts w:ascii="Arial" w:hAnsi="Arial"/>
                <w:sz w:val="15"/>
              </w:rPr>
              <w:t xml:space="preserve">13.2%</w:t>
            </w:r>
          </w:p>
        </w:tc>
        <w:tc>
          <w:tcPr>
            <w:tcW w:type="dxa" w:w="837"/>
          </w:tcPr>
          <w:p>
            <w:pPr>
              <w:pStyle w:val="Compact"/>
              <w:spacing w:after="0" w:before="0" w:line="240" w:lineRule="auto"/>
              <w:jc w:val="right"/>
            </w:pPr>
            <w:r>
              <w:rPr>
                <w:rFonts w:ascii="Arial" w:hAnsi="Arial"/>
                <w:sz w:val="15"/>
              </w:rPr>
              <w:t xml:space="preserve">7.4%</w:t>
            </w:r>
          </w:p>
        </w:tc>
        <w:tc>
          <w:tcPr>
            <w:tcW w:type="dxa" w:w="1226"/>
          </w:tcPr>
          <w:p>
            <w:pPr>
              <w:pStyle w:val="Compact"/>
              <w:spacing w:after="0" w:before="0" w:line="240" w:lineRule="auto"/>
              <w:jc w:val="right"/>
            </w:pPr>
            <w:r>
              <w:rPr>
                <w:rFonts w:ascii="Arial" w:hAnsi="Arial"/>
                <w:sz w:val="15"/>
              </w:rPr>
              <w:t xml:space="preserve">-14%</w:t>
            </w:r>
          </w:p>
        </w:tc>
      </w:tr>
      <w:tr>
        <w:trPr>
          <w:cantSplit/>
        </w:trPr>
        <w:tc>
          <w:tcPr>
            <w:tcW w:type="dxa" w:w="1882"/>
            <w:shd w:val="clear" w:color="auto" w:fill="F1F2F5"/>
          </w:tcPr>
          <w:p>
            <w:pPr>
              <w:pStyle w:val="Compact"/>
              <w:spacing w:after="0" w:before="0" w:line="240" w:lineRule="auto"/>
              <w:jc w:val="left"/>
            </w:pPr>
            <w:r>
              <w:rPr>
                <w:rFonts w:ascii="Arial" w:hAnsi="Arial"/>
                <w:sz w:val="15"/>
              </w:rPr>
              <w:t xml:space="preserve">US/EU large-cap medtech</w:t>
            </w:r>
          </w:p>
        </w:tc>
        <w:tc>
          <w:tcPr>
            <w:tcW w:type="dxa" w:w="1090"/>
            <w:shd w:val="clear" w:color="auto" w:fill="F1F2F5"/>
          </w:tcPr>
          <w:p>
            <w:pPr>
              <w:pStyle w:val="Compact"/>
              <w:spacing w:after="0" w:before="0" w:line="240" w:lineRule="auto"/>
              <w:jc w:val="right"/>
            </w:pPr>
            <w:r>
              <w:rPr>
                <w:rFonts w:ascii="Arial" w:hAnsi="Arial"/>
                <w:sz w:val="15"/>
              </w:rPr>
              <w:t xml:space="preserve">3.04x</w:t>
            </w:r>
          </w:p>
        </w:tc>
        <w:tc>
          <w:tcPr>
            <w:tcW w:type="dxa" w:w="1186"/>
            <w:shd w:val="clear" w:color="auto" w:fill="F1F2F5"/>
          </w:tcPr>
          <w:p>
            <w:pPr>
              <w:pStyle w:val="Compact"/>
              <w:spacing w:after="0" w:before="0" w:line="240" w:lineRule="auto"/>
              <w:jc w:val="right"/>
            </w:pPr>
            <w:r>
              <w:rPr>
                <w:rFonts w:ascii="Arial" w:hAnsi="Arial"/>
                <w:sz w:val="15"/>
              </w:rPr>
              <w:t xml:space="preserve">12.7x</w:t>
            </w:r>
          </w:p>
        </w:tc>
        <w:tc>
          <w:tcPr>
            <w:tcW w:type="dxa" w:w="1213"/>
            <w:shd w:val="clear" w:color="auto" w:fill="F1F2F5"/>
          </w:tcPr>
          <w:p>
            <w:pPr>
              <w:pStyle w:val="Compact"/>
              <w:spacing w:after="0" w:before="0" w:line="240" w:lineRule="auto"/>
              <w:jc w:val="right"/>
            </w:pPr>
            <w:r>
              <w:rPr>
                <w:rFonts w:ascii="Arial" w:hAnsi="Arial"/>
                <w:sz w:val="15"/>
              </w:rPr>
              <w:t xml:space="preserve">12.2x</w:t>
            </w:r>
          </w:p>
        </w:tc>
        <w:tc>
          <w:tcPr>
            <w:tcW w:type="dxa" w:w="993"/>
            <w:shd w:val="clear" w:color="auto" w:fill="F1F2F5"/>
          </w:tcPr>
          <w:p>
            <w:pPr>
              <w:pStyle w:val="Compact"/>
              <w:spacing w:after="0" w:before="0" w:line="240" w:lineRule="auto"/>
              <w:jc w:val="right"/>
            </w:pPr>
            <w:r>
              <w:rPr>
                <w:rFonts w:ascii="Arial" w:hAnsi="Arial"/>
                <w:sz w:val="15"/>
              </w:rPr>
              <w:t xml:space="preserve">18.0x</w:t>
            </w:r>
          </w:p>
        </w:tc>
        <w:tc>
          <w:tcPr>
            <w:tcW w:type="dxa" w:w="718"/>
            <w:shd w:val="clear" w:color="auto" w:fill="F1F2F5"/>
          </w:tcPr>
          <w:p>
            <w:pPr>
              <w:pStyle w:val="Compact"/>
              <w:spacing w:after="0" w:before="0" w:line="240" w:lineRule="auto"/>
              <w:jc w:val="right"/>
            </w:pPr>
            <w:r>
              <w:rPr>
                <w:rFonts w:ascii="Arial" w:hAnsi="Arial"/>
                <w:sz w:val="15"/>
              </w:rPr>
              <w:t xml:space="preserve">14.5x</w:t>
            </w:r>
          </w:p>
        </w:tc>
        <w:tc>
          <w:tcPr>
            <w:tcW w:type="dxa" w:w="833"/>
            <w:shd w:val="clear" w:color="auto" w:fill="F1F2F5"/>
          </w:tcPr>
          <w:p>
            <w:pPr>
              <w:pStyle w:val="Compact"/>
              <w:spacing w:after="0" w:before="0" w:line="240" w:lineRule="auto"/>
              <w:jc w:val="right"/>
            </w:pPr>
            <w:r>
              <w:rPr>
                <w:rFonts w:ascii="Arial" w:hAnsi="Arial"/>
                <w:sz w:val="15"/>
              </w:rPr>
              <w:t xml:space="preserve">16.7%</w:t>
            </w:r>
          </w:p>
        </w:tc>
        <w:tc>
          <w:tcPr>
            <w:tcW w:type="dxa" w:w="837"/>
            <w:shd w:val="clear" w:color="auto" w:fill="F1F2F5"/>
          </w:tcPr>
          <w:p>
            <w:pPr>
              <w:pStyle w:val="Compact"/>
              <w:spacing w:after="0" w:before="0" w:line="240" w:lineRule="auto"/>
              <w:jc w:val="right"/>
            </w:pPr>
            <w:r>
              <w:rPr>
                <w:rFonts w:ascii="Arial" w:hAnsi="Arial"/>
                <w:sz w:val="15"/>
              </w:rPr>
              <w:t xml:space="preserve">8.1%</w:t>
            </w:r>
          </w:p>
        </w:tc>
        <w:tc>
          <w:tcPr>
            <w:tcW w:type="dxa" w:w="1226"/>
            <w:shd w:val="clear" w:color="auto" w:fill="F1F2F5"/>
          </w:tcPr>
          <w:p>
            <w:pPr>
              <w:pStyle w:val="Compact"/>
              <w:spacing w:after="0" w:before="0" w:line="240" w:lineRule="auto"/>
              <w:jc w:val="right"/>
            </w:pPr>
            <w:r>
              <w:rPr>
                <w:rFonts w:ascii="Arial" w:hAnsi="Arial"/>
                <w:sz w:val="15"/>
              </w:rPr>
              <w:t xml:space="preserve">-27%</w:t>
            </w:r>
          </w:p>
        </w:tc>
      </w:tr>
      <w:tr>
        <w:trPr>
          <w:cantSplit/>
        </w:trPr>
        <w:tc>
          <w:tcPr>
            <w:tcW w:type="dxa" w:w="1882"/>
          </w:tcPr>
          <w:p>
            <w:pPr>
              <w:pStyle w:val="Compact"/>
              <w:spacing w:after="0" w:before="0" w:line="240" w:lineRule="auto"/>
              <w:jc w:val="left"/>
            </w:pPr>
            <w:r>
              <w:rPr>
                <w:rFonts w:ascii="Arial" w:hAnsi="Arial"/>
                <w:sz w:val="15"/>
              </w:rPr>
              <w:t xml:space="preserve">Endoscopy / GI / surgical visualisation</w:t>
            </w:r>
          </w:p>
        </w:tc>
        <w:tc>
          <w:tcPr>
            <w:tcW w:type="dxa" w:w="1090"/>
          </w:tcPr>
          <w:p>
            <w:pPr>
              <w:pStyle w:val="Compact"/>
              <w:spacing w:after="0" w:before="0" w:line="240" w:lineRule="auto"/>
              <w:jc w:val="right"/>
            </w:pPr>
            <w:r>
              <w:rPr>
                <w:rFonts w:ascii="Arial" w:hAnsi="Arial"/>
                <w:sz w:val="15"/>
              </w:rPr>
              <w:t xml:space="preserve">3.76x</w:t>
            </w:r>
          </w:p>
        </w:tc>
        <w:tc>
          <w:tcPr>
            <w:tcW w:type="dxa" w:w="1186"/>
          </w:tcPr>
          <w:p>
            <w:pPr>
              <w:pStyle w:val="Compact"/>
              <w:spacing w:after="0" w:before="0" w:line="240" w:lineRule="auto"/>
              <w:jc w:val="right"/>
            </w:pPr>
            <w:r>
              <w:rPr>
                <w:rFonts w:ascii="Arial" w:hAnsi="Arial"/>
                <w:sz w:val="15"/>
              </w:rPr>
              <w:t xml:space="preserve">16.5x</w:t>
            </w:r>
          </w:p>
        </w:tc>
        <w:tc>
          <w:tcPr>
            <w:tcW w:type="dxa" w:w="1213"/>
          </w:tcPr>
          <w:p>
            <w:pPr>
              <w:pStyle w:val="Compact"/>
              <w:spacing w:after="0" w:before="0" w:line="240" w:lineRule="auto"/>
              <w:jc w:val="right"/>
            </w:pPr>
            <w:r>
              <w:rPr>
                <w:rFonts w:ascii="Arial" w:hAnsi="Arial"/>
                <w:sz w:val="15"/>
              </w:rPr>
              <w:t xml:space="preserve">14.0x</w:t>
            </w:r>
          </w:p>
        </w:tc>
        <w:tc>
          <w:tcPr>
            <w:tcW w:type="dxa" w:w="993"/>
          </w:tcPr>
          <w:p>
            <w:pPr>
              <w:pStyle w:val="Compact"/>
              <w:spacing w:after="0" w:before="0" w:line="240" w:lineRule="auto"/>
              <w:jc w:val="right"/>
            </w:pPr>
            <w:r>
              <w:rPr>
                <w:rFonts w:ascii="Arial" w:hAnsi="Arial"/>
                <w:sz w:val="15"/>
              </w:rPr>
              <w:t xml:space="preserve">20.3x</w:t>
            </w:r>
          </w:p>
        </w:tc>
        <w:tc>
          <w:tcPr>
            <w:tcW w:type="dxa" w:w="718"/>
          </w:tcPr>
          <w:p>
            <w:pPr>
              <w:pStyle w:val="Compact"/>
              <w:spacing w:after="0" w:before="0" w:line="240" w:lineRule="auto"/>
              <w:jc w:val="right"/>
            </w:pPr>
            <w:r>
              <w:rPr>
                <w:rFonts w:ascii="Arial" w:hAnsi="Arial"/>
                <w:sz w:val="15"/>
              </w:rPr>
              <w:t xml:space="preserve">21.3x</w:t>
            </w:r>
          </w:p>
        </w:tc>
        <w:tc>
          <w:tcPr>
            <w:tcW w:type="dxa" w:w="833"/>
          </w:tcPr>
          <w:p>
            <w:pPr>
              <w:pStyle w:val="Compact"/>
              <w:spacing w:after="0" w:before="0" w:line="240" w:lineRule="auto"/>
              <w:jc w:val="right"/>
            </w:pPr>
            <w:r>
              <w:rPr>
                <w:rFonts w:ascii="Arial" w:hAnsi="Arial"/>
                <w:sz w:val="15"/>
              </w:rPr>
              <w:t xml:space="preserve">15.2%</w:t>
            </w:r>
          </w:p>
        </w:tc>
        <w:tc>
          <w:tcPr>
            <w:tcW w:type="dxa" w:w="837"/>
          </w:tcPr>
          <w:p>
            <w:pPr>
              <w:pStyle w:val="Compact"/>
              <w:spacing w:after="0" w:before="0" w:line="240" w:lineRule="auto"/>
              <w:jc w:val="right"/>
            </w:pPr>
            <w:r>
              <w:rPr>
                <w:rFonts w:ascii="Arial" w:hAnsi="Arial"/>
                <w:sz w:val="15"/>
              </w:rPr>
              <w:t xml:space="preserve">10.3%</w:t>
            </w:r>
          </w:p>
        </w:tc>
        <w:tc>
          <w:tcPr>
            <w:tcW w:type="dxa" w:w="1226"/>
          </w:tcPr>
          <w:p>
            <w:pPr>
              <w:pStyle w:val="Compact"/>
              <w:spacing w:after="0" w:before="0" w:line="240" w:lineRule="auto"/>
              <w:jc w:val="right"/>
            </w:pPr>
            <w:r>
              <w:rPr>
                <w:rFonts w:ascii="Arial" w:hAnsi="Arial"/>
                <w:sz w:val="15"/>
              </w:rPr>
              <w:t xml:space="preserve">-36%</w:t>
            </w:r>
          </w:p>
        </w:tc>
      </w:tr>
      <w:tr>
        <w:trPr>
          <w:cantSplit/>
        </w:trPr>
        <w:tc>
          <w:tcPr>
            <w:tcW w:type="dxa" w:w="1882"/>
            <w:shd w:val="clear" w:color="auto" w:fill="F1F2F5"/>
          </w:tcPr>
          <w:p>
            <w:pPr>
              <w:pStyle w:val="Compact"/>
              <w:spacing w:after="0" w:before="0" w:line="240" w:lineRule="auto"/>
              <w:jc w:val="left"/>
            </w:pPr>
            <w:r>
              <w:rPr>
                <w:rFonts w:ascii="Arial" w:hAnsi="Arial"/>
                <w:sz w:val="15"/>
              </w:rPr>
              <w:t xml:space="preserve">Mid-cap surgical / interventional (SIS comps)</w:t>
            </w:r>
          </w:p>
        </w:tc>
        <w:tc>
          <w:tcPr>
            <w:tcW w:type="dxa" w:w="1090"/>
            <w:shd w:val="clear" w:color="auto" w:fill="F1F2F5"/>
          </w:tcPr>
          <w:p>
            <w:pPr>
              <w:pStyle w:val="Compact"/>
              <w:spacing w:after="0" w:before="0" w:line="240" w:lineRule="auto"/>
              <w:jc w:val="right"/>
            </w:pPr>
            <w:r>
              <w:rPr>
                <w:rFonts w:ascii="Arial" w:hAnsi="Arial"/>
                <w:sz w:val="15"/>
              </w:rPr>
              <w:t xml:space="preserve">1.65x</w:t>
            </w:r>
          </w:p>
        </w:tc>
        <w:tc>
          <w:tcPr>
            <w:tcW w:type="dxa" w:w="1186"/>
            <w:shd w:val="clear" w:color="auto" w:fill="F1F2F5"/>
          </w:tcPr>
          <w:p>
            <w:pPr>
              <w:pStyle w:val="Compact"/>
              <w:spacing w:after="0" w:before="0" w:line="240" w:lineRule="auto"/>
              <w:jc w:val="right"/>
            </w:pPr>
            <w:r>
              <w:rPr>
                <w:rFonts w:ascii="Arial" w:hAnsi="Arial"/>
                <w:sz w:val="15"/>
              </w:rPr>
              <w:t xml:space="preserve">10.9x</w:t>
            </w:r>
          </w:p>
        </w:tc>
        <w:tc>
          <w:tcPr>
            <w:tcW w:type="dxa" w:w="1213"/>
            <w:shd w:val="clear" w:color="auto" w:fill="F1F2F5"/>
          </w:tcPr>
          <w:p>
            <w:pPr>
              <w:pStyle w:val="Compact"/>
              <w:spacing w:after="0" w:before="0" w:line="240" w:lineRule="auto"/>
              <w:jc w:val="right"/>
            </w:pPr>
            <w:r>
              <w:rPr>
                <w:rFonts w:ascii="Arial" w:hAnsi="Arial"/>
                <w:sz w:val="15"/>
              </w:rPr>
              <w:t xml:space="preserve">9.4x</w:t>
            </w:r>
          </w:p>
        </w:tc>
        <w:tc>
          <w:tcPr>
            <w:tcW w:type="dxa" w:w="993"/>
            <w:shd w:val="clear" w:color="auto" w:fill="F1F2F5"/>
          </w:tcPr>
          <w:p>
            <w:pPr>
              <w:pStyle w:val="Compact"/>
              <w:spacing w:after="0" w:before="0" w:line="240" w:lineRule="auto"/>
              <w:jc w:val="right"/>
            </w:pPr>
            <w:r>
              <w:rPr>
                <w:rFonts w:ascii="Arial" w:hAnsi="Arial"/>
                <w:sz w:val="15"/>
              </w:rPr>
              <w:t xml:space="preserve">19.4x</w:t>
            </w:r>
          </w:p>
        </w:tc>
        <w:tc>
          <w:tcPr>
            <w:tcW w:type="dxa" w:w="718"/>
            <w:shd w:val="clear" w:color="auto" w:fill="F1F2F5"/>
          </w:tcPr>
          <w:p>
            <w:pPr>
              <w:pStyle w:val="Compact"/>
              <w:spacing w:after="0" w:before="0" w:line="240" w:lineRule="auto"/>
              <w:jc w:val="right"/>
            </w:pPr>
            <w:r>
              <w:rPr>
                <w:rFonts w:ascii="Arial" w:hAnsi="Arial"/>
                <w:sz w:val="15"/>
              </w:rPr>
              <w:t xml:space="preserve">13.5x</w:t>
            </w:r>
          </w:p>
        </w:tc>
        <w:tc>
          <w:tcPr>
            <w:tcW w:type="dxa" w:w="833"/>
            <w:shd w:val="clear" w:color="auto" w:fill="F1F2F5"/>
          </w:tcPr>
          <w:p>
            <w:pPr>
              <w:pStyle w:val="Compact"/>
              <w:spacing w:after="0" w:before="0" w:line="240" w:lineRule="auto"/>
              <w:jc w:val="right"/>
            </w:pPr>
            <w:r>
              <w:rPr>
                <w:rFonts w:ascii="Arial" w:hAnsi="Arial"/>
                <w:sz w:val="15"/>
              </w:rPr>
              <w:t xml:space="preserve">9.4%</w:t>
            </w:r>
          </w:p>
        </w:tc>
        <w:tc>
          <w:tcPr>
            <w:tcW w:type="dxa" w:w="837"/>
            <w:shd w:val="clear" w:color="auto" w:fill="F1F2F5"/>
          </w:tcPr>
          <w:p>
            <w:pPr>
              <w:pStyle w:val="Compact"/>
              <w:spacing w:after="0" w:before="0" w:line="240" w:lineRule="auto"/>
              <w:jc w:val="right"/>
            </w:pPr>
            <w:r>
              <w:rPr>
                <w:rFonts w:ascii="Arial" w:hAnsi="Arial"/>
                <w:sz w:val="15"/>
              </w:rPr>
              <w:t xml:space="preserve">1.6%</w:t>
            </w:r>
          </w:p>
        </w:tc>
        <w:tc>
          <w:tcPr>
            <w:tcW w:type="dxa" w:w="1226"/>
            <w:shd w:val="clear" w:color="auto" w:fill="F1F2F5"/>
          </w:tcPr>
          <w:p>
            <w:pPr>
              <w:pStyle w:val="Compact"/>
              <w:spacing w:after="0" w:before="0" w:line="240" w:lineRule="auto"/>
              <w:jc w:val="right"/>
            </w:pPr>
            <w:r>
              <w:rPr>
                <w:rFonts w:ascii="Arial" w:hAnsi="Arial"/>
                <w:sz w:val="15"/>
              </w:rPr>
              <w:t xml:space="preserve">-5%</w:t>
            </w:r>
          </w:p>
        </w:tc>
      </w:tr>
      <w:tr>
        <w:trPr>
          <w:cantSplit/>
        </w:trPr>
        <w:tc>
          <w:tcPr>
            <w:tcW w:type="dxa" w:w="1882"/>
          </w:tcPr>
          <w:p>
            <w:pPr>
              <w:pStyle w:val="Compact"/>
              <w:spacing w:after="0" w:before="0" w:line="240" w:lineRule="auto"/>
              <w:jc w:val="left"/>
            </w:pPr>
            <w:r>
              <w:rPr>
                <w:rFonts w:ascii="Arial" w:hAnsi="Arial"/>
                <w:sz w:val="15"/>
              </w:rPr>
              <w:t xml:space="preserve">China medtech</w:t>
            </w:r>
          </w:p>
        </w:tc>
        <w:tc>
          <w:tcPr>
            <w:tcW w:type="dxa" w:w="1090"/>
          </w:tcPr>
          <w:p>
            <w:pPr>
              <w:pStyle w:val="Compact"/>
              <w:spacing w:after="0" w:before="0" w:line="240" w:lineRule="auto"/>
              <w:jc w:val="right"/>
            </w:pPr>
            <w:r>
              <w:rPr>
                <w:rFonts w:ascii="Arial" w:hAnsi="Arial"/>
                <w:sz w:val="15"/>
              </w:rPr>
              <w:t xml:space="preserve">3.88x</w:t>
            </w:r>
          </w:p>
        </w:tc>
        <w:tc>
          <w:tcPr>
            <w:tcW w:type="dxa" w:w="1186"/>
          </w:tcPr>
          <w:p>
            <w:pPr>
              <w:pStyle w:val="Compact"/>
              <w:spacing w:after="0" w:before="0" w:line="240" w:lineRule="auto"/>
              <w:jc w:val="right"/>
            </w:pPr>
            <w:r>
              <w:rPr>
                <w:rFonts w:ascii="Arial" w:hAnsi="Arial"/>
                <w:sz w:val="15"/>
              </w:rPr>
              <w:t xml:space="preserve">23.5x</w:t>
            </w:r>
          </w:p>
        </w:tc>
        <w:tc>
          <w:tcPr>
            <w:tcW w:type="dxa" w:w="1213"/>
          </w:tcPr>
          <w:p>
            <w:pPr>
              <w:pStyle w:val="Compact"/>
              <w:spacing w:after="0" w:before="0" w:line="240" w:lineRule="auto"/>
              <w:jc w:val="right"/>
            </w:pPr>
            <w:r>
              <w:rPr>
                <w:rFonts w:ascii="Arial" w:hAnsi="Arial"/>
                <w:sz w:val="15"/>
              </w:rPr>
              <w:t xml:space="preserve">17.3x</w:t>
            </w:r>
          </w:p>
        </w:tc>
        <w:tc>
          <w:tcPr>
            <w:tcW w:type="dxa" w:w="993"/>
          </w:tcPr>
          <w:p>
            <w:pPr>
              <w:pStyle w:val="Compact"/>
              <w:spacing w:after="0" w:before="0" w:line="240" w:lineRule="auto"/>
              <w:jc w:val="right"/>
            </w:pPr>
            <w:r>
              <w:rPr>
                <w:rFonts w:ascii="Arial" w:hAnsi="Arial"/>
                <w:sz w:val="15"/>
              </w:rPr>
              <w:t xml:space="preserve">19.8x</w:t>
            </w:r>
          </w:p>
        </w:tc>
        <w:tc>
          <w:tcPr>
            <w:tcW w:type="dxa" w:w="718"/>
          </w:tcPr>
          <w:p>
            <w:pPr>
              <w:pStyle w:val="Compact"/>
              <w:spacing w:after="0" w:before="0" w:line="240" w:lineRule="auto"/>
              <w:jc w:val="right"/>
            </w:pPr>
            <w:r>
              <w:rPr>
                <w:rFonts w:ascii="Arial" w:hAnsi="Arial"/>
                <w:sz w:val="15"/>
              </w:rPr>
              <w:t xml:space="preserve">26.1x</w:t>
            </w:r>
          </w:p>
        </w:tc>
        <w:tc>
          <w:tcPr>
            <w:tcW w:type="dxa" w:w="833"/>
          </w:tcPr>
          <w:p>
            <w:pPr>
              <w:pStyle w:val="Compact"/>
              <w:spacing w:after="0" w:before="0" w:line="240" w:lineRule="auto"/>
              <w:jc w:val="right"/>
            </w:pPr>
            <w:r>
              <w:rPr>
                <w:rFonts w:ascii="Arial" w:hAnsi="Arial"/>
                <w:sz w:val="15"/>
              </w:rPr>
              <w:t xml:space="preserve">5.6%</w:t>
            </w:r>
          </w:p>
        </w:tc>
        <w:tc>
          <w:tcPr>
            <w:tcW w:type="dxa" w:w="837"/>
          </w:tcPr>
          <w:p>
            <w:pPr>
              <w:pStyle w:val="Compact"/>
              <w:spacing w:after="0" w:before="0" w:line="240" w:lineRule="auto"/>
              <w:jc w:val="right"/>
            </w:pPr>
            <w:r>
              <w:rPr>
                <w:rFonts w:ascii="Arial" w:hAnsi="Arial"/>
                <w:sz w:val="15"/>
              </w:rPr>
              <w:t xml:space="preserve">12.0%</w:t>
            </w:r>
          </w:p>
        </w:tc>
        <w:tc>
          <w:tcPr>
            <w:tcW w:type="dxa" w:w="1226"/>
          </w:tcPr>
          <w:p>
            <w:pPr>
              <w:pStyle w:val="Compact"/>
              <w:spacing w:after="0" w:before="0" w:line="240" w:lineRule="auto"/>
              <w:jc w:val="right"/>
            </w:pPr>
            <w:r>
              <w:rPr>
                <w:rFonts w:ascii="Arial" w:hAnsi="Arial"/>
                <w:sz w:val="15"/>
              </w:rPr>
              <w:t xml:space="preserve">-48%</w:t>
            </w:r>
          </w:p>
        </w:tc>
      </w:tr>
      <w:tr>
        <w:trPr>
          <w:cantSplit/>
        </w:trPr>
        <w:tc>
          <w:tcPr>
            <w:tcW w:type="dxa" w:w="1882"/>
            <w:shd w:val="clear" w:color="auto" w:fill="F1F2F5"/>
          </w:tcPr>
          <w:p>
            <w:pPr>
              <w:pStyle w:val="Compact"/>
              <w:spacing w:after="0" w:before="0" w:line="240" w:lineRule="auto"/>
              <w:jc w:val="left"/>
            </w:pPr>
            <w:r>
              <w:rPr>
                <w:rFonts w:ascii="Arial" w:hAnsi="Arial"/>
                <w:sz w:val="15"/>
              </w:rPr>
              <w:t xml:space="preserve">All peers (n=33)</w:t>
            </w:r>
          </w:p>
        </w:tc>
        <w:tc>
          <w:tcPr>
            <w:tcW w:type="dxa" w:w="1090"/>
            <w:shd w:val="clear" w:color="auto" w:fill="F1F2F5"/>
          </w:tcPr>
          <w:p>
            <w:pPr>
              <w:pStyle w:val="Compact"/>
              <w:spacing w:after="0" w:before="0" w:line="240" w:lineRule="auto"/>
              <w:jc w:val="right"/>
            </w:pPr>
            <w:r>
              <w:rPr>
                <w:rFonts w:ascii="Arial" w:hAnsi="Arial"/>
                <w:sz w:val="15"/>
              </w:rPr>
              <w:t xml:space="preserve">3.04x</w:t>
            </w:r>
          </w:p>
        </w:tc>
        <w:tc>
          <w:tcPr>
            <w:tcW w:type="dxa" w:w="1186"/>
            <w:shd w:val="clear" w:color="auto" w:fill="F1F2F5"/>
          </w:tcPr>
          <w:p>
            <w:pPr>
              <w:pStyle w:val="Compact"/>
              <w:spacing w:after="0" w:before="0" w:line="240" w:lineRule="auto"/>
              <w:jc w:val="right"/>
            </w:pPr>
            <w:r>
              <w:rPr>
                <w:rFonts w:ascii="Arial" w:hAnsi="Arial"/>
                <w:sz w:val="15"/>
              </w:rPr>
              <w:t xml:space="preserve">13.7x</w:t>
            </w:r>
          </w:p>
        </w:tc>
        <w:tc>
          <w:tcPr>
            <w:tcW w:type="dxa" w:w="1213"/>
            <w:shd w:val="clear" w:color="auto" w:fill="F1F2F5"/>
          </w:tcPr>
          <w:p>
            <w:pPr>
              <w:pStyle w:val="Compact"/>
              <w:spacing w:after="0" w:before="0" w:line="240" w:lineRule="auto"/>
              <w:jc w:val="right"/>
            </w:pPr>
            <w:r>
              <w:rPr>
                <w:rFonts w:ascii="Arial" w:hAnsi="Arial"/>
                <w:sz w:val="15"/>
              </w:rPr>
              <w:t xml:space="preserve">12.3x</w:t>
            </w:r>
          </w:p>
        </w:tc>
        <w:tc>
          <w:tcPr>
            <w:tcW w:type="dxa" w:w="993"/>
            <w:shd w:val="clear" w:color="auto" w:fill="F1F2F5"/>
          </w:tcPr>
          <w:p>
            <w:pPr>
              <w:pStyle w:val="Compact"/>
              <w:spacing w:after="0" w:before="0" w:line="240" w:lineRule="auto"/>
              <w:jc w:val="right"/>
            </w:pPr>
            <w:r>
              <w:rPr>
                <w:rFonts w:ascii="Arial" w:hAnsi="Arial"/>
                <w:sz w:val="15"/>
              </w:rPr>
              <w:t xml:space="preserve">18.6x</w:t>
            </w:r>
          </w:p>
        </w:tc>
        <w:tc>
          <w:tcPr>
            <w:tcW w:type="dxa" w:w="718"/>
            <w:shd w:val="clear" w:color="auto" w:fill="F1F2F5"/>
          </w:tcPr>
          <w:p>
            <w:pPr>
              <w:pStyle w:val="Compact"/>
              <w:spacing w:after="0" w:before="0" w:line="240" w:lineRule="auto"/>
              <w:jc w:val="right"/>
            </w:pPr>
            <w:r>
              <w:rPr>
                <w:rFonts w:ascii="Arial" w:hAnsi="Arial"/>
                <w:sz w:val="15"/>
              </w:rPr>
              <w:t xml:space="preserve">19.7x</w:t>
            </w:r>
          </w:p>
        </w:tc>
        <w:tc>
          <w:tcPr>
            <w:tcW w:type="dxa" w:w="833"/>
            <w:shd w:val="clear" w:color="auto" w:fill="F1F2F5"/>
          </w:tcPr>
          <w:p>
            <w:pPr>
              <w:pStyle w:val="Compact"/>
              <w:spacing w:after="0" w:before="0" w:line="240" w:lineRule="auto"/>
              <w:jc w:val="right"/>
            </w:pPr>
            <w:r>
              <w:rPr>
                <w:rFonts w:ascii="Arial" w:hAnsi="Arial"/>
                <w:sz w:val="15"/>
              </w:rPr>
              <w:t xml:space="preserve">14.2%</w:t>
            </w:r>
          </w:p>
        </w:tc>
        <w:tc>
          <w:tcPr>
            <w:tcW w:type="dxa" w:w="837"/>
            <w:shd w:val="clear" w:color="auto" w:fill="F1F2F5"/>
          </w:tcPr>
          <w:p>
            <w:pPr>
              <w:pStyle w:val="Compact"/>
              <w:spacing w:after="0" w:before="0" w:line="240" w:lineRule="auto"/>
              <w:jc w:val="right"/>
            </w:pPr>
            <w:r>
              <w:rPr>
                <w:rFonts w:ascii="Arial" w:hAnsi="Arial"/>
                <w:sz w:val="15"/>
              </w:rPr>
              <w:t xml:space="preserve">7.4%</w:t>
            </w:r>
          </w:p>
        </w:tc>
        <w:tc>
          <w:tcPr>
            <w:tcW w:type="dxa" w:w="1226"/>
            <w:shd w:val="clear" w:color="auto" w:fill="F1F2F5"/>
          </w:tcPr>
          <w:p>
            <w:pPr>
              <w:pStyle w:val="Compact"/>
              <w:spacing w:after="0" w:before="0" w:line="240" w:lineRule="auto"/>
              <w:jc w:val="right"/>
            </w:pPr>
            <w:r>
              <w:rPr>
                <w:rFonts w:ascii="Arial" w:hAnsi="Arial"/>
                <w:sz w:val="15"/>
              </w:rPr>
              <w:t xml:space="preserve">-28%</w:t>
            </w:r>
          </w:p>
        </w:tc>
      </w:tr>
      <w:tr>
        <w:trPr>
          <w:cantSplit/>
        </w:trPr>
        <w:tc>
          <w:tcPr>
            <w:tcW w:type="dxa" w:w="1882"/>
          </w:tcPr>
          <w:p>
            <w:pPr>
              <w:pStyle w:val="Compact"/>
              <w:spacing w:after="0" w:before="0" w:line="240" w:lineRule="auto"/>
              <w:jc w:val="left"/>
            </w:pPr>
            <w:r>
              <w:rPr>
                <w:bCs/>
                <w:rFonts w:ascii="Arial" w:hAnsi="Arial"/>
                <w:b/>
                <w:sz w:val="15"/>
              </w:rPr>
              <w:t xml:space="preserve">Olympus</w:t>
            </w:r>
          </w:p>
        </w:tc>
        <w:tc>
          <w:tcPr>
            <w:tcW w:type="dxa" w:w="1090"/>
          </w:tcPr>
          <w:p>
            <w:pPr>
              <w:pStyle w:val="Compact"/>
              <w:spacing w:after="0" w:before="0" w:line="240" w:lineRule="auto"/>
              <w:jc w:val="right"/>
            </w:pPr>
            <w:r>
              <w:rPr>
                <w:bCs/>
                <w:rFonts w:ascii="Arial" w:hAnsi="Arial"/>
                <w:b/>
                <w:sz w:val="15"/>
              </w:rPr>
              <w:t xml:space="preserve">1.91x</w:t>
            </w:r>
          </w:p>
        </w:tc>
        <w:tc>
          <w:tcPr>
            <w:tcW w:type="dxa" w:w="1186"/>
          </w:tcPr>
          <w:p>
            <w:pPr>
              <w:pStyle w:val="Compact"/>
              <w:spacing w:after="0" w:before="0" w:line="240" w:lineRule="auto"/>
              <w:jc w:val="right"/>
            </w:pPr>
            <w:r>
              <w:rPr>
                <w:bCs/>
                <w:rFonts w:ascii="Arial" w:hAnsi="Arial"/>
                <w:b/>
                <w:sz w:val="15"/>
              </w:rPr>
              <w:t xml:space="preserve">9.4x</w:t>
            </w:r>
          </w:p>
        </w:tc>
        <w:tc>
          <w:tcPr>
            <w:tcW w:type="dxa" w:w="1213"/>
          </w:tcPr>
          <w:p>
            <w:pPr>
              <w:pStyle w:val="Compact"/>
              <w:spacing w:after="0" w:before="0" w:line="240" w:lineRule="auto"/>
              <w:jc w:val="right"/>
            </w:pPr>
            <w:r>
              <w:rPr>
                <w:bCs/>
                <w:rFonts w:ascii="Arial" w:hAnsi="Arial"/>
                <w:b/>
                <w:sz w:val="15"/>
              </w:rPr>
              <w:t xml:space="preserve">8.9x</w:t>
            </w:r>
          </w:p>
        </w:tc>
        <w:tc>
          <w:tcPr>
            <w:tcW w:type="dxa" w:w="993"/>
          </w:tcPr>
          <w:p>
            <w:pPr>
              <w:pStyle w:val="Compact"/>
              <w:spacing w:after="0" w:before="0" w:line="240" w:lineRule="auto"/>
              <w:jc w:val="right"/>
            </w:pPr>
            <w:r>
              <w:rPr>
                <w:bCs/>
                <w:rFonts w:ascii="Arial" w:hAnsi="Arial"/>
                <w:b/>
                <w:sz w:val="15"/>
              </w:rPr>
              <w:t xml:space="preserve">13.7x</w:t>
            </w:r>
          </w:p>
        </w:tc>
        <w:tc>
          <w:tcPr>
            <w:tcW w:type="dxa" w:w="718"/>
          </w:tcPr>
          <w:p>
            <w:pPr>
              <w:pStyle w:val="Compact"/>
              <w:spacing w:after="0" w:before="0" w:line="240" w:lineRule="auto"/>
              <w:jc w:val="right"/>
            </w:pPr>
            <w:r>
              <w:rPr>
                <w:bCs/>
                <w:rFonts w:ascii="Arial" w:hAnsi="Arial"/>
                <w:b/>
                <w:sz w:val="15"/>
              </w:rPr>
              <w:t xml:space="preserve">15.7x</w:t>
            </w:r>
          </w:p>
        </w:tc>
        <w:tc>
          <w:tcPr>
            <w:tcW w:type="dxa" w:w="833"/>
          </w:tcPr>
          <w:p>
            <w:pPr>
              <w:pStyle w:val="Compact"/>
              <w:spacing w:after="0" w:before="0" w:line="240" w:lineRule="auto"/>
              <w:jc w:val="right"/>
            </w:pPr>
            <w:r>
              <w:rPr>
                <w:bCs/>
                <w:rFonts w:ascii="Arial" w:hAnsi="Arial"/>
                <w:b/>
                <w:sz w:val="15"/>
              </w:rPr>
              <w:t xml:space="preserve">14.4%</w:t>
            </w:r>
          </w:p>
        </w:tc>
        <w:tc>
          <w:tcPr>
            <w:tcW w:type="dxa" w:w="837"/>
          </w:tcPr>
          <w:p>
            <w:pPr>
              <w:pStyle w:val="Compact"/>
              <w:spacing w:after="0" w:before="0" w:line="240" w:lineRule="auto"/>
              <w:jc w:val="right"/>
            </w:pPr>
            <w:r>
              <w:rPr>
                <w:bCs/>
                <w:rFonts w:ascii="Arial" w:hAnsi="Arial"/>
                <w:b/>
                <w:sz w:val="15"/>
              </w:rPr>
              <w:t xml:space="preserve">7.8%</w:t>
            </w:r>
          </w:p>
        </w:tc>
        <w:tc>
          <w:tcPr>
            <w:tcW w:type="dxa" w:w="1226"/>
          </w:tcPr>
          <w:p>
            <w:pPr>
              <w:pStyle w:val="Compact"/>
              <w:spacing w:after="0" w:before="0" w:line="240" w:lineRule="auto"/>
              <w:jc w:val="right"/>
            </w:pPr>
            <w:r>
              <w:rPr>
                <w:bCs/>
                <w:rFonts w:ascii="Arial" w:hAnsi="Arial"/>
                <w:b/>
                <w:sz w:val="15"/>
              </w:rPr>
              <w:t xml:space="preserve">–</w:t>
            </w:r>
          </w:p>
        </w:tc>
      </w:tr>
    </w:tbl>
    <w:p>
      <w:pPr>
        <w:pStyle w:val="BodyText"/>
      </w:pPr>
      <w:r>
        <w:rPr>
          <w:iCs/>
          <w:i/>
        </w:rPr>
        <w:t xml:space="preserve">Source: S&amp;P Capital IQ multiples and market data (16-Oct-2026); FX at CIQ snapshot (JPY158/US$). Forward P/E for Japanese names is computed from calendar-weighted consensus net income. US forward P/Es use adjusted EPS, so they are not like-for-like. FCF yield = (LTM CFO − capex)/market cap. MicroPort multiples were computed on FY12/25. n/m = not meaningful.</w:t>
      </w:r>
    </w:p>
    <w:p>
      <w:pPr>
        <w:pStyle w:val="CaptionedFigure"/>
      </w:pPr>
      <w:r>
        <w:drawing>
          <wp:inline>
            <wp:extent cx="6261100" cy="3747125"/>
            <wp:effectExtent b="0" l="0" r="0" t="0"/>
            <wp:docPr descr="NTM EV/EBITDA: Olympus vs peers" title="" id="87" name="Picture"/>
            <a:graphic>
              <a:graphicData uri="http://schemas.openxmlformats.org/drawingml/2006/picture">
                <pic:pic>
                  <pic:nvPicPr>
                    <pic:cNvPr descr="../charts/peers_ntm.png" id="88" name="Picture"/>
                    <pic:cNvPicPr>
                      <a:picLocks noChangeArrowheads="1" noChangeAspect="1"/>
                    </pic:cNvPicPr>
                  </pic:nvPicPr>
                  <pic:blipFill>
                    <a:blip r:embed="rId86"/>
                    <a:stretch>
                      <a:fillRect/>
                    </a:stretch>
                  </pic:blipFill>
                  <pic:spPr bwMode="auto">
                    <a:xfrm>
                      <a:off x="0" y="0"/>
                      <a:ext cx="6261100" cy="3747125"/>
                    </a:xfrm>
                    <a:prstGeom prst="rect">
                      <a:avLst/>
                    </a:prstGeom>
                    <a:noFill/>
                    <a:ln w="9525">
                      <a:noFill/>
                      <a:headEnd/>
                      <a:tailEnd/>
                    </a:ln>
                  </pic:spPr>
                </pic:pic>
              </a:graphicData>
            </a:graphic>
          </wp:inline>
        </w:drawing>
      </w:r>
    </w:p>
    <w:p>
      <w:pPr>
        <w:pStyle w:val="ImageCaption"/>
      </w:pPr>
      <w:r>
        <w:t xml:space="preserve">NTM EV/EBITDA: Olympus vs peers</w:t>
      </w:r>
    </w:p>
    <w:p>
      <w:pPr>
        <w:pStyle w:val="BodyText"/>
      </w:pPr>
      <w:r>
        <w:rPr>
          <w:bCs/>
          <w:b/>
        </w:rPr>
        <w:t xml:space="preserve">Olympus at our estimates (JPY1,690; TEV JPY1,996bn).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361"/>
        <w:gridCol w:w="1394"/>
        <w:gridCol w:w="1740"/>
        <w:gridCol w:w="1740"/>
        <w:gridCol w:w="1740"/>
      </w:tblGrid>
      <w:tr>
        <w:trPr>
          <w:tblHeader w:val="true"/>
          <w:tblHeader w:val="true"/>
          <w:cantSplit/>
        </w:trPr>
        <w:tc>
          <w:tcPr>
            <w:tcW w:type="dxa" w:w="3361"/>
            <w:shd w:val="clear" w:color="auto" w:fill="13213F"/>
          </w:tcPr>
          <w:p>
            <w:pPr>
              <w:pStyle w:val="Compact"/>
              <w:spacing w:after="0" w:before="0" w:line="240" w:lineRule="auto"/>
            </w:pPr>
          </w:p>
        </w:tc>
        <w:tc>
          <w:tcPr>
            <w:tcW w:type="dxa" w:w="1395"/>
            <w:shd w:val="clear" w:color="auto" w:fill="13213F"/>
          </w:tcPr>
          <w:p>
            <w:pPr>
              <w:pStyle w:val="Compact"/>
              <w:spacing w:after="0" w:before="0" w:line="240" w:lineRule="auto"/>
              <w:jc w:val="right"/>
            </w:pPr>
            <w:r>
              <w:rPr>
                <w:rFonts w:ascii="Arial" w:hAnsi="Arial"/>
                <w:b/>
                <w:color w:val="FFFFFF"/>
                <w:sz w:val="15"/>
              </w:rPr>
              <w:t xml:space="preserve">LTM</w:t>
            </w:r>
          </w:p>
        </w:tc>
        <w:tc>
          <w:tcPr>
            <w:tcW w:type="dxa" w:w="1741"/>
            <w:shd w:val="clear" w:color="auto" w:fill="13213F"/>
          </w:tcPr>
          <w:p>
            <w:pPr>
              <w:pStyle w:val="Compact"/>
              <w:spacing w:after="0" w:before="0" w:line="240" w:lineRule="auto"/>
              <w:jc w:val="right"/>
            </w:pPr>
            <w:r>
              <w:rPr>
                <w:rFonts w:ascii="Arial" w:hAnsi="Arial"/>
                <w:b/>
                <w:color w:val="FFFFFF"/>
                <w:sz w:val="15"/>
              </w:rPr>
              <w:t xml:space="preserve">FY3/27E</w:t>
            </w:r>
          </w:p>
        </w:tc>
        <w:tc>
          <w:tcPr>
            <w:tcW w:type="dxa" w:w="1741"/>
            <w:shd w:val="clear" w:color="auto" w:fill="13213F"/>
          </w:tcPr>
          <w:p>
            <w:pPr>
              <w:pStyle w:val="Compact"/>
              <w:spacing w:after="0" w:before="0" w:line="240" w:lineRule="auto"/>
              <w:jc w:val="right"/>
            </w:pPr>
            <w:r>
              <w:rPr>
                <w:rFonts w:ascii="Arial" w:hAnsi="Arial"/>
                <w:b/>
                <w:color w:val="FFFFFF"/>
                <w:sz w:val="15"/>
              </w:rPr>
              <w:t xml:space="preserve">FY3/28E</w:t>
            </w:r>
          </w:p>
        </w:tc>
        <w:tc>
          <w:tcPr>
            <w:tcW w:type="dxa" w:w="1741"/>
            <w:shd w:val="clear" w:color="auto" w:fill="13213F"/>
          </w:tcPr>
          <w:p>
            <w:pPr>
              <w:pStyle w:val="Compact"/>
              <w:spacing w:after="0" w:before="0" w:line="240" w:lineRule="auto"/>
              <w:jc w:val="right"/>
            </w:pPr>
            <w:r>
              <w:rPr>
                <w:rFonts w:ascii="Arial" w:hAnsi="Arial"/>
                <w:b/>
                <w:color w:val="FFFFFF"/>
                <w:sz w:val="15"/>
              </w:rPr>
              <w:t xml:space="preserve">FY3/29E</w:t>
            </w:r>
          </w:p>
        </w:tc>
      </w:tr>
      <w:tr>
        <w:trPr>
          <w:cantSplit/>
        </w:trPr>
        <w:tc>
          <w:tcPr>
            <w:tcW w:type="dxa" w:w="3361"/>
          </w:tcPr>
          <w:p>
            <w:pPr>
              <w:pStyle w:val="Compact"/>
              <w:spacing w:after="0" w:before="0" w:line="240" w:lineRule="auto"/>
              <w:jc w:val="left"/>
            </w:pPr>
            <w:r>
              <w:rPr>
                <w:rFonts w:ascii="Arial" w:hAnsi="Arial"/>
                <w:sz w:val="15"/>
              </w:rPr>
              <w:t xml:space="preserve">TEV / Sales</w:t>
            </w:r>
          </w:p>
        </w:tc>
        <w:tc>
          <w:tcPr>
            <w:tcW w:type="dxa" w:w="1395"/>
          </w:tcPr>
          <w:p>
            <w:pPr>
              <w:pStyle w:val="Compact"/>
              <w:spacing w:after="0" w:before="0" w:line="240" w:lineRule="auto"/>
              <w:jc w:val="right"/>
            </w:pPr>
            <w:r>
              <w:rPr>
                <w:rFonts w:ascii="Arial" w:hAnsi="Arial"/>
                <w:sz w:val="15"/>
              </w:rPr>
              <w:t xml:space="preserve">1.91x</w:t>
            </w:r>
          </w:p>
        </w:tc>
        <w:tc>
          <w:tcPr>
            <w:tcW w:type="dxa" w:w="1741"/>
          </w:tcPr>
          <w:p>
            <w:pPr>
              <w:pStyle w:val="Compact"/>
              <w:spacing w:after="0" w:before="0" w:line="240" w:lineRule="auto"/>
              <w:jc w:val="right"/>
            </w:pPr>
            <w:r>
              <w:rPr>
                <w:rFonts w:ascii="Arial" w:hAnsi="Arial"/>
                <w:sz w:val="15"/>
              </w:rPr>
              <w:t xml:space="preserve">1.86x</w:t>
            </w:r>
          </w:p>
        </w:tc>
        <w:tc>
          <w:tcPr>
            <w:tcW w:type="dxa" w:w="1741"/>
          </w:tcPr>
          <w:p>
            <w:pPr>
              <w:pStyle w:val="Compact"/>
              <w:spacing w:after="0" w:before="0" w:line="240" w:lineRule="auto"/>
              <w:jc w:val="right"/>
            </w:pPr>
            <w:r>
              <w:rPr>
                <w:rFonts w:ascii="Arial" w:hAnsi="Arial"/>
                <w:sz w:val="15"/>
              </w:rPr>
              <w:t xml:space="preserve">1.78x</w:t>
            </w:r>
          </w:p>
        </w:tc>
        <w:tc>
          <w:tcPr>
            <w:tcW w:type="dxa" w:w="1741"/>
          </w:tcPr>
          <w:p>
            <w:pPr>
              <w:pStyle w:val="Compact"/>
              <w:spacing w:after="0" w:before="0" w:line="240" w:lineRule="auto"/>
              <w:jc w:val="right"/>
            </w:pPr>
            <w:r>
              <w:rPr>
                <w:rFonts w:ascii="Arial" w:hAnsi="Arial"/>
                <w:sz w:val="15"/>
              </w:rPr>
              <w:t xml:space="preserve">1.70x</w:t>
            </w:r>
          </w:p>
        </w:tc>
      </w:tr>
      <w:tr>
        <w:trPr>
          <w:cantSplit/>
        </w:trPr>
        <w:tc>
          <w:tcPr>
            <w:tcW w:type="dxa" w:w="3361"/>
            <w:shd w:val="clear" w:color="auto" w:fill="F1F2F5"/>
          </w:tcPr>
          <w:p>
            <w:pPr>
              <w:pStyle w:val="Compact"/>
              <w:spacing w:after="0" w:before="0" w:line="240" w:lineRule="auto"/>
              <w:jc w:val="left"/>
            </w:pPr>
            <w:r>
              <w:rPr>
                <w:rFonts w:ascii="Arial" w:hAnsi="Arial"/>
                <w:sz w:val="15"/>
              </w:rPr>
              <w:t xml:space="preserve">TEV / EBITDA</w:t>
            </w:r>
          </w:p>
        </w:tc>
        <w:tc>
          <w:tcPr>
            <w:tcW w:type="dxa" w:w="1395"/>
            <w:shd w:val="clear" w:color="auto" w:fill="F1F2F5"/>
          </w:tcPr>
          <w:p>
            <w:pPr>
              <w:pStyle w:val="Compact"/>
              <w:spacing w:after="0" w:before="0" w:line="240" w:lineRule="auto"/>
              <w:jc w:val="right"/>
            </w:pPr>
            <w:r>
              <w:rPr>
                <w:rFonts w:ascii="Arial" w:hAnsi="Arial"/>
                <w:sz w:val="15"/>
              </w:rPr>
              <w:t xml:space="preserve">9.35x</w:t>
            </w:r>
          </w:p>
        </w:tc>
        <w:tc>
          <w:tcPr>
            <w:tcW w:type="dxa" w:w="1741"/>
            <w:shd w:val="clear" w:color="auto" w:fill="F1F2F5"/>
          </w:tcPr>
          <w:p>
            <w:pPr>
              <w:pStyle w:val="Compact"/>
              <w:spacing w:after="0" w:before="0" w:line="240" w:lineRule="auto"/>
              <w:jc w:val="right"/>
            </w:pPr>
            <w:r>
              <w:rPr>
                <w:rFonts w:ascii="Arial" w:hAnsi="Arial"/>
                <w:sz w:val="15"/>
              </w:rPr>
              <w:t xml:space="preserve">9.2x</w:t>
            </w:r>
          </w:p>
        </w:tc>
        <w:tc>
          <w:tcPr>
            <w:tcW w:type="dxa" w:w="1741"/>
            <w:shd w:val="clear" w:color="auto" w:fill="F1F2F5"/>
          </w:tcPr>
          <w:p>
            <w:pPr>
              <w:pStyle w:val="Compact"/>
              <w:spacing w:after="0" w:before="0" w:line="240" w:lineRule="auto"/>
              <w:jc w:val="right"/>
            </w:pPr>
            <w:r>
              <w:rPr>
                <w:rFonts w:ascii="Arial" w:hAnsi="Arial"/>
                <w:sz w:val="15"/>
              </w:rPr>
              <w:t xml:space="preserve">8.0x</w:t>
            </w:r>
          </w:p>
        </w:tc>
        <w:tc>
          <w:tcPr>
            <w:tcW w:type="dxa" w:w="1741"/>
            <w:shd w:val="clear" w:color="auto" w:fill="F1F2F5"/>
          </w:tcPr>
          <w:p>
            <w:pPr>
              <w:pStyle w:val="Compact"/>
              <w:spacing w:after="0" w:before="0" w:line="240" w:lineRule="auto"/>
              <w:jc w:val="right"/>
            </w:pPr>
            <w:r>
              <w:rPr>
                <w:rFonts w:ascii="Arial" w:hAnsi="Arial"/>
                <w:sz w:val="15"/>
              </w:rPr>
              <w:t xml:space="preserve">7.2x</w:t>
            </w:r>
          </w:p>
        </w:tc>
      </w:tr>
      <w:tr>
        <w:trPr>
          <w:cantSplit/>
        </w:trPr>
        <w:tc>
          <w:tcPr>
            <w:tcW w:type="dxa" w:w="3361"/>
          </w:tcPr>
          <w:p>
            <w:pPr>
              <w:pStyle w:val="Compact"/>
              <w:spacing w:after="0" w:before="0" w:line="240" w:lineRule="auto"/>
              <w:jc w:val="left"/>
            </w:pPr>
            <w:r>
              <w:rPr>
                <w:rFonts w:ascii="Arial" w:hAnsi="Arial"/>
                <w:sz w:val="15"/>
              </w:rPr>
              <w:t xml:space="preserve">TEV / EBIT (IFRS OP)</w:t>
            </w:r>
          </w:p>
        </w:tc>
        <w:tc>
          <w:tcPr>
            <w:tcW w:type="dxa" w:w="1395"/>
          </w:tcPr>
          <w:p>
            <w:pPr>
              <w:pStyle w:val="Compact"/>
              <w:spacing w:after="0" w:before="0" w:line="240" w:lineRule="auto"/>
              <w:jc w:val="right"/>
            </w:pPr>
            <w:r>
              <w:rPr>
                <w:rFonts w:ascii="Arial" w:hAnsi="Arial"/>
                <w:sz w:val="15"/>
              </w:rPr>
              <w:t xml:space="preserve">13.7x</w:t>
            </w:r>
          </w:p>
        </w:tc>
        <w:tc>
          <w:tcPr>
            <w:tcW w:type="dxa" w:w="1741"/>
          </w:tcPr>
          <w:p>
            <w:pPr>
              <w:pStyle w:val="Compact"/>
              <w:spacing w:after="0" w:before="0" w:line="240" w:lineRule="auto"/>
              <w:jc w:val="right"/>
            </w:pPr>
            <w:r>
              <w:rPr>
                <w:rFonts w:ascii="Arial" w:hAnsi="Arial"/>
                <w:sz w:val="15"/>
              </w:rPr>
              <w:t xml:space="preserve">13.8x</w:t>
            </w:r>
          </w:p>
        </w:tc>
        <w:tc>
          <w:tcPr>
            <w:tcW w:type="dxa" w:w="1741"/>
          </w:tcPr>
          <w:p>
            <w:pPr>
              <w:pStyle w:val="Compact"/>
              <w:spacing w:after="0" w:before="0" w:line="240" w:lineRule="auto"/>
              <w:jc w:val="right"/>
            </w:pPr>
            <w:r>
              <w:rPr>
                <w:rFonts w:ascii="Arial" w:hAnsi="Arial"/>
                <w:sz w:val="15"/>
              </w:rPr>
              <w:t xml:space="preserve">11.5x</w:t>
            </w:r>
          </w:p>
        </w:tc>
        <w:tc>
          <w:tcPr>
            <w:tcW w:type="dxa" w:w="1741"/>
          </w:tcPr>
          <w:p>
            <w:pPr>
              <w:pStyle w:val="Compact"/>
              <w:spacing w:after="0" w:before="0" w:line="240" w:lineRule="auto"/>
              <w:jc w:val="right"/>
            </w:pPr>
            <w:r>
              <w:rPr>
                <w:rFonts w:ascii="Arial" w:hAnsi="Arial"/>
                <w:sz w:val="15"/>
              </w:rPr>
              <w:t xml:space="preserve">10.0x</w:t>
            </w:r>
          </w:p>
        </w:tc>
      </w:tr>
      <w:tr>
        <w:trPr>
          <w:cantSplit/>
        </w:trPr>
        <w:tc>
          <w:tcPr>
            <w:tcW w:type="dxa" w:w="3361"/>
            <w:shd w:val="clear" w:color="auto" w:fill="F1F2F5"/>
          </w:tcPr>
          <w:p>
            <w:pPr>
              <w:pStyle w:val="Compact"/>
              <w:spacing w:after="0" w:before="0" w:line="240" w:lineRule="auto"/>
              <w:jc w:val="left"/>
            </w:pPr>
            <w:r>
              <w:rPr>
                <w:rFonts w:ascii="Arial" w:hAnsi="Arial"/>
                <w:sz w:val="15"/>
              </w:rPr>
              <w:t xml:space="preserve">P/E</w:t>
            </w:r>
          </w:p>
        </w:tc>
        <w:tc>
          <w:tcPr>
            <w:tcW w:type="dxa" w:w="1395"/>
            <w:shd w:val="clear" w:color="auto" w:fill="F1F2F5"/>
          </w:tcPr>
          <w:p>
            <w:pPr>
              <w:pStyle w:val="Compact"/>
              <w:spacing w:after="0" w:before="0" w:line="240" w:lineRule="auto"/>
              <w:jc w:val="right"/>
            </w:pPr>
            <w:r>
              <w:rPr>
                <w:rFonts w:ascii="Arial" w:hAnsi="Arial"/>
                <w:sz w:val="15"/>
              </w:rPr>
              <w:t xml:space="preserve">23.8x</w:t>
            </w:r>
          </w:p>
        </w:tc>
        <w:tc>
          <w:tcPr>
            <w:tcW w:type="dxa" w:w="1741"/>
            <w:shd w:val="clear" w:color="auto" w:fill="F1F2F5"/>
          </w:tcPr>
          <w:p>
            <w:pPr>
              <w:pStyle w:val="Compact"/>
              <w:spacing w:after="0" w:before="0" w:line="240" w:lineRule="auto"/>
              <w:jc w:val="right"/>
            </w:pPr>
            <w:r>
              <w:rPr>
                <w:rFonts w:ascii="Arial" w:hAnsi="Arial"/>
                <w:sz w:val="15"/>
              </w:rPr>
              <w:t xml:space="preserve">18.2x</w:t>
            </w:r>
          </w:p>
        </w:tc>
        <w:tc>
          <w:tcPr>
            <w:tcW w:type="dxa" w:w="1741"/>
            <w:shd w:val="clear" w:color="auto" w:fill="F1F2F5"/>
          </w:tcPr>
          <w:p>
            <w:pPr>
              <w:pStyle w:val="Compact"/>
              <w:spacing w:after="0" w:before="0" w:line="240" w:lineRule="auto"/>
              <w:jc w:val="right"/>
            </w:pPr>
            <w:r>
              <w:rPr>
                <w:rFonts w:ascii="Arial" w:hAnsi="Arial"/>
                <w:sz w:val="15"/>
              </w:rPr>
              <w:t xml:space="preserve">14.8x</w:t>
            </w:r>
          </w:p>
        </w:tc>
        <w:tc>
          <w:tcPr>
            <w:tcW w:type="dxa" w:w="1741"/>
            <w:shd w:val="clear" w:color="auto" w:fill="F1F2F5"/>
          </w:tcPr>
          <w:p>
            <w:pPr>
              <w:pStyle w:val="Compact"/>
              <w:spacing w:after="0" w:before="0" w:line="240" w:lineRule="auto"/>
              <w:jc w:val="right"/>
            </w:pPr>
            <w:r>
              <w:rPr>
                <w:rFonts w:ascii="Arial" w:hAnsi="Arial"/>
                <w:sz w:val="15"/>
              </w:rPr>
              <w:t xml:space="preserve">12.5x</w:t>
            </w:r>
          </w:p>
        </w:tc>
      </w:tr>
      <w:tr>
        <w:trPr>
          <w:cantSplit/>
        </w:trPr>
        <w:tc>
          <w:tcPr>
            <w:tcW w:type="dxa" w:w="3361"/>
          </w:tcPr>
          <w:p>
            <w:pPr>
              <w:pStyle w:val="Compact"/>
              <w:spacing w:after="0" w:before="0" w:line="240" w:lineRule="auto"/>
              <w:jc w:val="left"/>
            </w:pPr>
            <w:r>
              <w:rPr>
                <w:rFonts w:ascii="Arial" w:hAnsi="Arial"/>
                <w:sz w:val="15"/>
              </w:rPr>
              <w:t xml:space="preserve">FCF yield (equity)</w:t>
            </w:r>
          </w:p>
        </w:tc>
        <w:tc>
          <w:tcPr>
            <w:tcW w:type="dxa" w:w="1395"/>
          </w:tcPr>
          <w:p>
            <w:pPr>
              <w:pStyle w:val="Compact"/>
              <w:spacing w:after="0" w:before="0" w:line="240" w:lineRule="auto"/>
              <w:jc w:val="right"/>
            </w:pPr>
            <w:r>
              <w:rPr>
                <w:rFonts w:ascii="Arial" w:hAnsi="Arial"/>
                <w:sz w:val="15"/>
              </w:rPr>
              <w:t xml:space="preserve">4.0%</w:t>
            </w:r>
          </w:p>
        </w:tc>
        <w:tc>
          <w:tcPr>
            <w:tcW w:type="dxa" w:w="1741"/>
          </w:tcPr>
          <w:p>
            <w:pPr>
              <w:pStyle w:val="Compact"/>
              <w:spacing w:after="0" w:before="0" w:line="240" w:lineRule="auto"/>
              <w:jc w:val="right"/>
            </w:pPr>
            <w:r>
              <w:rPr>
                <w:rFonts w:ascii="Arial" w:hAnsi="Arial"/>
                <w:sz w:val="15"/>
              </w:rPr>
              <w:t xml:space="preserve">3.1%</w:t>
            </w:r>
          </w:p>
        </w:tc>
        <w:tc>
          <w:tcPr>
            <w:tcW w:type="dxa" w:w="1741"/>
          </w:tcPr>
          <w:p>
            <w:pPr>
              <w:pStyle w:val="Compact"/>
              <w:spacing w:after="0" w:before="0" w:line="240" w:lineRule="auto"/>
              <w:jc w:val="right"/>
            </w:pPr>
            <w:r>
              <w:rPr>
                <w:rFonts w:ascii="Arial" w:hAnsi="Arial"/>
                <w:sz w:val="15"/>
              </w:rPr>
              <w:t xml:space="preserve">5.2%</w:t>
            </w:r>
          </w:p>
        </w:tc>
        <w:tc>
          <w:tcPr>
            <w:tcW w:type="dxa" w:w="1741"/>
          </w:tcPr>
          <w:p>
            <w:pPr>
              <w:pStyle w:val="Compact"/>
              <w:spacing w:after="0" w:before="0" w:line="240" w:lineRule="auto"/>
              <w:jc w:val="right"/>
            </w:pPr>
            <w:r>
              <w:rPr>
                <w:rFonts w:ascii="Arial" w:hAnsi="Arial"/>
                <w:sz w:val="15"/>
              </w:rPr>
              <w:t xml:space="preserve">6.1%</w:t>
            </w:r>
          </w:p>
        </w:tc>
      </w:tr>
      <w:tr>
        <w:trPr>
          <w:cantSplit/>
        </w:trPr>
        <w:tc>
          <w:tcPr>
            <w:tcW w:type="dxa" w:w="3361"/>
            <w:shd w:val="clear" w:color="auto" w:fill="F1F2F5"/>
          </w:tcPr>
          <w:p>
            <w:pPr>
              <w:pStyle w:val="Compact"/>
              <w:spacing w:after="0" w:before="0" w:line="240" w:lineRule="auto"/>
              <w:jc w:val="left"/>
            </w:pPr>
            <w:r>
              <w:rPr>
                <w:rFonts w:ascii="Arial" w:hAnsi="Arial"/>
                <w:sz w:val="15"/>
              </w:rPr>
              <w:t xml:space="preserve">Dividend yield</w:t>
            </w:r>
          </w:p>
        </w:tc>
        <w:tc>
          <w:tcPr>
            <w:tcW w:type="dxa" w:w="1395"/>
            <w:shd w:val="clear" w:color="auto" w:fill="F1F2F5"/>
          </w:tcPr>
          <w:p>
            <w:pPr>
              <w:pStyle w:val="Compact"/>
              <w:spacing w:after="0" w:before="0" w:line="240" w:lineRule="auto"/>
              <w:jc w:val="right"/>
            </w:pPr>
            <w:r>
              <w:rPr>
                <w:rFonts w:ascii="Arial" w:hAnsi="Arial"/>
                <w:sz w:val="15"/>
              </w:rPr>
              <w:t xml:space="preserve">1.8%</w:t>
            </w:r>
          </w:p>
        </w:tc>
        <w:tc>
          <w:tcPr>
            <w:tcW w:type="dxa" w:w="1741"/>
            <w:shd w:val="clear" w:color="auto" w:fill="F1F2F5"/>
          </w:tcPr>
          <w:p>
            <w:pPr>
              <w:pStyle w:val="Compact"/>
              <w:spacing w:after="0" w:before="0" w:line="240" w:lineRule="auto"/>
              <w:jc w:val="right"/>
            </w:pPr>
            <w:r>
              <w:rPr>
                <w:rFonts w:ascii="Arial" w:hAnsi="Arial"/>
                <w:sz w:val="15"/>
              </w:rPr>
              <w:t xml:space="preserve">1.8%</w:t>
            </w:r>
          </w:p>
        </w:tc>
        <w:tc>
          <w:tcPr>
            <w:tcW w:type="dxa" w:w="1741"/>
            <w:shd w:val="clear" w:color="auto" w:fill="F1F2F5"/>
          </w:tcPr>
          <w:p>
            <w:pPr>
              <w:pStyle w:val="Compact"/>
              <w:spacing w:after="0" w:before="0" w:line="240" w:lineRule="auto"/>
              <w:jc w:val="right"/>
            </w:pPr>
            <w:r>
              <w:rPr>
                <w:rFonts w:ascii="Arial" w:hAnsi="Arial"/>
                <w:sz w:val="15"/>
              </w:rPr>
              <w:t xml:space="preserve">1.9%</w:t>
            </w:r>
          </w:p>
        </w:tc>
        <w:tc>
          <w:tcPr>
            <w:tcW w:type="dxa" w:w="1741"/>
            <w:shd w:val="clear" w:color="auto" w:fill="F1F2F5"/>
          </w:tcPr>
          <w:p>
            <w:pPr>
              <w:pStyle w:val="Compact"/>
              <w:spacing w:after="0" w:before="0" w:line="240" w:lineRule="auto"/>
              <w:jc w:val="right"/>
            </w:pPr>
            <w:r>
              <w:rPr>
                <w:rFonts w:ascii="Arial" w:hAnsi="Arial"/>
                <w:sz w:val="15"/>
              </w:rPr>
              <w:t xml:space="preserve">2.0%</w:t>
            </w:r>
          </w:p>
        </w:tc>
      </w:tr>
      <w:tr>
        <w:trPr>
          <w:cantSplit/>
        </w:trPr>
        <w:tc>
          <w:tcPr>
            <w:tcW w:type="dxa" w:w="3361"/>
            <w:shd w:val="clear" w:color="auto" w:fill="DCE4F2"/>
          </w:tcPr>
          <w:p>
            <w:pPr>
              <w:pStyle w:val="Compact"/>
              <w:spacing w:after="0" w:before="0" w:line="240" w:lineRule="auto"/>
              <w:jc w:val="left"/>
            </w:pPr>
            <w:r>
              <w:rPr>
                <w:rFonts w:ascii="Arial" w:hAnsi="Arial"/>
                <w:b/>
                <w:sz w:val="15"/>
              </w:rPr>
              <w:t xml:space="preserve">Net debt / EBITDA</w:t>
            </w:r>
          </w:p>
        </w:tc>
        <w:tc>
          <w:tcPr>
            <w:tcW w:type="dxa" w:w="1395"/>
            <w:shd w:val="clear" w:color="auto" w:fill="DCE4F2"/>
          </w:tcPr>
          <w:p>
            <w:pPr>
              <w:pStyle w:val="Compact"/>
              <w:spacing w:after="0" w:before="0" w:line="240" w:lineRule="auto"/>
              <w:jc w:val="right"/>
            </w:pPr>
            <w:r>
              <w:rPr>
                <w:rFonts w:ascii="Arial" w:hAnsi="Arial"/>
                <w:b/>
                <w:sz w:val="15"/>
              </w:rPr>
              <w:t xml:space="preserve">0.92x</w:t>
            </w:r>
          </w:p>
        </w:tc>
        <w:tc>
          <w:tcPr>
            <w:tcW w:type="dxa" w:w="1741"/>
            <w:shd w:val="clear" w:color="auto" w:fill="DCE4F2"/>
          </w:tcPr>
          <w:p>
            <w:pPr>
              <w:pStyle w:val="Compact"/>
              <w:spacing w:after="0" w:before="0" w:line="240" w:lineRule="auto"/>
              <w:jc w:val="right"/>
            </w:pPr>
            <w:r>
              <w:rPr>
                <w:rFonts w:ascii="Arial" w:hAnsi="Arial"/>
                <w:b/>
                <w:sz w:val="15"/>
              </w:rPr>
              <w:t xml:space="preserve">0.64x</w:t>
            </w:r>
          </w:p>
        </w:tc>
        <w:tc>
          <w:tcPr>
            <w:tcW w:type="dxa" w:w="1741"/>
            <w:shd w:val="clear" w:color="auto" w:fill="DCE4F2"/>
          </w:tcPr>
          <w:p>
            <w:pPr>
              <w:pStyle w:val="Compact"/>
              <w:spacing w:after="0" w:before="0" w:line="240" w:lineRule="auto"/>
              <w:jc w:val="right"/>
            </w:pPr>
            <w:r>
              <w:rPr>
                <w:rFonts w:ascii="Arial" w:hAnsi="Arial"/>
                <w:b/>
                <w:sz w:val="15"/>
              </w:rPr>
              <w:t xml:space="preserve">0.51x</w:t>
            </w:r>
          </w:p>
        </w:tc>
        <w:tc>
          <w:tcPr>
            <w:tcW w:type="dxa" w:w="1741"/>
            <w:shd w:val="clear" w:color="auto" w:fill="DCE4F2"/>
          </w:tcPr>
          <w:p>
            <w:pPr>
              <w:pStyle w:val="Compact"/>
              <w:spacing w:after="0" w:before="0" w:line="240" w:lineRule="auto"/>
              <w:jc w:val="right"/>
            </w:pPr>
            <w:r>
              <w:rPr>
                <w:rFonts w:ascii="Arial" w:hAnsi="Arial"/>
                <w:b/>
                <w:sz w:val="15"/>
              </w:rPr>
              <w:t xml:space="preserve">0.36x</w:t>
            </w:r>
          </w:p>
        </w:tc>
      </w:tr>
    </w:tbl>
    <w:p>
      <w:pPr>
        <w:pStyle w:val="BodyText"/>
      </w:pPr>
      <w:r>
        <w:rPr>
          <w:bCs/>
          <w:b/>
        </w:rPr>
        <w:t xml:space="preserve">Read-across.</w:t>
      </w:r>
    </w:p>
    <w:p>
      <w:pPr>
        <w:numPr>
          <w:ilvl w:val="0"/>
          <w:numId w:val="1030"/>
        </w:numPr>
        <w:pStyle w:val="Compact"/>
      </w:pPr>
      <w:r>
        <w:t xml:space="preserve">Olympus trades</w:t>
      </w:r>
      <w:r>
        <w:t xml:space="preserve"> </w:t>
      </w:r>
      <w:r>
        <w:rPr>
          <w:bCs/>
          <w:b/>
        </w:rPr>
        <w:t xml:space="preserve">4th-lowest of 33 peers on LTM TEV/EBITDA</w:t>
      </w:r>
      <w:r>
        <w:t xml:space="preserve"> </w:t>
      </w:r>
      <w:r>
        <w:t xml:space="preserve">and 7th-lowest on NTM. It sits alongside FUJIFILM (a conglomerate), Nipro (5.6x levered), Integra, CONMED and Philips. Every one of those companies has either structurally lower margins or its own quality or regulatory crisis. Philips, for example, operates under a Respironics consent decree.</w:t>
      </w:r>
    </w:p>
    <w:p>
      <w:pPr>
        <w:numPr>
          <w:ilvl w:val="0"/>
          <w:numId w:val="1030"/>
        </w:numPr>
        <w:pStyle w:val="Compact"/>
      </w:pPr>
      <w:r>
        <w:t xml:space="preserve">Against</w:t>
      </w:r>
      <w:r>
        <w:t xml:space="preserve"> </w:t>
      </w:r>
      <w:r>
        <w:rPr>
          <w:bCs/>
          <w:b/>
        </w:rPr>
        <w:t xml:space="preserve">endoscopy and GI peers</w:t>
      </w:r>
      <w:r>
        <w:t xml:space="preserve"> </w:t>
      </w:r>
      <w:r>
        <w:t xml:space="preserve">(BSX, STERIS, Ambu, HOYA, Stryker, Micro-Tech) the NTM EV/EBITDA discount is</w:t>
      </w:r>
      <w:r>
        <w:t xml:space="preserve"> </w:t>
      </w:r>
      <w:r>
        <w:rPr>
          <w:bCs/>
          <w:b/>
        </w:rPr>
        <w:t xml:space="preserve">~36%</w:t>
      </w:r>
      <w:r>
        <w:t xml:space="preserve">. Against US/EU large-cap medtech it is ~27%.</w:t>
      </w:r>
    </w:p>
    <w:p>
      <w:pPr>
        <w:numPr>
          <w:ilvl w:val="0"/>
          <w:numId w:val="1030"/>
        </w:numPr>
        <w:pStyle w:val="Compact"/>
      </w:pPr>
      <w:r>
        <w:rPr>
          <w:bCs/>
          <w:b/>
        </w:rPr>
        <w:t xml:space="preserve">On growth and margin, Olympus is a median company:</w:t>
      </w:r>
      <w:r>
        <w:t xml:space="preserve"> </w:t>
      </w:r>
      <w:r>
        <w:t xml:space="preserve">EBIT margin 14.4% against a 14.2% median, sales growth 7.8% against 7.4%.</w:t>
      </w:r>
      <w:r>
        <w:t xml:space="preserve"> </w:t>
      </w:r>
      <w:r>
        <w:rPr>
          <w:bCs/>
          <w:b/>
        </w:rPr>
        <w:t xml:space="preserve">The discount is therefore an FDA and execution discount, not a quality discount.</w:t>
      </w:r>
    </w:p>
    <w:bookmarkEnd w:id="89"/>
    <w:bookmarkStart w:id="93" w:name="valuation-vs-its-own-history"/>
    <w:p>
      <w:pPr>
        <w:pStyle w:val="Heading2"/>
      </w:pPr>
      <w:r>
        <w:t xml:space="preserve">Valuation vs its own history</w:t>
      </w:r>
    </w:p>
    <w:p>
      <w:pPr>
        <w:pStyle w:val="CaptionedFigure"/>
      </w:pPr>
      <w:r>
        <w:drawing>
          <wp:inline>
            <wp:extent cx="6261100" cy="2539642"/>
            <wp:effectExtent b="0" l="0" r="0" t="0"/>
            <wp:docPr descr="Olympus TEV/EBITDA and TEV/Sales vs HOYA and FUJIFILM, 10 years" title="" id="91" name="Picture"/>
            <a:graphic>
              <a:graphicData uri="http://schemas.openxmlformats.org/drawingml/2006/picture">
                <pic:pic>
                  <pic:nvPicPr>
                    <pic:cNvPr descr="../charts/hist_multiples.png" id="92" name="Picture"/>
                    <pic:cNvPicPr>
                      <a:picLocks noChangeArrowheads="1" noChangeAspect="1"/>
                    </pic:cNvPicPr>
                  </pic:nvPicPr>
                  <pic:blipFill>
                    <a:blip r:embed="rId90"/>
                    <a:stretch>
                      <a:fillRect/>
                    </a:stretch>
                  </pic:blipFill>
                  <pic:spPr bwMode="auto">
                    <a:xfrm>
                      <a:off x="0" y="0"/>
                      <a:ext cx="6261100" cy="2539642"/>
                    </a:xfrm>
                    <a:prstGeom prst="rect">
                      <a:avLst/>
                    </a:prstGeom>
                    <a:noFill/>
                    <a:ln w="9525">
                      <a:noFill/>
                      <a:headEnd/>
                      <a:tailEnd/>
                    </a:ln>
                  </pic:spPr>
                </pic:pic>
              </a:graphicData>
            </a:graphic>
          </wp:inline>
        </w:drawing>
      </w:r>
    </w:p>
    <w:p>
      <w:pPr>
        <w:pStyle w:val="ImageCaption"/>
      </w:pPr>
      <w:r>
        <w:t xml:space="preserve">Olympus TEV/EBITDA and TEV/Sales vs HOYA and FUJIFILM, 10 years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22"/>
        <w:gridCol w:w="1686"/>
        <w:gridCol w:w="959"/>
        <w:gridCol w:w="959"/>
        <w:gridCol w:w="984"/>
        <w:gridCol w:w="1600"/>
        <w:gridCol w:w="1564"/>
      </w:tblGrid>
      <w:tr>
        <w:trPr>
          <w:tblHeader w:val="true"/>
          <w:tblHeader w:val="true"/>
          <w:cantSplit/>
        </w:trPr>
        <w:tc>
          <w:tcPr>
            <w:tcW w:type="dxa" w:w="2222"/>
            <w:shd w:val="clear" w:color="auto" w:fill="13213F"/>
          </w:tcPr>
          <w:p>
            <w:pPr>
              <w:pStyle w:val="Compact"/>
              <w:spacing w:after="0" w:before="0" w:line="240" w:lineRule="auto"/>
              <w:jc w:val="left"/>
            </w:pPr>
            <w:r>
              <w:rPr>
                <w:rFonts w:ascii="Arial" w:hAnsi="Arial"/>
                <w:b/>
                <w:color w:val="FFFFFF"/>
                <w:sz w:val="15"/>
              </w:rPr>
              <w:t xml:space="preserve">Multiple</w:t>
            </w:r>
          </w:p>
        </w:tc>
        <w:tc>
          <w:tcPr>
            <w:tcW w:type="dxa" w:w="1687"/>
            <w:shd w:val="clear" w:color="auto" w:fill="13213F"/>
          </w:tcPr>
          <w:p>
            <w:pPr>
              <w:pStyle w:val="Compact"/>
              <w:spacing w:after="0" w:before="0" w:line="240" w:lineRule="auto"/>
              <w:jc w:val="right"/>
            </w:pPr>
            <w:r>
              <w:rPr>
                <w:rFonts w:ascii="Arial" w:hAnsi="Arial"/>
                <w:b/>
                <w:color w:val="FFFFFF"/>
                <w:sz w:val="15"/>
              </w:rPr>
              <w:t xml:space="preserve">Current (16-Oct-26)</w:t>
            </w:r>
          </w:p>
        </w:tc>
        <w:tc>
          <w:tcPr>
            <w:tcW w:type="dxa" w:w="959"/>
            <w:shd w:val="clear" w:color="auto" w:fill="13213F"/>
          </w:tcPr>
          <w:p>
            <w:pPr>
              <w:pStyle w:val="Compact"/>
              <w:spacing w:after="0" w:before="0" w:line="240" w:lineRule="auto"/>
              <w:jc w:val="right"/>
            </w:pPr>
            <w:r>
              <w:rPr>
                <w:rFonts w:ascii="Arial" w:hAnsi="Arial"/>
                <w:b/>
                <w:color w:val="FFFFFF"/>
                <w:sz w:val="15"/>
              </w:rPr>
              <w:t xml:space="preserve">3-yr avg</w:t>
            </w:r>
          </w:p>
        </w:tc>
        <w:tc>
          <w:tcPr>
            <w:tcW w:type="dxa" w:w="959"/>
            <w:shd w:val="clear" w:color="auto" w:fill="13213F"/>
          </w:tcPr>
          <w:p>
            <w:pPr>
              <w:pStyle w:val="Compact"/>
              <w:spacing w:after="0" w:before="0" w:line="240" w:lineRule="auto"/>
              <w:jc w:val="right"/>
            </w:pPr>
            <w:r>
              <w:rPr>
                <w:rFonts w:ascii="Arial" w:hAnsi="Arial"/>
                <w:b/>
                <w:color w:val="FFFFFF"/>
                <w:sz w:val="15"/>
              </w:rPr>
              <w:t xml:space="preserve">5-yr avg</w:t>
            </w:r>
          </w:p>
        </w:tc>
        <w:tc>
          <w:tcPr>
            <w:tcW w:type="dxa" w:w="985"/>
            <w:shd w:val="clear" w:color="auto" w:fill="13213F"/>
          </w:tcPr>
          <w:p>
            <w:pPr>
              <w:pStyle w:val="Compact"/>
              <w:spacing w:after="0" w:before="0" w:line="240" w:lineRule="auto"/>
              <w:jc w:val="right"/>
            </w:pPr>
            <w:r>
              <w:rPr>
                <w:rFonts w:ascii="Arial" w:hAnsi="Arial"/>
                <w:b/>
                <w:color w:val="FFFFFF"/>
                <w:sz w:val="15"/>
              </w:rPr>
              <w:t xml:space="preserve">10-yr avg</w:t>
            </w:r>
          </w:p>
        </w:tc>
        <w:tc>
          <w:tcPr>
            <w:tcW w:type="dxa" w:w="1600"/>
            <w:shd w:val="clear" w:color="auto" w:fill="13213F"/>
          </w:tcPr>
          <w:p>
            <w:pPr>
              <w:pStyle w:val="Compact"/>
              <w:spacing w:after="0" w:before="0" w:line="240" w:lineRule="auto"/>
              <w:jc w:val="left"/>
            </w:pPr>
            <w:r>
              <w:rPr>
                <w:rFonts w:ascii="Arial" w:hAnsi="Arial"/>
                <w:b/>
                <w:color w:val="FFFFFF"/>
                <w:sz w:val="15"/>
              </w:rPr>
              <w:t xml:space="preserve">10-yr range</w:t>
            </w:r>
          </w:p>
        </w:tc>
        <w:tc>
          <w:tcPr>
            <w:tcW w:type="dxa" w:w="1565"/>
            <w:shd w:val="clear" w:color="auto" w:fill="13213F"/>
          </w:tcPr>
          <w:p>
            <w:pPr>
              <w:pStyle w:val="Compact"/>
              <w:spacing w:after="0" w:before="0" w:line="240" w:lineRule="auto"/>
              <w:jc w:val="right"/>
            </w:pPr>
            <w:r>
              <w:rPr>
                <w:rFonts w:ascii="Arial" w:hAnsi="Arial"/>
                <w:b/>
                <w:color w:val="FFFFFF"/>
                <w:sz w:val="15"/>
              </w:rPr>
              <w:t xml:space="preserve">10-yr percentile</w:t>
            </w:r>
          </w:p>
        </w:tc>
      </w:tr>
      <w:tr>
        <w:trPr>
          <w:cantSplit/>
        </w:trPr>
        <w:tc>
          <w:tcPr>
            <w:tcW w:type="dxa" w:w="2222"/>
          </w:tcPr>
          <w:p>
            <w:pPr>
              <w:pStyle w:val="Compact"/>
              <w:spacing w:after="0" w:before="0" w:line="240" w:lineRule="auto"/>
              <w:jc w:val="left"/>
            </w:pPr>
            <w:r>
              <w:rPr>
                <w:rFonts w:ascii="Arial" w:hAnsi="Arial"/>
                <w:sz w:val="15"/>
              </w:rPr>
              <w:t xml:space="preserve">TEV / LTM EBITDA</w:t>
            </w:r>
          </w:p>
        </w:tc>
        <w:tc>
          <w:tcPr>
            <w:tcW w:type="dxa" w:w="1687"/>
          </w:tcPr>
          <w:p>
            <w:pPr>
              <w:pStyle w:val="Compact"/>
              <w:spacing w:after="0" w:before="0" w:line="240" w:lineRule="auto"/>
              <w:jc w:val="right"/>
            </w:pPr>
            <w:r>
              <w:rPr>
                <w:rFonts w:ascii="Arial" w:hAnsi="Arial"/>
                <w:sz w:val="15"/>
              </w:rPr>
              <w:t xml:space="preserve">9.35x</w:t>
            </w:r>
          </w:p>
        </w:tc>
        <w:tc>
          <w:tcPr>
            <w:tcW w:type="dxa" w:w="959"/>
          </w:tcPr>
          <w:p>
            <w:pPr>
              <w:pStyle w:val="Compact"/>
              <w:spacing w:after="0" w:before="0" w:line="240" w:lineRule="auto"/>
              <w:jc w:val="right"/>
            </w:pPr>
            <w:r>
              <w:rPr>
                <w:rFonts w:ascii="Arial" w:hAnsi="Arial"/>
                <w:sz w:val="15"/>
              </w:rPr>
              <w:t xml:space="preserve">12.1x</w:t>
            </w:r>
          </w:p>
        </w:tc>
        <w:tc>
          <w:tcPr>
            <w:tcW w:type="dxa" w:w="959"/>
          </w:tcPr>
          <w:p>
            <w:pPr>
              <w:pStyle w:val="Compact"/>
              <w:spacing w:after="0" w:before="0" w:line="240" w:lineRule="auto"/>
              <w:jc w:val="right"/>
            </w:pPr>
            <w:r>
              <w:rPr>
                <w:rFonts w:ascii="Arial" w:hAnsi="Arial"/>
                <w:sz w:val="15"/>
              </w:rPr>
              <w:t xml:space="preserve">12.9x</w:t>
            </w:r>
          </w:p>
        </w:tc>
        <w:tc>
          <w:tcPr>
            <w:tcW w:type="dxa" w:w="985"/>
          </w:tcPr>
          <w:p>
            <w:pPr>
              <w:pStyle w:val="Compact"/>
              <w:spacing w:after="0" w:before="0" w:line="240" w:lineRule="auto"/>
              <w:jc w:val="right"/>
            </w:pPr>
            <w:r>
              <w:rPr>
                <w:rFonts w:ascii="Arial" w:hAnsi="Arial"/>
                <w:sz w:val="15"/>
              </w:rPr>
              <w:t xml:space="preserve">13.7x</w:t>
            </w:r>
          </w:p>
        </w:tc>
        <w:tc>
          <w:tcPr>
            <w:tcW w:type="dxa" w:w="1600"/>
          </w:tcPr>
          <w:p>
            <w:pPr>
              <w:pStyle w:val="Compact"/>
              <w:spacing w:after="0" w:before="0" w:line="240" w:lineRule="auto"/>
              <w:jc w:val="left"/>
            </w:pPr>
            <w:r>
              <w:rPr>
                <w:rFonts w:ascii="Arial" w:hAnsi="Arial"/>
                <w:sz w:val="15"/>
              </w:rPr>
              <w:t xml:space="preserve">8.2–23.1x</w:t>
            </w:r>
          </w:p>
        </w:tc>
        <w:tc>
          <w:tcPr>
            <w:tcW w:type="dxa" w:w="1565"/>
          </w:tcPr>
          <w:p>
            <w:pPr>
              <w:pStyle w:val="Compact"/>
              <w:spacing w:after="0" w:before="0" w:line="240" w:lineRule="auto"/>
              <w:jc w:val="right"/>
            </w:pPr>
            <w:r>
              <w:rPr>
                <w:bCs/>
                <w:rFonts w:ascii="Arial" w:hAnsi="Arial"/>
                <w:b/>
                <w:sz w:val="15"/>
              </w:rPr>
              <w:t xml:space="preserve">6th</w:t>
            </w:r>
          </w:p>
        </w:tc>
      </w:tr>
      <w:tr>
        <w:trPr>
          <w:cantSplit/>
        </w:trPr>
        <w:tc>
          <w:tcPr>
            <w:tcW w:type="dxa" w:w="2222"/>
            <w:shd w:val="clear" w:color="auto" w:fill="F1F2F5"/>
          </w:tcPr>
          <w:p>
            <w:pPr>
              <w:pStyle w:val="Compact"/>
              <w:spacing w:after="0" w:before="0" w:line="240" w:lineRule="auto"/>
              <w:jc w:val="left"/>
            </w:pPr>
            <w:r>
              <w:rPr>
                <w:rFonts w:ascii="Arial" w:hAnsi="Arial"/>
                <w:sz w:val="15"/>
              </w:rPr>
              <w:t xml:space="preserve">TEV / LTM sales</w:t>
            </w:r>
          </w:p>
        </w:tc>
        <w:tc>
          <w:tcPr>
            <w:tcW w:type="dxa" w:w="1687"/>
            <w:shd w:val="clear" w:color="auto" w:fill="F1F2F5"/>
          </w:tcPr>
          <w:p>
            <w:pPr>
              <w:pStyle w:val="Compact"/>
              <w:spacing w:after="0" w:before="0" w:line="240" w:lineRule="auto"/>
              <w:jc w:val="right"/>
            </w:pPr>
            <w:r>
              <w:rPr>
                <w:rFonts w:ascii="Arial" w:hAnsi="Arial"/>
                <w:sz w:val="15"/>
              </w:rPr>
              <w:t xml:space="preserve">1.91x</w:t>
            </w:r>
          </w:p>
        </w:tc>
        <w:tc>
          <w:tcPr>
            <w:tcW w:type="dxa" w:w="959"/>
            <w:shd w:val="clear" w:color="auto" w:fill="F1F2F5"/>
          </w:tcPr>
          <w:p>
            <w:pPr>
              <w:pStyle w:val="Compact"/>
              <w:spacing w:after="0" w:before="0" w:line="240" w:lineRule="auto"/>
              <w:jc w:val="right"/>
            </w:pPr>
            <w:r>
              <w:rPr>
                <w:rFonts w:ascii="Arial" w:hAnsi="Arial"/>
                <w:sz w:val="15"/>
              </w:rPr>
              <w:t xml:space="preserve">2.43x</w:t>
            </w:r>
          </w:p>
        </w:tc>
        <w:tc>
          <w:tcPr>
            <w:tcW w:type="dxa" w:w="959"/>
            <w:shd w:val="clear" w:color="auto" w:fill="F1F2F5"/>
          </w:tcPr>
          <w:p>
            <w:pPr>
              <w:pStyle w:val="Compact"/>
              <w:spacing w:after="0" w:before="0" w:line="240" w:lineRule="auto"/>
              <w:jc w:val="right"/>
            </w:pPr>
            <w:r>
              <w:rPr>
                <w:rFonts w:ascii="Arial" w:hAnsi="Arial"/>
                <w:sz w:val="15"/>
              </w:rPr>
              <w:t xml:space="preserve">2.94x</w:t>
            </w:r>
          </w:p>
        </w:tc>
        <w:tc>
          <w:tcPr>
            <w:tcW w:type="dxa" w:w="985"/>
            <w:shd w:val="clear" w:color="auto" w:fill="F1F2F5"/>
          </w:tcPr>
          <w:p>
            <w:pPr>
              <w:pStyle w:val="Compact"/>
              <w:spacing w:after="0" w:before="0" w:line="240" w:lineRule="auto"/>
              <w:jc w:val="right"/>
            </w:pPr>
            <w:r>
              <w:rPr>
                <w:rFonts w:ascii="Arial" w:hAnsi="Arial"/>
                <w:sz w:val="15"/>
              </w:rPr>
              <w:t xml:space="preserve">2.79x</w:t>
            </w:r>
          </w:p>
        </w:tc>
        <w:tc>
          <w:tcPr>
            <w:tcW w:type="dxa" w:w="1600"/>
            <w:shd w:val="clear" w:color="auto" w:fill="F1F2F5"/>
          </w:tcPr>
          <w:p>
            <w:pPr>
              <w:pStyle w:val="Compact"/>
              <w:spacing w:after="0" w:before="0" w:line="240" w:lineRule="auto"/>
              <w:jc w:val="left"/>
            </w:pPr>
            <w:r>
              <w:rPr>
                <w:rFonts w:ascii="Arial" w:hAnsi="Arial"/>
                <w:sz w:val="15"/>
              </w:rPr>
              <w:t xml:space="preserve">1.47–4.48x</w:t>
            </w:r>
          </w:p>
        </w:tc>
        <w:tc>
          <w:tcPr>
            <w:tcW w:type="dxa" w:w="1565"/>
            <w:shd w:val="clear" w:color="auto" w:fill="F1F2F5"/>
          </w:tcPr>
          <w:p>
            <w:pPr>
              <w:pStyle w:val="Compact"/>
              <w:spacing w:after="0" w:before="0" w:line="240" w:lineRule="auto"/>
              <w:jc w:val="right"/>
            </w:pPr>
            <w:r>
              <w:rPr>
                <w:rFonts w:ascii="Arial" w:hAnsi="Arial"/>
                <w:sz w:val="15"/>
              </w:rPr>
              <w:t xml:space="preserve">13th</w:t>
            </w:r>
          </w:p>
        </w:tc>
      </w:tr>
      <w:tr>
        <w:trPr>
          <w:cantSplit/>
        </w:trPr>
        <w:tc>
          <w:tcPr>
            <w:tcW w:type="dxa" w:w="2222"/>
          </w:tcPr>
          <w:p>
            <w:pPr>
              <w:pStyle w:val="Compact"/>
              <w:spacing w:after="0" w:before="0" w:line="240" w:lineRule="auto"/>
              <w:jc w:val="left"/>
            </w:pPr>
            <w:r>
              <w:rPr>
                <w:rFonts w:ascii="Arial" w:hAnsi="Arial"/>
                <w:sz w:val="15"/>
              </w:rPr>
              <w:t xml:space="preserve">TEV / LTM EBIT</w:t>
            </w:r>
          </w:p>
        </w:tc>
        <w:tc>
          <w:tcPr>
            <w:tcW w:type="dxa" w:w="1687"/>
          </w:tcPr>
          <w:p>
            <w:pPr>
              <w:pStyle w:val="Compact"/>
              <w:spacing w:after="0" w:before="0" w:line="240" w:lineRule="auto"/>
              <w:jc w:val="right"/>
            </w:pPr>
            <w:r>
              <w:rPr>
                <w:rFonts w:ascii="Arial" w:hAnsi="Arial"/>
                <w:sz w:val="15"/>
              </w:rPr>
              <w:t xml:space="preserve">13.7x</w:t>
            </w:r>
          </w:p>
        </w:tc>
        <w:tc>
          <w:tcPr>
            <w:tcW w:type="dxa" w:w="959"/>
          </w:tcPr>
          <w:p>
            <w:pPr>
              <w:pStyle w:val="Compact"/>
              <w:spacing w:after="0" w:before="0" w:line="240" w:lineRule="auto"/>
              <w:jc w:val="right"/>
            </w:pPr>
            <w:r>
              <w:rPr>
                <w:rFonts w:ascii="Arial" w:hAnsi="Arial"/>
                <w:sz w:val="15"/>
              </w:rPr>
              <w:t xml:space="preserve">18.8x</w:t>
            </w:r>
          </w:p>
        </w:tc>
        <w:tc>
          <w:tcPr>
            <w:tcW w:type="dxa" w:w="959"/>
          </w:tcPr>
          <w:p>
            <w:pPr>
              <w:pStyle w:val="Compact"/>
              <w:spacing w:after="0" w:before="0" w:line="240" w:lineRule="auto"/>
              <w:jc w:val="right"/>
            </w:pPr>
            <w:r>
              <w:rPr>
                <w:rFonts w:ascii="Arial" w:hAnsi="Arial"/>
                <w:sz w:val="15"/>
              </w:rPr>
              <w:t xml:space="preserve">19.2x</w:t>
            </w:r>
          </w:p>
        </w:tc>
        <w:tc>
          <w:tcPr>
            <w:tcW w:type="dxa" w:w="985"/>
          </w:tcPr>
          <w:p>
            <w:pPr>
              <w:pStyle w:val="Compact"/>
              <w:spacing w:after="0" w:before="0" w:line="240" w:lineRule="auto"/>
              <w:jc w:val="right"/>
            </w:pPr>
            <w:r>
              <w:rPr>
                <w:rFonts w:ascii="Arial" w:hAnsi="Arial"/>
                <w:sz w:val="15"/>
              </w:rPr>
              <w:t xml:space="preserve">22.6x</w:t>
            </w:r>
          </w:p>
        </w:tc>
        <w:tc>
          <w:tcPr>
            <w:tcW w:type="dxa" w:w="1600"/>
          </w:tcPr>
          <w:p>
            <w:pPr>
              <w:pStyle w:val="Compact"/>
              <w:spacing w:after="0" w:before="0" w:line="240" w:lineRule="auto"/>
              <w:jc w:val="left"/>
            </w:pPr>
            <w:r>
              <w:rPr>
                <w:rFonts w:ascii="Arial" w:hAnsi="Arial"/>
                <w:sz w:val="15"/>
              </w:rPr>
              <w:t xml:space="preserve">11.4–43.8x</w:t>
            </w:r>
          </w:p>
        </w:tc>
        <w:tc>
          <w:tcPr>
            <w:tcW w:type="dxa" w:w="1565"/>
          </w:tcPr>
          <w:p>
            <w:pPr>
              <w:pStyle w:val="Compact"/>
              <w:spacing w:after="0" w:before="0" w:line="240" w:lineRule="auto"/>
              <w:jc w:val="right"/>
            </w:pPr>
            <w:r>
              <w:rPr>
                <w:rFonts w:ascii="Arial" w:hAnsi="Arial"/>
                <w:sz w:val="15"/>
              </w:rPr>
              <w:t xml:space="preserve">low</w:t>
            </w:r>
          </w:p>
        </w:tc>
      </w:tr>
      <w:tr>
        <w:trPr>
          <w:cantSplit/>
        </w:trPr>
        <w:tc>
          <w:tcPr>
            <w:tcW w:type="dxa" w:w="2222"/>
            <w:shd w:val="clear" w:color="auto" w:fill="F1F2F5"/>
          </w:tcPr>
          <w:p>
            <w:pPr>
              <w:pStyle w:val="Compact"/>
              <w:spacing w:after="0" w:before="0" w:line="240" w:lineRule="auto"/>
              <w:jc w:val="left"/>
            </w:pPr>
            <w:r>
              <w:rPr>
                <w:rFonts w:ascii="Arial" w:hAnsi="Arial"/>
                <w:sz w:val="15"/>
              </w:rPr>
              <w:t xml:space="preserve">P / B</w:t>
            </w:r>
          </w:p>
        </w:tc>
        <w:tc>
          <w:tcPr>
            <w:tcW w:type="dxa" w:w="1687"/>
            <w:shd w:val="clear" w:color="auto" w:fill="F1F2F5"/>
          </w:tcPr>
          <w:p>
            <w:pPr>
              <w:pStyle w:val="Compact"/>
              <w:spacing w:after="0" w:before="0" w:line="240" w:lineRule="auto"/>
              <w:jc w:val="right"/>
            </w:pPr>
            <w:r>
              <w:rPr>
                <w:rFonts w:ascii="Arial" w:hAnsi="Arial"/>
                <w:sz w:val="15"/>
              </w:rPr>
              <w:t xml:space="preserve">2.40x</w:t>
            </w:r>
          </w:p>
        </w:tc>
        <w:tc>
          <w:tcPr>
            <w:tcW w:type="dxa" w:w="959"/>
            <w:shd w:val="clear" w:color="auto" w:fill="F1F2F5"/>
          </w:tcPr>
          <w:p>
            <w:pPr>
              <w:pStyle w:val="Compact"/>
              <w:spacing w:after="0" w:before="0" w:line="240" w:lineRule="auto"/>
              <w:jc w:val="right"/>
            </w:pPr>
            <w:r>
              <w:rPr>
                <w:rFonts w:ascii="Arial" w:hAnsi="Arial"/>
                <w:sz w:val="15"/>
              </w:rPr>
              <w:t xml:space="preserve">3.10x</w:t>
            </w:r>
          </w:p>
        </w:tc>
        <w:tc>
          <w:tcPr>
            <w:tcW w:type="dxa" w:w="959"/>
            <w:shd w:val="clear" w:color="auto" w:fill="F1F2F5"/>
          </w:tcPr>
          <w:p>
            <w:pPr>
              <w:pStyle w:val="Compact"/>
              <w:spacing w:after="0" w:before="0" w:line="240" w:lineRule="auto"/>
              <w:jc w:val="right"/>
            </w:pPr>
            <w:r>
              <w:rPr>
                <w:rFonts w:ascii="Arial" w:hAnsi="Arial"/>
                <w:sz w:val="15"/>
              </w:rPr>
              <w:t xml:space="preserve">4.15x</w:t>
            </w:r>
          </w:p>
        </w:tc>
        <w:tc>
          <w:tcPr>
            <w:tcW w:type="dxa" w:w="985"/>
            <w:shd w:val="clear" w:color="auto" w:fill="F1F2F5"/>
          </w:tcPr>
          <w:p>
            <w:pPr>
              <w:pStyle w:val="Compact"/>
              <w:spacing w:after="0" w:before="0" w:line="240" w:lineRule="auto"/>
              <w:jc w:val="right"/>
            </w:pPr>
            <w:r>
              <w:rPr>
                <w:rFonts w:ascii="Arial" w:hAnsi="Arial"/>
                <w:sz w:val="15"/>
              </w:rPr>
              <w:t xml:space="preserve">4.51x</w:t>
            </w:r>
          </w:p>
        </w:tc>
        <w:tc>
          <w:tcPr>
            <w:tcW w:type="dxa" w:w="1600"/>
            <w:shd w:val="clear" w:color="auto" w:fill="F1F2F5"/>
          </w:tcPr>
          <w:p>
            <w:pPr>
              <w:pStyle w:val="Compact"/>
              <w:spacing w:after="0" w:before="0" w:line="240" w:lineRule="auto"/>
              <w:jc w:val="left"/>
            </w:pPr>
            <w:r>
              <w:rPr>
                <w:rFonts w:ascii="Arial" w:hAnsi="Arial"/>
                <w:sz w:val="15"/>
              </w:rPr>
              <w:t xml:space="preserve">1.99–8.76x</w:t>
            </w:r>
          </w:p>
        </w:tc>
        <w:tc>
          <w:tcPr>
            <w:tcW w:type="dxa" w:w="1565"/>
            <w:shd w:val="clear" w:color="auto" w:fill="F1F2F5"/>
          </w:tcPr>
          <w:p>
            <w:pPr>
              <w:pStyle w:val="Compact"/>
              <w:spacing w:after="0" w:before="0" w:line="240" w:lineRule="auto"/>
              <w:jc w:val="right"/>
            </w:pPr>
            <w:r>
              <w:rPr>
                <w:bCs/>
                <w:rFonts w:ascii="Arial" w:hAnsi="Arial"/>
                <w:b/>
                <w:sz w:val="15"/>
              </w:rPr>
              <w:t xml:space="preserve">4th</w:t>
            </w:r>
          </w:p>
        </w:tc>
      </w:tr>
      <w:tr>
        <w:trPr>
          <w:cantSplit/>
        </w:trPr>
        <w:tc>
          <w:tcPr>
            <w:tcW w:type="dxa" w:w="2222"/>
          </w:tcPr>
          <w:p>
            <w:pPr>
              <w:pStyle w:val="Compact"/>
              <w:spacing w:after="0" w:before="0" w:line="240" w:lineRule="auto"/>
              <w:jc w:val="left"/>
            </w:pPr>
            <w:r>
              <w:rPr>
                <w:rFonts w:ascii="Arial" w:hAnsi="Arial"/>
                <w:sz w:val="15"/>
              </w:rPr>
              <w:t xml:space="preserve">P/E (LTM; distorted by low-EPS years)</w:t>
            </w:r>
          </w:p>
        </w:tc>
        <w:tc>
          <w:tcPr>
            <w:tcW w:type="dxa" w:w="1687"/>
          </w:tcPr>
          <w:p>
            <w:pPr>
              <w:pStyle w:val="Compact"/>
              <w:spacing w:after="0" w:before="0" w:line="240" w:lineRule="auto"/>
              <w:jc w:val="right"/>
            </w:pPr>
            <w:r>
              <w:rPr>
                <w:rFonts w:ascii="Arial" w:hAnsi="Arial"/>
                <w:sz w:val="15"/>
              </w:rPr>
              <w:t xml:space="preserve">23.8x</w:t>
            </w:r>
          </w:p>
        </w:tc>
        <w:tc>
          <w:tcPr>
            <w:tcW w:type="dxa" w:w="959"/>
          </w:tcPr>
          <w:p>
            <w:pPr>
              <w:pStyle w:val="Compact"/>
              <w:spacing w:after="0" w:before="0" w:line="240" w:lineRule="auto"/>
              <w:jc w:val="right"/>
            </w:pPr>
            <w:r>
              <w:rPr>
                <w:rFonts w:ascii="Arial" w:hAnsi="Arial"/>
                <w:sz w:val="15"/>
              </w:rPr>
              <w:t xml:space="preserve">44.0x</w:t>
            </w:r>
          </w:p>
        </w:tc>
        <w:tc>
          <w:tcPr>
            <w:tcW w:type="dxa" w:w="959"/>
          </w:tcPr>
          <w:p>
            <w:pPr>
              <w:pStyle w:val="Compact"/>
              <w:spacing w:after="0" w:before="0" w:line="240" w:lineRule="auto"/>
              <w:jc w:val="right"/>
            </w:pPr>
            <w:r>
              <w:rPr>
                <w:rFonts w:ascii="Arial" w:hAnsi="Arial"/>
                <w:sz w:val="15"/>
              </w:rPr>
              <w:t xml:space="preserve">37.4x</w:t>
            </w:r>
          </w:p>
        </w:tc>
        <w:tc>
          <w:tcPr>
            <w:tcW w:type="dxa" w:w="985"/>
          </w:tcPr>
          <w:p>
            <w:pPr>
              <w:pStyle w:val="Compact"/>
              <w:spacing w:after="0" w:before="0" w:line="240" w:lineRule="auto"/>
              <w:jc w:val="right"/>
            </w:pPr>
            <w:r>
              <w:rPr>
                <w:rFonts w:ascii="Arial" w:hAnsi="Arial"/>
                <w:sz w:val="15"/>
              </w:rPr>
              <w:t xml:space="preserve">44.1x</w:t>
            </w:r>
          </w:p>
        </w:tc>
        <w:tc>
          <w:tcPr>
            <w:tcW w:type="dxa" w:w="1600"/>
          </w:tcPr>
          <w:p>
            <w:pPr>
              <w:pStyle w:val="Compact"/>
              <w:spacing w:after="0" w:before="0" w:line="240" w:lineRule="auto"/>
              <w:jc w:val="left"/>
            </w:pPr>
            <w:r>
              <w:rPr>
                <w:rFonts w:ascii="Arial" w:hAnsi="Arial"/>
                <w:sz w:val="15"/>
              </w:rPr>
              <w:t xml:space="preserve">16.1–209x</w:t>
            </w:r>
          </w:p>
        </w:tc>
        <w:tc>
          <w:tcPr>
            <w:tcW w:type="dxa" w:w="1565"/>
          </w:tcPr>
          <w:p>
            <w:pPr>
              <w:pStyle w:val="Compact"/>
              <w:spacing w:after="0" w:before="0" w:line="240" w:lineRule="auto"/>
              <w:jc w:val="right"/>
            </w:pPr>
            <w:r>
              <w:rPr>
                <w:rFonts w:ascii="Arial" w:hAnsi="Arial"/>
                <w:sz w:val="15"/>
              </w:rPr>
              <w:t xml:space="preserve">n/m</w:t>
            </w:r>
          </w:p>
        </w:tc>
      </w:tr>
    </w:tbl>
    <w:p>
      <w:pPr>
        <w:pStyle w:val="BodyText"/>
      </w:pPr>
      <w:r>
        <w:rPr>
          <w:iCs/>
          <w:i/>
        </w:rPr>
        <w:t xml:space="preserve">Source: S&amp;P Capital IQ monthly LTM multiples. The CIQ history point for 16-Oct-2026 still used FY3/26 fundamentals, so we use the CIQ snapshot as</w:t>
      </w:r>
      <w:r>
        <w:rPr>
          <w:iCs/>
          <w:i/>
        </w:rPr>
        <w:t xml:space="preserve"> </w:t>
      </w:r>
      <w:r>
        <w:rPr>
          <w:iCs/>
          <w:i/>
        </w:rPr>
        <w:t xml:space="preserve">“</w:t>
      </w:r>
      <w:r>
        <w:rPr>
          <w:iCs/>
          <w:i/>
        </w:rPr>
        <w:t xml:space="preserve">current</w:t>
      </w:r>
      <w:r>
        <w:rPr>
          <w:iCs/>
          <w:i/>
        </w:rPr>
        <w:t xml:space="preserve">”</w:t>
      </w:r>
      <w:r>
        <w:rPr>
          <w:iCs/>
          <w:i/>
        </w:rPr>
        <w:t xml:space="preserve">. Olympus/HOYA TEV/EBITDA is 0.45x (10-yr mean 0.74x); Olympus/FUJIFILM is 0.94x (10-yr mean 1.67x, 10-yr low 0.93x).</w:t>
      </w:r>
    </w:p>
    <w:p>
      <w:pPr>
        <w:pStyle w:val="BodyText"/>
      </w:pPr>
      <w:r>
        <w:rPr>
          <w:bCs/>
          <w:b/>
        </w:rPr>
        <w:t xml:space="preserve">Implied value from mean reversion of TEV/LTM EBITDA (CIQ LTM EBITDA JPY213.5bn).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627"/>
        <w:gridCol w:w="2296"/>
        <w:gridCol w:w="4053"/>
      </w:tblGrid>
      <w:tr>
        <w:trPr>
          <w:tblHeader w:val="true"/>
          <w:tblHeader w:val="true"/>
          <w:cantSplit/>
        </w:trPr>
        <w:tc>
          <w:tcPr>
            <w:tcW w:type="dxa" w:w="3628"/>
            <w:shd w:val="clear" w:color="auto" w:fill="13213F"/>
          </w:tcPr>
          <w:p>
            <w:pPr>
              <w:pStyle w:val="Compact"/>
              <w:spacing w:after="0" w:before="0" w:line="240" w:lineRule="auto"/>
              <w:jc w:val="left"/>
            </w:pPr>
            <w:r>
              <w:rPr>
                <w:rFonts w:ascii="Arial" w:hAnsi="Arial"/>
                <w:b/>
                <w:color w:val="FFFFFF"/>
                <w:sz w:val="15"/>
              </w:rPr>
              <w:t xml:space="preserve">Reversion to</w:t>
            </w:r>
          </w:p>
        </w:tc>
        <w:tc>
          <w:tcPr>
            <w:tcW w:type="dxa" w:w="2297"/>
            <w:shd w:val="clear" w:color="auto" w:fill="13213F"/>
          </w:tcPr>
          <w:p>
            <w:pPr>
              <w:pStyle w:val="Compact"/>
              <w:spacing w:after="0" w:before="0" w:line="240" w:lineRule="auto"/>
              <w:jc w:val="right"/>
            </w:pPr>
            <w:r>
              <w:rPr>
                <w:rFonts w:ascii="Arial" w:hAnsi="Arial"/>
                <w:b/>
                <w:color w:val="FFFFFF"/>
                <w:sz w:val="15"/>
              </w:rPr>
              <w:t xml:space="preserve">Multiple</w:t>
            </w:r>
          </w:p>
        </w:tc>
        <w:tc>
          <w:tcPr>
            <w:tcW w:type="dxa" w:w="4053"/>
            <w:shd w:val="clear" w:color="auto" w:fill="13213F"/>
          </w:tcPr>
          <w:p>
            <w:pPr>
              <w:pStyle w:val="Compact"/>
              <w:spacing w:after="0" w:before="0" w:line="240" w:lineRule="auto"/>
              <w:jc w:val="right"/>
            </w:pPr>
            <w:r>
              <w:rPr>
                <w:rFonts w:ascii="Arial" w:hAnsi="Arial"/>
                <w:b/>
                <w:color w:val="FFFFFF"/>
                <w:sz w:val="15"/>
              </w:rPr>
              <w:t xml:space="preserve">Value per share</w:t>
            </w:r>
          </w:p>
        </w:tc>
      </w:tr>
      <w:tr>
        <w:trPr>
          <w:cantSplit/>
        </w:trPr>
        <w:tc>
          <w:tcPr>
            <w:tcW w:type="dxa" w:w="3628"/>
          </w:tcPr>
          <w:p>
            <w:pPr>
              <w:pStyle w:val="Compact"/>
              <w:spacing w:after="0" w:before="0" w:line="240" w:lineRule="auto"/>
              <w:jc w:val="left"/>
            </w:pPr>
            <w:r>
              <w:rPr>
                <w:rFonts w:ascii="Arial" w:hAnsi="Arial"/>
                <w:sz w:val="15"/>
              </w:rPr>
              <w:t xml:space="preserve">3-yr average</w:t>
            </w:r>
          </w:p>
        </w:tc>
        <w:tc>
          <w:tcPr>
            <w:tcW w:type="dxa" w:w="2297"/>
          </w:tcPr>
          <w:p>
            <w:pPr>
              <w:pStyle w:val="Compact"/>
              <w:spacing w:after="0" w:before="0" w:line="240" w:lineRule="auto"/>
              <w:jc w:val="right"/>
            </w:pPr>
            <w:r>
              <w:rPr>
                <w:rFonts w:ascii="Arial" w:hAnsi="Arial"/>
                <w:sz w:val="15"/>
              </w:rPr>
              <w:t xml:space="preserve">12.1x</w:t>
            </w:r>
          </w:p>
        </w:tc>
        <w:tc>
          <w:tcPr>
            <w:tcW w:type="dxa" w:w="4053"/>
          </w:tcPr>
          <w:p>
            <w:pPr>
              <w:pStyle w:val="Compact"/>
              <w:spacing w:after="0" w:before="0" w:line="240" w:lineRule="auto"/>
              <w:jc w:val="right"/>
            </w:pPr>
            <w:r>
              <w:rPr>
                <w:bCs/>
                <w:rFonts w:ascii="Arial" w:hAnsi="Arial"/>
                <w:b/>
                <w:sz w:val="15"/>
              </w:rPr>
              <w:t xml:space="preserve">JPY2,240 (+33%)</w:t>
            </w:r>
          </w:p>
        </w:tc>
      </w:tr>
      <w:tr>
        <w:trPr>
          <w:cantSplit/>
        </w:trPr>
        <w:tc>
          <w:tcPr>
            <w:tcW w:type="dxa" w:w="3628"/>
            <w:shd w:val="clear" w:color="auto" w:fill="F1F2F5"/>
          </w:tcPr>
          <w:p>
            <w:pPr>
              <w:pStyle w:val="Compact"/>
              <w:spacing w:after="0" w:before="0" w:line="240" w:lineRule="auto"/>
              <w:jc w:val="left"/>
            </w:pPr>
            <w:r>
              <w:rPr>
                <w:rFonts w:ascii="Arial" w:hAnsi="Arial"/>
                <w:sz w:val="15"/>
              </w:rPr>
              <w:t xml:space="preserve">5-yr average</w:t>
            </w:r>
          </w:p>
        </w:tc>
        <w:tc>
          <w:tcPr>
            <w:tcW w:type="dxa" w:w="2297"/>
            <w:shd w:val="clear" w:color="auto" w:fill="F1F2F5"/>
          </w:tcPr>
          <w:p>
            <w:pPr>
              <w:pStyle w:val="Compact"/>
              <w:spacing w:after="0" w:before="0" w:line="240" w:lineRule="auto"/>
              <w:jc w:val="right"/>
            </w:pPr>
            <w:r>
              <w:rPr>
                <w:rFonts w:ascii="Arial" w:hAnsi="Arial"/>
                <w:sz w:val="15"/>
              </w:rPr>
              <w:t xml:space="preserve">12.9x</w:t>
            </w:r>
          </w:p>
        </w:tc>
        <w:tc>
          <w:tcPr>
            <w:tcW w:type="dxa" w:w="4053"/>
            <w:shd w:val="clear" w:color="auto" w:fill="F1F2F5"/>
          </w:tcPr>
          <w:p>
            <w:pPr>
              <w:pStyle w:val="Compact"/>
              <w:spacing w:after="0" w:before="0" w:line="240" w:lineRule="auto"/>
              <w:jc w:val="right"/>
            </w:pPr>
            <w:r>
              <w:rPr>
                <w:rFonts w:ascii="Arial" w:hAnsi="Arial"/>
                <w:sz w:val="15"/>
              </w:rPr>
              <w:t xml:space="preserve">JPY2,400 (+42%)</w:t>
            </w:r>
          </w:p>
        </w:tc>
      </w:tr>
      <w:tr>
        <w:trPr>
          <w:cantSplit/>
        </w:trPr>
        <w:tc>
          <w:tcPr>
            <w:tcW w:type="dxa" w:w="3628"/>
          </w:tcPr>
          <w:p>
            <w:pPr>
              <w:pStyle w:val="Compact"/>
              <w:spacing w:after="0" w:before="0" w:line="240" w:lineRule="auto"/>
              <w:jc w:val="left"/>
            </w:pPr>
            <w:r>
              <w:rPr>
                <w:rFonts w:ascii="Arial" w:hAnsi="Arial"/>
                <w:sz w:val="15"/>
              </w:rPr>
              <w:t xml:space="preserve">10-yr average</w:t>
            </w:r>
          </w:p>
        </w:tc>
        <w:tc>
          <w:tcPr>
            <w:tcW w:type="dxa" w:w="2297"/>
          </w:tcPr>
          <w:p>
            <w:pPr>
              <w:pStyle w:val="Compact"/>
              <w:spacing w:after="0" w:before="0" w:line="240" w:lineRule="auto"/>
              <w:jc w:val="right"/>
            </w:pPr>
            <w:r>
              <w:rPr>
                <w:rFonts w:ascii="Arial" w:hAnsi="Arial"/>
                <w:sz w:val="15"/>
              </w:rPr>
              <w:t xml:space="preserve">13.7x</w:t>
            </w:r>
          </w:p>
        </w:tc>
        <w:tc>
          <w:tcPr>
            <w:tcW w:type="dxa" w:w="4053"/>
          </w:tcPr>
          <w:p>
            <w:pPr>
              <w:pStyle w:val="Compact"/>
              <w:spacing w:after="0" w:before="0" w:line="240" w:lineRule="auto"/>
              <w:jc w:val="right"/>
            </w:pPr>
            <w:r>
              <w:rPr>
                <w:rFonts w:ascii="Arial" w:hAnsi="Arial"/>
                <w:sz w:val="15"/>
              </w:rPr>
              <w:t xml:space="preserve">JPY2,570 (+52%)</w:t>
            </w:r>
          </w:p>
        </w:tc>
      </w:tr>
    </w:tbl>
    <w:p>
      <w:pPr>
        <w:pStyle w:val="BodyText"/>
      </w:pPr>
      <w:r>
        <w:t xml:space="preserve">Part of the de-rating is structural. After the Evident sale Olympus is a pure medtech business, and its FDA record since 2022 warrants a discount.</w:t>
      </w:r>
      <w:r>
        <w:t xml:space="preserve"> </w:t>
      </w:r>
      <w:r>
        <w:rPr>
          <w:bCs/>
          <w:b/>
        </w:rPr>
        <w:t xml:space="preserve">We therefore anchor on the 3-year average rather than the 10-year.</w:t>
      </w:r>
    </w:p>
    <w:bookmarkEnd w:id="93"/>
    <w:bookmarkStart w:id="97" w:name="regression-tevsales-vs-ebit-margin"/>
    <w:p>
      <w:pPr>
        <w:pStyle w:val="Heading2"/>
      </w:pPr>
      <w:r>
        <w:t xml:space="preserve">Regression: TEV/Sales vs EBIT margin</w:t>
      </w:r>
    </w:p>
    <w:p>
      <w:pPr>
        <w:pStyle w:val="CaptionedFigure"/>
      </w:pPr>
      <w:r>
        <w:drawing>
          <wp:inline>
            <wp:extent cx="6261100" cy="3593942"/>
            <wp:effectExtent b="0" l="0" r="0" t="0"/>
            <wp:docPr descr="TEV/Sales vs EBIT margin regression" title="" id="95" name="Picture"/>
            <a:graphic>
              <a:graphicData uri="http://schemas.openxmlformats.org/drawingml/2006/picture">
                <pic:pic>
                  <pic:nvPicPr>
                    <pic:cNvPr descr="../charts/regression.png" id="96" name="Picture"/>
                    <pic:cNvPicPr>
                      <a:picLocks noChangeArrowheads="1" noChangeAspect="1"/>
                    </pic:cNvPicPr>
                  </pic:nvPicPr>
                  <pic:blipFill>
                    <a:blip r:embed="rId94"/>
                    <a:stretch>
                      <a:fillRect/>
                    </a:stretch>
                  </pic:blipFill>
                  <pic:spPr bwMode="auto">
                    <a:xfrm>
                      <a:off x="0" y="0"/>
                      <a:ext cx="6261100" cy="3593942"/>
                    </a:xfrm>
                    <a:prstGeom prst="rect">
                      <a:avLst/>
                    </a:prstGeom>
                    <a:noFill/>
                    <a:ln w="9525">
                      <a:noFill/>
                      <a:headEnd/>
                      <a:tailEnd/>
                    </a:ln>
                  </pic:spPr>
                </pic:pic>
              </a:graphicData>
            </a:graphic>
          </wp:inline>
        </w:drawing>
      </w:r>
    </w:p>
    <w:p>
      <w:pPr>
        <w:pStyle w:val="ImageCaption"/>
      </w:pPr>
      <w:r>
        <w:t xml:space="preserve">TEV/Sales vs EBIT margin regression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409"/>
        <w:gridCol w:w="450"/>
        <w:gridCol w:w="1673"/>
        <w:gridCol w:w="720"/>
        <w:gridCol w:w="1948"/>
        <w:gridCol w:w="1775"/>
      </w:tblGrid>
      <w:tr>
        <w:trPr>
          <w:tblHeader w:val="true"/>
          <w:tblHeader w:val="true"/>
          <w:cantSplit/>
        </w:trPr>
        <w:tc>
          <w:tcPr>
            <w:tcW w:type="dxa" w:w="3409"/>
            <w:shd w:val="clear" w:color="auto" w:fill="13213F"/>
          </w:tcPr>
          <w:p>
            <w:pPr>
              <w:pStyle w:val="Compact"/>
              <w:spacing w:after="0" w:before="0" w:line="240" w:lineRule="auto"/>
              <w:jc w:val="left"/>
            </w:pPr>
            <w:r>
              <w:rPr>
                <w:rFonts w:ascii="Arial" w:hAnsi="Arial"/>
                <w:b/>
                <w:color w:val="FFFFFF"/>
                <w:sz w:val="15"/>
              </w:rPr>
              <w:t xml:space="preserve">Specification</w:t>
            </w:r>
          </w:p>
        </w:tc>
        <w:tc>
          <w:tcPr>
            <w:tcW w:type="dxa" w:w="451"/>
            <w:shd w:val="clear" w:color="auto" w:fill="13213F"/>
          </w:tcPr>
          <w:p>
            <w:pPr>
              <w:pStyle w:val="Compact"/>
              <w:spacing w:after="0" w:before="0" w:line="240" w:lineRule="auto"/>
              <w:jc w:val="right"/>
            </w:pPr>
            <w:r>
              <w:rPr>
                <w:rFonts w:ascii="Arial" w:hAnsi="Arial"/>
                <w:b/>
                <w:color w:val="FFFFFF"/>
                <w:sz w:val="15"/>
              </w:rPr>
              <w:t xml:space="preserve">n</w:t>
            </w:r>
          </w:p>
        </w:tc>
        <w:tc>
          <w:tcPr>
            <w:tcW w:type="dxa" w:w="1673"/>
            <w:shd w:val="clear" w:color="auto" w:fill="13213F"/>
          </w:tcPr>
          <w:p>
            <w:pPr>
              <w:pStyle w:val="Compact"/>
              <w:spacing w:after="0" w:before="0" w:line="240" w:lineRule="auto"/>
              <w:jc w:val="right"/>
            </w:pPr>
            <w:r>
              <w:rPr>
                <w:rFonts w:ascii="Arial" w:hAnsi="Arial"/>
                <w:b/>
                <w:color w:val="FFFFFF"/>
                <w:sz w:val="15"/>
              </w:rPr>
              <w:t xml:space="preserve">Slope (per 1pt EBIT margin)</w:t>
            </w:r>
          </w:p>
        </w:tc>
        <w:tc>
          <w:tcPr>
            <w:tcW w:type="dxa" w:w="720"/>
            <w:shd w:val="clear" w:color="auto" w:fill="13213F"/>
          </w:tcPr>
          <w:p>
            <w:pPr>
              <w:pStyle w:val="Compact"/>
              <w:spacing w:after="0" w:before="0" w:line="240" w:lineRule="auto"/>
              <w:jc w:val="right"/>
            </w:pPr>
            <w:r>
              <w:rPr>
                <w:rFonts w:ascii="Arial" w:hAnsi="Arial"/>
                <w:b/>
                <w:color w:val="FFFFFF"/>
                <w:sz w:val="15"/>
              </w:rPr>
              <w:t xml:space="preserve">R²</w:t>
            </w:r>
          </w:p>
        </w:tc>
        <w:tc>
          <w:tcPr>
            <w:tcW w:type="dxa" w:w="1949"/>
            <w:shd w:val="clear" w:color="auto" w:fill="13213F"/>
          </w:tcPr>
          <w:p>
            <w:pPr>
              <w:pStyle w:val="Compact"/>
              <w:spacing w:after="0" w:before="0" w:line="240" w:lineRule="auto"/>
              <w:jc w:val="right"/>
            </w:pPr>
            <w:r>
              <w:rPr>
                <w:rFonts w:ascii="Arial" w:hAnsi="Arial"/>
                <w:b/>
                <w:color w:val="FFFFFF"/>
                <w:sz w:val="15"/>
              </w:rPr>
              <w:t xml:space="preserve">Implied TEV/Sales for Olympus</w:t>
            </w:r>
          </w:p>
        </w:tc>
        <w:tc>
          <w:tcPr>
            <w:tcW w:type="dxa" w:w="1776"/>
            <w:shd w:val="clear" w:color="auto" w:fill="13213F"/>
          </w:tcPr>
          <w:p>
            <w:pPr>
              <w:pStyle w:val="Compact"/>
              <w:spacing w:after="0" w:before="0" w:line="240" w:lineRule="auto"/>
              <w:jc w:val="right"/>
            </w:pPr>
            <w:r>
              <w:rPr>
                <w:rFonts w:ascii="Arial" w:hAnsi="Arial"/>
                <w:b/>
                <w:color w:val="FFFFFF"/>
                <w:sz w:val="15"/>
              </w:rPr>
              <w:t xml:space="preserve">Implied value per share</w:t>
            </w:r>
          </w:p>
        </w:tc>
      </w:tr>
      <w:tr>
        <w:trPr>
          <w:cantSplit/>
        </w:trPr>
        <w:tc>
          <w:tcPr>
            <w:tcW w:type="dxa" w:w="3409"/>
          </w:tcPr>
          <w:p>
            <w:pPr>
              <w:pStyle w:val="Compact"/>
              <w:spacing w:after="0" w:before="0" w:line="240" w:lineRule="auto"/>
              <w:jc w:val="left"/>
            </w:pPr>
            <w:r>
              <w:rPr>
                <w:rFonts w:ascii="Arial" w:hAnsi="Arial"/>
                <w:sz w:val="15"/>
              </w:rPr>
              <w:t xml:space="preserve">Simple OLS, all peers</w:t>
            </w:r>
          </w:p>
        </w:tc>
        <w:tc>
          <w:tcPr>
            <w:tcW w:type="dxa" w:w="451"/>
          </w:tcPr>
          <w:p>
            <w:pPr>
              <w:pStyle w:val="Compact"/>
              <w:spacing w:after="0" w:before="0" w:line="240" w:lineRule="auto"/>
              <w:jc w:val="right"/>
            </w:pPr>
            <w:r>
              <w:rPr>
                <w:rFonts w:ascii="Arial" w:hAnsi="Arial"/>
                <w:sz w:val="15"/>
              </w:rPr>
              <w:t xml:space="preserve">31</w:t>
            </w:r>
          </w:p>
        </w:tc>
        <w:tc>
          <w:tcPr>
            <w:tcW w:type="dxa" w:w="1673"/>
          </w:tcPr>
          <w:p>
            <w:pPr>
              <w:pStyle w:val="Compact"/>
              <w:spacing w:after="0" w:before="0" w:line="240" w:lineRule="auto"/>
              <w:jc w:val="right"/>
            </w:pPr>
            <w:r>
              <w:rPr>
                <w:rFonts w:ascii="Arial" w:hAnsi="Arial"/>
                <w:sz w:val="15"/>
              </w:rPr>
              <w:t xml:space="preserve">0.258 (s.e. 0.033)</w:t>
            </w:r>
          </w:p>
        </w:tc>
        <w:tc>
          <w:tcPr>
            <w:tcW w:type="dxa" w:w="720"/>
          </w:tcPr>
          <w:p>
            <w:pPr>
              <w:pStyle w:val="Compact"/>
              <w:spacing w:after="0" w:before="0" w:line="240" w:lineRule="auto"/>
              <w:jc w:val="right"/>
            </w:pPr>
            <w:r>
              <w:rPr>
                <w:rFonts w:ascii="Arial" w:hAnsi="Arial"/>
                <w:sz w:val="15"/>
              </w:rPr>
              <w:t xml:space="preserve">0.68</w:t>
            </w:r>
          </w:p>
        </w:tc>
        <w:tc>
          <w:tcPr>
            <w:tcW w:type="dxa" w:w="1949"/>
          </w:tcPr>
          <w:p>
            <w:pPr>
              <w:pStyle w:val="Compact"/>
              <w:spacing w:after="0" w:before="0" w:line="240" w:lineRule="auto"/>
              <w:jc w:val="right"/>
            </w:pPr>
            <w:r>
              <w:rPr>
                <w:rFonts w:ascii="Arial" w:hAnsi="Arial"/>
                <w:sz w:val="15"/>
              </w:rPr>
              <w:t xml:space="preserve">2.98x (+56%)</w:t>
            </w:r>
          </w:p>
        </w:tc>
        <w:tc>
          <w:tcPr>
            <w:tcW w:type="dxa" w:w="1776"/>
          </w:tcPr>
          <w:p>
            <w:pPr>
              <w:pStyle w:val="Compact"/>
              <w:spacing w:after="0" w:before="0" w:line="240" w:lineRule="auto"/>
              <w:jc w:val="right"/>
            </w:pPr>
            <w:r>
              <w:rPr>
                <w:rFonts w:ascii="Arial" w:hAnsi="Arial"/>
                <w:sz w:val="15"/>
              </w:rPr>
              <w:t xml:space="preserve">JPY2,740</w:t>
            </w:r>
          </w:p>
        </w:tc>
      </w:tr>
      <w:tr>
        <w:trPr>
          <w:cantSplit/>
        </w:trPr>
        <w:tc>
          <w:tcPr>
            <w:tcW w:type="dxa" w:w="3409"/>
            <w:shd w:val="clear" w:color="auto" w:fill="F1F2F5"/>
          </w:tcPr>
          <w:p>
            <w:pPr>
              <w:pStyle w:val="Compact"/>
              <w:spacing w:after="0" w:before="0" w:line="240" w:lineRule="auto"/>
              <w:jc w:val="left"/>
            </w:pPr>
            <w:r>
              <w:rPr>
                <w:rFonts w:ascii="Arial" w:hAnsi="Arial"/>
                <w:sz w:val="15"/>
              </w:rPr>
              <w:t xml:space="preserve">With Japan dummy (dummy -0.53, s.e. 0.62; not significant)</w:t>
            </w:r>
          </w:p>
        </w:tc>
        <w:tc>
          <w:tcPr>
            <w:tcW w:type="dxa" w:w="451"/>
            <w:shd w:val="clear" w:color="auto" w:fill="F1F2F5"/>
          </w:tcPr>
          <w:p>
            <w:pPr>
              <w:pStyle w:val="Compact"/>
              <w:spacing w:after="0" w:before="0" w:line="240" w:lineRule="auto"/>
              <w:jc w:val="right"/>
            </w:pPr>
            <w:r>
              <w:rPr>
                <w:rFonts w:ascii="Arial" w:hAnsi="Arial"/>
                <w:sz w:val="15"/>
              </w:rPr>
              <w:t xml:space="preserve">31</w:t>
            </w:r>
          </w:p>
        </w:tc>
        <w:tc>
          <w:tcPr>
            <w:tcW w:type="dxa" w:w="1673"/>
            <w:shd w:val="clear" w:color="auto" w:fill="F1F2F5"/>
          </w:tcPr>
          <w:p>
            <w:pPr>
              <w:pStyle w:val="Compact"/>
              <w:spacing w:after="0" w:before="0" w:line="240" w:lineRule="auto"/>
              <w:jc w:val="right"/>
            </w:pPr>
            <w:r>
              <w:rPr>
                <w:rFonts w:ascii="Arial" w:hAnsi="Arial"/>
                <w:sz w:val="15"/>
              </w:rPr>
              <w:t xml:space="preserve">0.259</w:t>
            </w:r>
          </w:p>
        </w:tc>
        <w:tc>
          <w:tcPr>
            <w:tcW w:type="dxa" w:w="720"/>
            <w:shd w:val="clear" w:color="auto" w:fill="F1F2F5"/>
          </w:tcPr>
          <w:p>
            <w:pPr>
              <w:pStyle w:val="Compact"/>
              <w:spacing w:after="0" w:before="0" w:line="240" w:lineRule="auto"/>
              <w:jc w:val="right"/>
            </w:pPr>
            <w:r>
              <w:rPr>
                <w:rFonts w:ascii="Arial" w:hAnsi="Arial"/>
                <w:sz w:val="15"/>
              </w:rPr>
              <w:t xml:space="preserve">0.69</w:t>
            </w:r>
          </w:p>
        </w:tc>
        <w:tc>
          <w:tcPr>
            <w:tcW w:type="dxa" w:w="1949"/>
            <w:shd w:val="clear" w:color="auto" w:fill="F1F2F5"/>
          </w:tcPr>
          <w:p>
            <w:pPr>
              <w:pStyle w:val="Compact"/>
              <w:spacing w:after="0" w:before="0" w:line="240" w:lineRule="auto"/>
              <w:jc w:val="right"/>
            </w:pPr>
            <w:r>
              <w:rPr>
                <w:rFonts w:ascii="Arial" w:hAnsi="Arial"/>
                <w:sz w:val="15"/>
              </w:rPr>
              <w:t xml:space="preserve">2.56x (+34%)</w:t>
            </w:r>
          </w:p>
        </w:tc>
        <w:tc>
          <w:tcPr>
            <w:tcW w:type="dxa" w:w="1776"/>
            <w:shd w:val="clear" w:color="auto" w:fill="F1F2F5"/>
          </w:tcPr>
          <w:p>
            <w:pPr>
              <w:pStyle w:val="Compact"/>
              <w:spacing w:after="0" w:before="0" w:line="240" w:lineRule="auto"/>
              <w:jc w:val="right"/>
            </w:pPr>
            <w:r>
              <w:rPr>
                <w:bCs/>
                <w:rFonts w:ascii="Arial" w:hAnsi="Arial"/>
                <w:b/>
                <w:sz w:val="15"/>
              </w:rPr>
              <w:t xml:space="preserve">JPY2,330</w:t>
            </w:r>
          </w:p>
        </w:tc>
      </w:tr>
      <w:tr>
        <w:trPr>
          <w:cantSplit/>
        </w:trPr>
        <w:tc>
          <w:tcPr>
            <w:tcW w:type="dxa" w:w="3409"/>
          </w:tcPr>
          <w:p>
            <w:pPr>
              <w:pStyle w:val="Compact"/>
              <w:spacing w:after="0" w:before="0" w:line="240" w:lineRule="auto"/>
              <w:jc w:val="left"/>
            </w:pPr>
            <w:r>
              <w:rPr>
                <w:rFonts w:ascii="Arial" w:hAnsi="Arial"/>
                <w:sz w:val="15"/>
              </w:rPr>
              <w:t xml:space="preserve">Excluding Intuitive, HOYA and SonoScape</w:t>
            </w:r>
          </w:p>
        </w:tc>
        <w:tc>
          <w:tcPr>
            <w:tcW w:type="dxa" w:w="451"/>
          </w:tcPr>
          <w:p>
            <w:pPr>
              <w:pStyle w:val="Compact"/>
              <w:spacing w:after="0" w:before="0" w:line="240" w:lineRule="auto"/>
              <w:jc w:val="right"/>
            </w:pPr>
            <w:r>
              <w:rPr>
                <w:rFonts w:ascii="Arial" w:hAnsi="Arial"/>
                <w:sz w:val="15"/>
              </w:rPr>
              <w:t xml:space="preserve">28</w:t>
            </w:r>
          </w:p>
        </w:tc>
        <w:tc>
          <w:tcPr>
            <w:tcW w:type="dxa" w:w="1673"/>
          </w:tcPr>
          <w:p>
            <w:pPr>
              <w:pStyle w:val="Compact"/>
              <w:spacing w:after="0" w:before="0" w:line="240" w:lineRule="auto"/>
              <w:jc w:val="right"/>
            </w:pPr>
            <w:r>
              <w:rPr>
                <w:rFonts w:ascii="Arial" w:hAnsi="Arial"/>
                <w:sz w:val="15"/>
              </w:rPr>
              <w:t xml:space="preserve">0.206</w:t>
            </w:r>
          </w:p>
        </w:tc>
        <w:tc>
          <w:tcPr>
            <w:tcW w:type="dxa" w:w="720"/>
          </w:tcPr>
          <w:p>
            <w:pPr>
              <w:pStyle w:val="Compact"/>
              <w:spacing w:after="0" w:before="0" w:line="240" w:lineRule="auto"/>
              <w:jc w:val="right"/>
            </w:pPr>
            <w:r>
              <w:rPr>
                <w:rFonts w:ascii="Arial" w:hAnsi="Arial"/>
                <w:sz w:val="15"/>
              </w:rPr>
              <w:t xml:space="preserve">0.81</w:t>
            </w:r>
          </w:p>
        </w:tc>
        <w:tc>
          <w:tcPr>
            <w:tcW w:type="dxa" w:w="1949"/>
          </w:tcPr>
          <w:p>
            <w:pPr>
              <w:pStyle w:val="Compact"/>
              <w:spacing w:after="0" w:before="0" w:line="240" w:lineRule="auto"/>
              <w:jc w:val="right"/>
            </w:pPr>
            <w:r>
              <w:rPr>
                <w:rFonts w:ascii="Arial" w:hAnsi="Arial"/>
                <w:sz w:val="15"/>
              </w:rPr>
              <w:t xml:space="preserve">2.79x (+46%)</w:t>
            </w:r>
          </w:p>
        </w:tc>
        <w:tc>
          <w:tcPr>
            <w:tcW w:type="dxa" w:w="1776"/>
          </w:tcPr>
          <w:p>
            <w:pPr>
              <w:pStyle w:val="Compact"/>
              <w:spacing w:after="0" w:before="0" w:line="240" w:lineRule="auto"/>
              <w:jc w:val="right"/>
            </w:pPr>
            <w:r>
              <w:rPr>
                <w:rFonts w:ascii="Arial" w:hAnsi="Arial"/>
                <w:sz w:val="15"/>
              </w:rPr>
              <w:t xml:space="preserve">JPY2,555</w:t>
            </w:r>
          </w:p>
        </w:tc>
      </w:tr>
      <w:tr>
        <w:trPr>
          <w:cantSplit/>
        </w:trPr>
        <w:tc>
          <w:tcPr>
            <w:tcW w:type="dxa" w:w="3409"/>
            <w:shd w:val="clear" w:color="auto" w:fill="F1F2F5"/>
          </w:tcPr>
          <w:p>
            <w:pPr>
              <w:pStyle w:val="Compact"/>
              <w:spacing w:after="0" w:before="0" w:line="240" w:lineRule="auto"/>
              <w:jc w:val="left"/>
            </w:pPr>
            <w:r>
              <w:rPr>
                <w:rFonts w:ascii="Arial" w:hAnsi="Arial"/>
                <w:sz w:val="15"/>
              </w:rPr>
              <w:t xml:space="preserve">Simple OLS at our FY3/27E adjusted margin (16.0%)</w:t>
            </w:r>
          </w:p>
        </w:tc>
        <w:tc>
          <w:tcPr>
            <w:tcW w:type="dxa" w:w="451"/>
            <w:shd w:val="clear" w:color="auto" w:fill="F1F2F5"/>
          </w:tcPr>
          <w:p>
            <w:pPr>
              <w:pStyle w:val="Compact"/>
              <w:spacing w:after="0" w:before="0" w:line="240" w:lineRule="auto"/>
              <w:jc w:val="right"/>
            </w:pPr>
            <w:r>
              <w:rPr>
                <w:rFonts w:ascii="Arial" w:hAnsi="Arial"/>
                <w:sz w:val="15"/>
              </w:rPr>
              <w:t xml:space="preserve">31</w:t>
            </w:r>
          </w:p>
        </w:tc>
        <w:tc>
          <w:tcPr>
            <w:tcW w:type="dxa" w:w="1673"/>
            <w:shd w:val="clear" w:color="auto" w:fill="F1F2F5"/>
          </w:tcPr>
          <w:p>
            <w:pPr>
              <w:pStyle w:val="Compact"/>
              <w:spacing w:after="0" w:before="0" w:line="240" w:lineRule="auto"/>
              <w:jc w:val="right"/>
            </w:pPr>
            <w:r>
              <w:rPr>
                <w:rFonts w:ascii="Arial" w:hAnsi="Arial"/>
                <w:sz w:val="15"/>
              </w:rPr>
              <w:t xml:space="preserve">0.258</w:t>
            </w:r>
          </w:p>
        </w:tc>
        <w:tc>
          <w:tcPr>
            <w:tcW w:type="dxa" w:w="720"/>
            <w:shd w:val="clear" w:color="auto" w:fill="F1F2F5"/>
          </w:tcPr>
          <w:p>
            <w:pPr>
              <w:pStyle w:val="Compact"/>
              <w:spacing w:after="0" w:before="0" w:line="240" w:lineRule="auto"/>
              <w:jc w:val="right"/>
            </w:pPr>
            <w:r>
              <w:rPr>
                <w:rFonts w:ascii="Arial" w:hAnsi="Arial"/>
                <w:sz w:val="15"/>
              </w:rPr>
              <w:t xml:space="preserve">0.68</w:t>
            </w:r>
          </w:p>
        </w:tc>
        <w:tc>
          <w:tcPr>
            <w:tcW w:type="dxa" w:w="1949"/>
            <w:shd w:val="clear" w:color="auto" w:fill="F1F2F5"/>
          </w:tcPr>
          <w:p>
            <w:pPr>
              <w:pStyle w:val="Compact"/>
              <w:spacing w:after="0" w:before="0" w:line="240" w:lineRule="auto"/>
              <w:jc w:val="right"/>
            </w:pPr>
            <w:r>
              <w:rPr>
                <w:rFonts w:ascii="Arial" w:hAnsi="Arial"/>
                <w:sz w:val="15"/>
              </w:rPr>
              <w:t xml:space="preserve">3.39x</w:t>
            </w:r>
          </w:p>
        </w:tc>
        <w:tc>
          <w:tcPr>
            <w:tcW w:type="dxa" w:w="1776"/>
            <w:shd w:val="clear" w:color="auto" w:fill="F1F2F5"/>
          </w:tcPr>
          <w:p>
            <w:pPr>
              <w:pStyle w:val="Compact"/>
              <w:spacing w:after="0" w:before="0" w:line="240" w:lineRule="auto"/>
              <w:jc w:val="right"/>
            </w:pPr>
            <w:r>
              <w:rPr>
                <w:rFonts w:ascii="Arial" w:hAnsi="Arial"/>
                <w:sz w:val="15"/>
              </w:rPr>
              <w:t xml:space="preserve">n/m (forward)</w:t>
            </w:r>
          </w:p>
        </w:tc>
      </w:tr>
    </w:tbl>
    <w:p>
      <w:pPr>
        <w:pStyle w:val="BodyText"/>
      </w:pPr>
      <w:r>
        <w:rPr>
          <w:iCs/>
          <w:i/>
        </w:rPr>
        <w:t xml:space="preserve">Peers with negative EBIT (Aohua, MicroPort) are excluded. Implied value = (implied TEV/Sales × LTM sales of JPY1,045bn − net debt of JPY200bn) / 1,062.8m shares.</w:t>
      </w:r>
    </w:p>
    <w:p>
      <w:pPr>
        <w:pStyle w:val="BodyText"/>
      </w:pPr>
      <w:r>
        <w:rPr>
          <w:bCs/>
          <w:b/>
        </w:rPr>
        <w:t xml:space="preserve">Conclusion.</w:t>
      </w:r>
      <w:r>
        <w:t xml:space="preserve"> </w:t>
      </w:r>
      <w:r>
        <w:t xml:space="preserve">Every specification puts Olympus 34–56% below the line. The regression explains about two-thirds of peer dispersion with one variable and cannot price an open FDA matter.</w:t>
      </w:r>
      <w:r>
        <w:t xml:space="preserve"> </w:t>
      </w:r>
      <w:r>
        <w:rPr>
          <w:bCs/>
          <w:b/>
        </w:rPr>
        <w:t xml:space="preserve">We use the conservative Japan-dummy result (JPY2,330) as one of four inputs to our target.</w:t>
      </w:r>
    </w:p>
    <w:bookmarkEnd w:id="97"/>
    <w:bookmarkStart w:id="98" w:name="listed-and-unlisted-competitors"/>
    <w:p>
      <w:pPr>
        <w:pStyle w:val="Heading2"/>
      </w:pPr>
      <w:r>
        <w:t xml:space="preserve">Listed and unlisted competitors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628"/>
        <w:gridCol w:w="2966"/>
        <w:gridCol w:w="4382"/>
      </w:tblGrid>
      <w:tr>
        <w:trPr>
          <w:tblHeader w:val="true"/>
          <w:tblHeader w:val="true"/>
          <w:cantSplit/>
        </w:trPr>
        <w:tc>
          <w:tcPr>
            <w:tcW w:type="dxa" w:w="2629"/>
            <w:shd w:val="clear" w:color="auto" w:fill="13213F"/>
          </w:tcPr>
          <w:p>
            <w:pPr>
              <w:pStyle w:val="Compact"/>
              <w:spacing w:after="0" w:before="0" w:line="240" w:lineRule="auto"/>
              <w:jc w:val="left"/>
            </w:pPr>
            <w:r>
              <w:rPr>
                <w:rFonts w:ascii="Arial" w:hAnsi="Arial"/>
                <w:b/>
                <w:color w:val="FFFFFF"/>
                <w:sz w:val="15"/>
              </w:rPr>
              <w:t xml:space="preserve">Company</w:t>
            </w:r>
          </w:p>
        </w:tc>
        <w:tc>
          <w:tcPr>
            <w:tcW w:type="dxa" w:w="2966"/>
            <w:shd w:val="clear" w:color="auto" w:fill="13213F"/>
          </w:tcPr>
          <w:p>
            <w:pPr>
              <w:pStyle w:val="Compact"/>
              <w:spacing w:after="0" w:before="0" w:line="240" w:lineRule="auto"/>
              <w:jc w:val="left"/>
            </w:pPr>
            <w:r>
              <w:rPr>
                <w:rFonts w:ascii="Arial" w:hAnsi="Arial"/>
                <w:b/>
                <w:color w:val="FFFFFF"/>
                <w:sz w:val="15"/>
              </w:rPr>
              <w:t xml:space="preserve">Status</w:t>
            </w:r>
          </w:p>
        </w:tc>
        <w:tc>
          <w:tcPr>
            <w:tcW w:type="dxa" w:w="4383"/>
            <w:shd w:val="clear" w:color="auto" w:fill="13213F"/>
          </w:tcPr>
          <w:p>
            <w:pPr>
              <w:pStyle w:val="Compact"/>
              <w:spacing w:after="0" w:before="0" w:line="240" w:lineRule="auto"/>
              <w:jc w:val="left"/>
            </w:pPr>
            <w:r>
              <w:rPr>
                <w:rFonts w:ascii="Arial" w:hAnsi="Arial"/>
                <w:b/>
                <w:color w:val="FFFFFF"/>
                <w:sz w:val="15"/>
              </w:rPr>
              <w:t xml:space="preserve">Relevance</w:t>
            </w:r>
          </w:p>
        </w:tc>
      </w:tr>
      <w:tr>
        <w:trPr>
          <w:cantSplit/>
        </w:trPr>
        <w:tc>
          <w:tcPr>
            <w:tcW w:type="dxa" w:w="2629"/>
          </w:tcPr>
          <w:p>
            <w:pPr>
              <w:pStyle w:val="Compact"/>
              <w:spacing w:after="0" w:before="0" w:line="240" w:lineRule="auto"/>
              <w:jc w:val="left"/>
            </w:pPr>
            <w:r>
              <w:rPr>
                <w:rFonts w:ascii="Arial" w:hAnsi="Arial"/>
                <w:sz w:val="15"/>
              </w:rPr>
              <w:t xml:space="preserve">FUJIFILM endoscopy</w:t>
            </w:r>
          </w:p>
        </w:tc>
        <w:tc>
          <w:tcPr>
            <w:tcW w:type="dxa" w:w="2966"/>
          </w:tcPr>
          <w:p>
            <w:pPr>
              <w:pStyle w:val="Compact"/>
              <w:spacing w:after="0" w:before="0" w:line="240" w:lineRule="auto"/>
              <w:jc w:val="left"/>
            </w:pPr>
            <w:r>
              <w:rPr>
                <w:rFonts w:ascii="Arial" w:hAnsi="Arial"/>
                <w:sz w:val="15"/>
              </w:rPr>
              <w:t xml:space="preserve">Division of FUJIFILM Holdings (4901 JP)</w:t>
            </w:r>
          </w:p>
        </w:tc>
        <w:tc>
          <w:tcPr>
            <w:tcW w:type="dxa" w:w="4383"/>
          </w:tcPr>
          <w:p>
            <w:pPr>
              <w:pStyle w:val="Compact"/>
              <w:spacing w:after="0" w:before="0" w:line="240" w:lineRule="auto"/>
              <w:jc w:val="left"/>
            </w:pPr>
            <w:r>
              <w:rPr>
                <w:rFonts w:ascii="Arial" w:hAnsi="Arial"/>
                <w:sz w:val="15"/>
              </w:rPr>
              <w:t xml:space="preserve">#2 in flexible GI endoscopy; strong in Japan and China</w:t>
            </w:r>
          </w:p>
        </w:tc>
      </w:tr>
      <w:tr>
        <w:trPr>
          <w:cantSplit/>
        </w:trPr>
        <w:tc>
          <w:tcPr>
            <w:tcW w:type="dxa" w:w="2629"/>
            <w:shd w:val="clear" w:color="auto" w:fill="F1F2F5"/>
          </w:tcPr>
          <w:p>
            <w:pPr>
              <w:pStyle w:val="Compact"/>
              <w:spacing w:after="0" w:before="0" w:line="240" w:lineRule="auto"/>
              <w:jc w:val="left"/>
            </w:pPr>
            <w:r>
              <w:rPr>
                <w:rFonts w:ascii="Arial" w:hAnsi="Arial"/>
                <w:sz w:val="15"/>
              </w:rPr>
              <w:t xml:space="preserve">PENTAX Medical</w:t>
            </w:r>
          </w:p>
        </w:tc>
        <w:tc>
          <w:tcPr>
            <w:tcW w:type="dxa" w:w="2966"/>
            <w:shd w:val="clear" w:color="auto" w:fill="F1F2F5"/>
          </w:tcPr>
          <w:p>
            <w:pPr>
              <w:pStyle w:val="Compact"/>
              <w:spacing w:after="0" w:before="0" w:line="240" w:lineRule="auto"/>
              <w:jc w:val="left"/>
            </w:pPr>
            <w:r>
              <w:rPr>
                <w:rFonts w:ascii="Arial" w:hAnsi="Arial"/>
                <w:sz w:val="15"/>
              </w:rPr>
              <w:t xml:space="preserve">Division of HOYA (7741 JP);</w:t>
            </w:r>
            <w:r>
              <w:rPr>
                <w:rFonts w:ascii="Arial" w:hAnsi="Arial"/>
                <w:sz w:val="15"/>
              </w:rPr>
              <w:t xml:space="preserve"> </w:t>
            </w:r>
            <w:r>
              <w:rPr>
                <w:bCs/>
                <w:rFonts w:ascii="Arial" w:hAnsi="Arial"/>
                <w:b/>
                <w:sz w:val="15"/>
              </w:rPr>
              <w:t xml:space="preserve">strategic review including sale (31-Jul-2026)</w:t>
            </w:r>
          </w:p>
        </w:tc>
        <w:tc>
          <w:tcPr>
            <w:tcW w:type="dxa" w:w="4383"/>
            <w:shd w:val="clear" w:color="auto" w:fill="F1F2F5"/>
          </w:tcPr>
          <w:p>
            <w:pPr>
              <w:pStyle w:val="Compact"/>
              <w:spacing w:after="0" w:before="0" w:line="240" w:lineRule="auto"/>
              <w:jc w:val="left"/>
            </w:pPr>
            <w:r>
              <w:rPr>
                <w:rFonts w:ascii="Arial" w:hAnsi="Arial"/>
                <w:sz w:val="15"/>
              </w:rPr>
              <w:t xml:space="preserve">#3 in GI endoscopy; a sale price would be the best pure-play comp</w:t>
            </w:r>
          </w:p>
        </w:tc>
      </w:tr>
      <w:tr>
        <w:trPr>
          <w:cantSplit/>
        </w:trPr>
        <w:tc>
          <w:tcPr>
            <w:tcW w:type="dxa" w:w="2629"/>
          </w:tcPr>
          <w:p>
            <w:pPr>
              <w:pStyle w:val="Compact"/>
              <w:spacing w:after="0" w:before="0" w:line="240" w:lineRule="auto"/>
              <w:jc w:val="left"/>
            </w:pPr>
            <w:r>
              <w:rPr>
                <w:rFonts w:ascii="Arial" w:hAnsi="Arial"/>
                <w:sz w:val="15"/>
              </w:rPr>
              <w:t xml:space="preserve">Karl Storz</w:t>
            </w:r>
          </w:p>
        </w:tc>
        <w:tc>
          <w:tcPr>
            <w:tcW w:type="dxa" w:w="2966"/>
          </w:tcPr>
          <w:p>
            <w:pPr>
              <w:pStyle w:val="Compact"/>
              <w:spacing w:after="0" w:before="0" w:line="240" w:lineRule="auto"/>
              <w:jc w:val="left"/>
            </w:pPr>
            <w:r>
              <w:rPr>
                <w:rFonts w:ascii="Arial" w:hAnsi="Arial"/>
                <w:sz w:val="15"/>
              </w:rPr>
              <w:t xml:space="preserve">Private (family-owned)</w:t>
            </w:r>
          </w:p>
        </w:tc>
        <w:tc>
          <w:tcPr>
            <w:tcW w:type="dxa" w:w="4383"/>
          </w:tcPr>
          <w:p>
            <w:pPr>
              <w:pStyle w:val="Compact"/>
              <w:spacing w:after="0" w:before="0" w:line="240" w:lineRule="auto"/>
              <w:jc w:val="left"/>
            </w:pPr>
            <w:r>
              <w:rPr>
                <w:rFonts w:ascii="Arial" w:hAnsi="Arial"/>
                <w:sz w:val="15"/>
              </w:rPr>
              <w:t xml:space="preserve">#1–2 in rigid endoscopy, laparoscopy towers and urology</w:t>
            </w:r>
          </w:p>
        </w:tc>
      </w:tr>
      <w:tr>
        <w:trPr>
          <w:cantSplit/>
        </w:trPr>
        <w:tc>
          <w:tcPr>
            <w:tcW w:type="dxa" w:w="2629"/>
            <w:shd w:val="clear" w:color="auto" w:fill="F1F2F5"/>
          </w:tcPr>
          <w:p>
            <w:pPr>
              <w:pStyle w:val="Compact"/>
              <w:spacing w:after="0" w:before="0" w:line="240" w:lineRule="auto"/>
              <w:jc w:val="left"/>
            </w:pPr>
            <w:r>
              <w:rPr>
                <w:rFonts w:ascii="Arial" w:hAnsi="Arial"/>
                <w:sz w:val="15"/>
              </w:rPr>
              <w:t xml:space="preserve">Richard Wolf</w:t>
            </w:r>
          </w:p>
        </w:tc>
        <w:tc>
          <w:tcPr>
            <w:tcW w:type="dxa" w:w="2966"/>
            <w:shd w:val="clear" w:color="auto" w:fill="F1F2F5"/>
          </w:tcPr>
          <w:p>
            <w:pPr>
              <w:pStyle w:val="Compact"/>
              <w:spacing w:after="0" w:before="0" w:line="240" w:lineRule="auto"/>
              <w:jc w:val="left"/>
            </w:pPr>
            <w:r>
              <w:rPr>
                <w:rFonts w:ascii="Arial" w:hAnsi="Arial"/>
                <w:sz w:val="15"/>
              </w:rPr>
              <w:t xml:space="preserve">Private</w:t>
            </w:r>
          </w:p>
        </w:tc>
        <w:tc>
          <w:tcPr>
            <w:tcW w:type="dxa" w:w="4383"/>
            <w:shd w:val="clear" w:color="auto" w:fill="F1F2F5"/>
          </w:tcPr>
          <w:p>
            <w:pPr>
              <w:pStyle w:val="Compact"/>
              <w:spacing w:after="0" w:before="0" w:line="240" w:lineRule="auto"/>
              <w:jc w:val="left"/>
            </w:pPr>
            <w:r>
              <w:rPr>
                <w:rFonts w:ascii="Arial" w:hAnsi="Arial"/>
                <w:sz w:val="15"/>
              </w:rPr>
              <w:t xml:space="preserve">Rigid endoscopy, urology</w:t>
            </w:r>
          </w:p>
        </w:tc>
      </w:tr>
      <w:tr>
        <w:trPr>
          <w:cantSplit/>
        </w:trPr>
        <w:tc>
          <w:tcPr>
            <w:tcW w:type="dxa" w:w="2629"/>
          </w:tcPr>
          <w:p>
            <w:pPr>
              <w:pStyle w:val="Compact"/>
              <w:spacing w:after="0" w:before="0" w:line="240" w:lineRule="auto"/>
              <w:jc w:val="left"/>
            </w:pPr>
            <w:r>
              <w:rPr>
                <w:rFonts w:ascii="Arial" w:hAnsi="Arial"/>
                <w:sz w:val="15"/>
              </w:rPr>
              <w:t xml:space="preserve">Cook Medical</w:t>
            </w:r>
          </w:p>
        </w:tc>
        <w:tc>
          <w:tcPr>
            <w:tcW w:type="dxa" w:w="2966"/>
          </w:tcPr>
          <w:p>
            <w:pPr>
              <w:pStyle w:val="Compact"/>
              <w:spacing w:after="0" w:before="0" w:line="240" w:lineRule="auto"/>
              <w:jc w:val="left"/>
            </w:pPr>
            <w:r>
              <w:rPr>
                <w:rFonts w:ascii="Arial" w:hAnsi="Arial"/>
                <w:sz w:val="15"/>
              </w:rPr>
              <w:t xml:space="preserve">Private (Cook Group)</w:t>
            </w:r>
          </w:p>
        </w:tc>
        <w:tc>
          <w:tcPr>
            <w:tcW w:type="dxa" w:w="4383"/>
          </w:tcPr>
          <w:p>
            <w:pPr>
              <w:pStyle w:val="Compact"/>
              <w:spacing w:after="0" w:before="0" w:line="240" w:lineRule="auto"/>
              <w:jc w:val="left"/>
            </w:pPr>
            <w:r>
              <w:rPr>
                <w:rFonts w:ascii="Arial" w:hAnsi="Arial"/>
                <w:sz w:val="15"/>
              </w:rPr>
              <w:t xml:space="preserve">GI endotherapy (stents, ERCP), urology</w:t>
            </w:r>
          </w:p>
        </w:tc>
      </w:tr>
      <w:tr>
        <w:trPr>
          <w:cantSplit/>
        </w:trPr>
        <w:tc>
          <w:tcPr>
            <w:tcW w:type="dxa" w:w="2629"/>
            <w:shd w:val="clear" w:color="auto" w:fill="F1F2F5"/>
          </w:tcPr>
          <w:p>
            <w:pPr>
              <w:pStyle w:val="Compact"/>
              <w:spacing w:after="0" w:before="0" w:line="240" w:lineRule="auto"/>
              <w:jc w:val="left"/>
            </w:pPr>
            <w:r>
              <w:rPr>
                <w:rFonts w:ascii="Arial" w:hAnsi="Arial"/>
                <w:sz w:val="15"/>
              </w:rPr>
              <w:t xml:space="preserve">Erbe Elektromedizin</w:t>
            </w:r>
          </w:p>
        </w:tc>
        <w:tc>
          <w:tcPr>
            <w:tcW w:type="dxa" w:w="2966"/>
            <w:shd w:val="clear" w:color="auto" w:fill="F1F2F5"/>
          </w:tcPr>
          <w:p>
            <w:pPr>
              <w:pStyle w:val="Compact"/>
              <w:spacing w:after="0" w:before="0" w:line="240" w:lineRule="auto"/>
              <w:jc w:val="left"/>
            </w:pPr>
            <w:r>
              <w:rPr>
                <w:rFonts w:ascii="Arial" w:hAnsi="Arial"/>
                <w:sz w:val="15"/>
              </w:rPr>
              <w:t xml:space="preserve">Private</w:t>
            </w:r>
          </w:p>
        </w:tc>
        <w:tc>
          <w:tcPr>
            <w:tcW w:type="dxa" w:w="4383"/>
            <w:shd w:val="clear" w:color="auto" w:fill="F1F2F5"/>
          </w:tcPr>
          <w:p>
            <w:pPr>
              <w:pStyle w:val="Compact"/>
              <w:spacing w:after="0" w:before="0" w:line="240" w:lineRule="auto"/>
              <w:jc w:val="left"/>
            </w:pPr>
            <w:r>
              <w:rPr>
                <w:rFonts w:ascii="Arial" w:hAnsi="Arial"/>
                <w:sz w:val="15"/>
              </w:rPr>
              <w:t xml:space="preserve">Electrosurgery, ESD knives, argon plasma</w:t>
            </w:r>
          </w:p>
        </w:tc>
      </w:tr>
      <w:tr>
        <w:trPr>
          <w:cantSplit/>
        </w:trPr>
        <w:tc>
          <w:tcPr>
            <w:tcW w:type="dxa" w:w="2629"/>
          </w:tcPr>
          <w:p>
            <w:pPr>
              <w:pStyle w:val="Compact"/>
              <w:spacing w:after="0" w:before="0" w:line="240" w:lineRule="auto"/>
              <w:jc w:val="left"/>
            </w:pPr>
            <w:r>
              <w:rPr>
                <w:rFonts w:ascii="Arial" w:hAnsi="Arial"/>
                <w:sz w:val="15"/>
              </w:rPr>
              <w:t xml:space="preserve">Applied Medical, Arthrex</w:t>
            </w:r>
          </w:p>
        </w:tc>
        <w:tc>
          <w:tcPr>
            <w:tcW w:type="dxa" w:w="2966"/>
          </w:tcPr>
          <w:p>
            <w:pPr>
              <w:pStyle w:val="Compact"/>
              <w:spacing w:after="0" w:before="0" w:line="240" w:lineRule="auto"/>
              <w:jc w:val="left"/>
            </w:pPr>
            <w:r>
              <w:rPr>
                <w:rFonts w:ascii="Arial" w:hAnsi="Arial"/>
                <w:sz w:val="15"/>
              </w:rPr>
              <w:t xml:space="preserve">Private</w:t>
            </w:r>
          </w:p>
        </w:tc>
        <w:tc>
          <w:tcPr>
            <w:tcW w:type="dxa" w:w="4383"/>
          </w:tcPr>
          <w:p>
            <w:pPr>
              <w:pStyle w:val="Compact"/>
              <w:spacing w:after="0" w:before="0" w:line="240" w:lineRule="auto"/>
              <w:jc w:val="left"/>
            </w:pPr>
            <w:r>
              <w:rPr>
                <w:rFonts w:ascii="Arial" w:hAnsi="Arial"/>
                <w:sz w:val="15"/>
              </w:rPr>
              <w:t xml:space="preserve">Laparoscopic access and energy; arthroscopy</w:t>
            </w:r>
          </w:p>
        </w:tc>
      </w:tr>
      <w:tr>
        <w:trPr>
          <w:cantSplit/>
        </w:trPr>
        <w:tc>
          <w:tcPr>
            <w:tcW w:type="dxa" w:w="2629"/>
            <w:shd w:val="clear" w:color="auto" w:fill="F1F2F5"/>
          </w:tcPr>
          <w:p>
            <w:pPr>
              <w:pStyle w:val="Compact"/>
              <w:spacing w:after="0" w:before="0" w:line="240" w:lineRule="auto"/>
              <w:jc w:val="left"/>
            </w:pPr>
            <w:r>
              <w:rPr>
                <w:rFonts w:ascii="Arial" w:hAnsi="Arial"/>
                <w:sz w:val="15"/>
              </w:rPr>
              <w:t xml:space="preserve">Boston Scientific, Stryker, J&amp;J (Ethicon), Medtronic</w:t>
            </w:r>
          </w:p>
        </w:tc>
        <w:tc>
          <w:tcPr>
            <w:tcW w:type="dxa" w:w="2966"/>
            <w:shd w:val="clear" w:color="auto" w:fill="F1F2F5"/>
          </w:tcPr>
          <w:p>
            <w:pPr>
              <w:pStyle w:val="Compact"/>
              <w:spacing w:after="0" w:before="0" w:line="240" w:lineRule="auto"/>
              <w:jc w:val="left"/>
            </w:pPr>
            <w:r>
              <w:rPr>
                <w:rFonts w:ascii="Arial" w:hAnsi="Arial"/>
                <w:sz w:val="15"/>
              </w:rPr>
              <w:t xml:space="preserve">Listed (US)</w:t>
            </w:r>
          </w:p>
        </w:tc>
        <w:tc>
          <w:tcPr>
            <w:tcW w:type="dxa" w:w="4383"/>
            <w:shd w:val="clear" w:color="auto" w:fill="F1F2F5"/>
          </w:tcPr>
          <w:p>
            <w:pPr>
              <w:pStyle w:val="Compact"/>
              <w:spacing w:after="0" w:before="0" w:line="240" w:lineRule="auto"/>
              <w:jc w:val="left"/>
            </w:pPr>
            <w:r>
              <w:rPr>
                <w:rFonts w:ascii="Arial" w:hAnsi="Arial"/>
                <w:sz w:val="15"/>
              </w:rPr>
              <w:t xml:space="preserve">Endotherapy, single-use duodenoscope (BSX); visualisation (Stryker); energy (J&amp;J); GI AI (Medtronic)</w:t>
            </w:r>
          </w:p>
        </w:tc>
      </w:tr>
      <w:tr>
        <w:trPr>
          <w:cantSplit/>
        </w:trPr>
        <w:tc>
          <w:tcPr>
            <w:tcW w:type="dxa" w:w="2629"/>
          </w:tcPr>
          <w:p>
            <w:pPr>
              <w:pStyle w:val="Compact"/>
              <w:spacing w:after="0" w:before="0" w:line="240" w:lineRule="auto"/>
              <w:jc w:val="left"/>
            </w:pPr>
            <w:r>
              <w:rPr>
                <w:rFonts w:ascii="Arial" w:hAnsi="Arial"/>
                <w:sz w:val="15"/>
              </w:rPr>
              <w:t xml:space="preserve">Ambu</w:t>
            </w:r>
          </w:p>
        </w:tc>
        <w:tc>
          <w:tcPr>
            <w:tcW w:type="dxa" w:w="2966"/>
          </w:tcPr>
          <w:p>
            <w:pPr>
              <w:pStyle w:val="Compact"/>
              <w:spacing w:after="0" w:before="0" w:line="240" w:lineRule="auto"/>
              <w:jc w:val="left"/>
            </w:pPr>
            <w:r>
              <w:rPr>
                <w:rFonts w:ascii="Arial" w:hAnsi="Arial"/>
                <w:sz w:val="15"/>
              </w:rPr>
              <w:t xml:space="preserve">Listed (DC)</w:t>
            </w:r>
          </w:p>
        </w:tc>
        <w:tc>
          <w:tcPr>
            <w:tcW w:type="dxa" w:w="4383"/>
          </w:tcPr>
          <w:p>
            <w:pPr>
              <w:pStyle w:val="Compact"/>
              <w:spacing w:after="0" w:before="0" w:line="240" w:lineRule="auto"/>
              <w:jc w:val="left"/>
            </w:pPr>
            <w:r>
              <w:rPr>
                <w:rFonts w:ascii="Arial" w:hAnsi="Arial"/>
                <w:sz w:val="15"/>
              </w:rPr>
              <w:t xml:space="preserve">Single-use bronchoscopes, urology and GI scopes</w:t>
            </w:r>
          </w:p>
        </w:tc>
      </w:tr>
      <w:tr>
        <w:trPr>
          <w:cantSplit/>
        </w:trPr>
        <w:tc>
          <w:tcPr>
            <w:tcW w:type="dxa" w:w="2629"/>
            <w:shd w:val="clear" w:color="auto" w:fill="F1F2F5"/>
          </w:tcPr>
          <w:p>
            <w:pPr>
              <w:pStyle w:val="Compact"/>
              <w:spacing w:after="0" w:before="0" w:line="240" w:lineRule="auto"/>
              <w:jc w:val="left"/>
            </w:pPr>
            <w:r>
              <w:rPr>
                <w:rFonts w:ascii="Arial" w:hAnsi="Arial"/>
                <w:sz w:val="15"/>
              </w:rPr>
              <w:t xml:space="preserve">SonoScape, Aohua, Micro-Tech, Mindray</w:t>
            </w:r>
          </w:p>
        </w:tc>
        <w:tc>
          <w:tcPr>
            <w:tcW w:type="dxa" w:w="2966"/>
            <w:shd w:val="clear" w:color="auto" w:fill="F1F2F5"/>
          </w:tcPr>
          <w:p>
            <w:pPr>
              <w:pStyle w:val="Compact"/>
              <w:spacing w:after="0" w:before="0" w:line="240" w:lineRule="auto"/>
              <w:jc w:val="left"/>
            </w:pPr>
            <w:r>
              <w:rPr>
                <w:rFonts w:ascii="Arial" w:hAnsi="Arial"/>
                <w:sz w:val="15"/>
              </w:rPr>
              <w:t xml:space="preserve">Listed (China)</w:t>
            </w:r>
          </w:p>
        </w:tc>
        <w:tc>
          <w:tcPr>
            <w:tcW w:type="dxa" w:w="4383"/>
            <w:shd w:val="clear" w:color="auto" w:fill="F1F2F5"/>
          </w:tcPr>
          <w:p>
            <w:pPr>
              <w:pStyle w:val="Compact"/>
              <w:spacing w:after="0" w:before="0" w:line="240" w:lineRule="auto"/>
              <w:jc w:val="left"/>
            </w:pPr>
            <w:r>
              <w:rPr>
                <w:rFonts w:ascii="Arial" w:hAnsi="Arial"/>
                <w:sz w:val="15"/>
              </w:rPr>
              <w:t xml:space="preserve">Domestic-substitution challengers</w:t>
            </w:r>
          </w:p>
        </w:tc>
      </w:tr>
      <w:tr>
        <w:trPr>
          <w:cantSplit/>
        </w:trPr>
        <w:tc>
          <w:tcPr>
            <w:tcW w:type="dxa" w:w="2629"/>
          </w:tcPr>
          <w:p>
            <w:pPr>
              <w:pStyle w:val="Compact"/>
              <w:spacing w:after="0" w:before="0" w:line="240" w:lineRule="auto"/>
              <w:jc w:val="left"/>
            </w:pPr>
            <w:r>
              <w:rPr>
                <w:rFonts w:ascii="Arial" w:hAnsi="Arial"/>
                <w:sz w:val="15"/>
              </w:rPr>
              <w:t xml:space="preserve">Hunan Vathin, Chongqing Jinshan</w:t>
            </w:r>
          </w:p>
        </w:tc>
        <w:tc>
          <w:tcPr>
            <w:tcW w:type="dxa" w:w="2966"/>
          </w:tcPr>
          <w:p>
            <w:pPr>
              <w:pStyle w:val="Compact"/>
              <w:spacing w:after="0" w:before="0" w:line="240" w:lineRule="auto"/>
              <w:jc w:val="left"/>
            </w:pPr>
            <w:r>
              <w:rPr>
                <w:rFonts w:ascii="Arial" w:hAnsi="Arial"/>
                <w:sz w:val="15"/>
              </w:rPr>
              <w:t xml:space="preserve">Private (China)</w:t>
            </w:r>
          </w:p>
        </w:tc>
        <w:tc>
          <w:tcPr>
            <w:tcW w:type="dxa" w:w="4383"/>
          </w:tcPr>
          <w:p>
            <w:pPr>
              <w:pStyle w:val="Compact"/>
              <w:spacing w:after="0" w:before="0" w:line="240" w:lineRule="auto"/>
              <w:jc w:val="left"/>
            </w:pPr>
            <w:r>
              <w:rPr>
                <w:rFonts w:ascii="Arial" w:hAnsi="Arial"/>
                <w:sz w:val="15"/>
              </w:rPr>
              <w:t xml:space="preserve">Single-use endoscopes; capsule endoscopy</w:t>
            </w:r>
          </w:p>
        </w:tc>
      </w:tr>
      <w:tr>
        <w:trPr>
          <w:cantSplit/>
        </w:trPr>
        <w:tc>
          <w:tcPr>
            <w:tcW w:type="dxa" w:w="2629"/>
            <w:shd w:val="clear" w:color="auto" w:fill="F1F2F5"/>
          </w:tcPr>
          <w:p>
            <w:pPr>
              <w:pStyle w:val="Compact"/>
              <w:spacing w:after="0" w:before="0" w:line="240" w:lineRule="auto"/>
              <w:jc w:val="left"/>
            </w:pPr>
            <w:r>
              <w:rPr>
                <w:rFonts w:ascii="Arial" w:hAnsi="Arial"/>
                <w:sz w:val="15"/>
              </w:rPr>
              <w:t xml:space="preserve">Medline</w:t>
            </w:r>
          </w:p>
        </w:tc>
        <w:tc>
          <w:tcPr>
            <w:tcW w:type="dxa" w:w="2966"/>
            <w:shd w:val="clear" w:color="auto" w:fill="F1F2F5"/>
          </w:tcPr>
          <w:p>
            <w:pPr>
              <w:pStyle w:val="Compact"/>
              <w:spacing w:after="0" w:before="0" w:line="240" w:lineRule="auto"/>
              <w:jc w:val="left"/>
            </w:pPr>
            <w:r>
              <w:rPr>
                <w:rFonts w:ascii="Arial" w:hAnsi="Arial"/>
                <w:sz w:val="15"/>
              </w:rPr>
              <w:t xml:space="preserve">Listed (MDLN US, IPO Dec-2025)</w:t>
            </w:r>
          </w:p>
        </w:tc>
        <w:tc>
          <w:tcPr>
            <w:tcW w:type="dxa" w:w="4383"/>
            <w:shd w:val="clear" w:color="auto" w:fill="F1F2F5"/>
          </w:tcPr>
          <w:p>
            <w:pPr>
              <w:pStyle w:val="Compact"/>
              <w:spacing w:after="0" w:before="0" w:line="240" w:lineRule="auto"/>
              <w:jc w:val="left"/>
            </w:pPr>
            <w:r>
              <w:rPr>
                <w:rFonts w:ascii="Arial" w:hAnsi="Arial"/>
                <w:sz w:val="15"/>
              </w:rPr>
              <w:t xml:space="preserve">Med-surg supplies; limited direct overlap</w:t>
            </w:r>
          </w:p>
        </w:tc>
      </w:tr>
    </w:tbl>
    <w:bookmarkEnd w:id="98"/>
    <w:bookmarkStart w:id="99" w:name="target-price-derivation"/>
    <w:p>
      <w:pPr>
        <w:pStyle w:val="Heading2"/>
      </w:pPr>
      <w:r>
        <w:t xml:space="preserve">Target price derivation</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185"/>
        <w:gridCol w:w="5095"/>
        <w:gridCol w:w="1696"/>
      </w:tblGrid>
      <w:tr>
        <w:trPr>
          <w:tblHeader w:val="true"/>
          <w:tblHeader w:val="true"/>
          <w:cantSplit/>
        </w:trPr>
        <w:tc>
          <w:tcPr>
            <w:tcW w:type="dxa" w:w="3186"/>
            <w:shd w:val="clear" w:color="auto" w:fill="13213F"/>
          </w:tcPr>
          <w:p>
            <w:pPr>
              <w:pStyle w:val="Compact"/>
              <w:spacing w:after="0" w:before="0" w:line="240" w:lineRule="auto"/>
              <w:jc w:val="left"/>
            </w:pPr>
            <w:r>
              <w:rPr>
                <w:rFonts w:ascii="Arial" w:hAnsi="Arial"/>
                <w:b/>
                <w:color w:val="FFFFFF"/>
                <w:sz w:val="15"/>
              </w:rPr>
              <w:t xml:space="preserve">Method</w:t>
            </w:r>
          </w:p>
        </w:tc>
        <w:tc>
          <w:tcPr>
            <w:tcW w:type="dxa" w:w="5095"/>
            <w:shd w:val="clear" w:color="auto" w:fill="13213F"/>
          </w:tcPr>
          <w:p>
            <w:pPr>
              <w:pStyle w:val="Compact"/>
              <w:spacing w:after="0" w:before="0" w:line="240" w:lineRule="auto"/>
              <w:jc w:val="left"/>
            </w:pPr>
            <w:r>
              <w:rPr>
                <w:rFonts w:ascii="Arial" w:hAnsi="Arial"/>
                <w:b/>
                <w:color w:val="FFFFFF"/>
                <w:sz w:val="15"/>
              </w:rPr>
              <w:t xml:space="preserve">Basis</w:t>
            </w:r>
          </w:p>
        </w:tc>
        <w:tc>
          <w:tcPr>
            <w:tcW w:type="dxa" w:w="1697"/>
            <w:shd w:val="clear" w:color="auto" w:fill="13213F"/>
          </w:tcPr>
          <w:p>
            <w:pPr>
              <w:pStyle w:val="Compact"/>
              <w:spacing w:after="0" w:before="0" w:line="240" w:lineRule="auto"/>
              <w:jc w:val="right"/>
            </w:pPr>
            <w:r>
              <w:rPr>
                <w:rFonts w:ascii="Arial" w:hAnsi="Arial"/>
                <w:b/>
                <w:color w:val="FFFFFF"/>
                <w:sz w:val="15"/>
              </w:rPr>
              <w:t xml:space="preserve">Value per share</w:t>
            </w:r>
          </w:p>
        </w:tc>
      </w:tr>
      <w:tr>
        <w:trPr>
          <w:cantSplit/>
        </w:trPr>
        <w:tc>
          <w:tcPr>
            <w:tcW w:type="dxa" w:w="3186"/>
          </w:tcPr>
          <w:p>
            <w:pPr>
              <w:pStyle w:val="Compact"/>
              <w:spacing w:after="0" w:before="0" w:line="240" w:lineRule="auto"/>
              <w:jc w:val="left"/>
            </w:pPr>
            <w:r>
              <w:rPr>
                <w:rFonts w:ascii="Arial" w:hAnsi="Arial"/>
                <w:sz w:val="15"/>
              </w:rPr>
              <w:t xml:space="preserve">Sum-of-the-parts (base)</w:t>
            </w:r>
          </w:p>
        </w:tc>
        <w:tc>
          <w:tcPr>
            <w:tcW w:type="dxa" w:w="5095"/>
          </w:tcPr>
          <w:p>
            <w:pPr>
              <w:pStyle w:val="Compact"/>
              <w:spacing w:after="0" w:before="0" w:line="240" w:lineRule="auto"/>
              <w:jc w:val="left"/>
            </w:pPr>
            <w:r>
              <w:rPr>
                <w:rFonts w:ascii="Arial" w:hAnsi="Arial"/>
                <w:sz w:val="15"/>
              </w:rPr>
              <w:t xml:space="preserve">GIS 12x FY3/27E EBITDA; SIS 1.2x sales; corporate costs capitalised at 9x; net debt JPY200bn</w:t>
            </w:r>
          </w:p>
        </w:tc>
        <w:tc>
          <w:tcPr>
            <w:tcW w:type="dxa" w:w="1697"/>
          </w:tcPr>
          <w:p>
            <w:pPr>
              <w:pStyle w:val="Compact"/>
              <w:spacing w:after="0" w:before="0" w:line="240" w:lineRule="auto"/>
              <w:jc w:val="right"/>
            </w:pPr>
            <w:r>
              <w:rPr>
                <w:rFonts w:ascii="Arial" w:hAnsi="Arial"/>
                <w:sz w:val="15"/>
              </w:rPr>
              <w:t xml:space="preserve">JPY2,389</w:t>
            </w:r>
          </w:p>
        </w:tc>
      </w:tr>
      <w:tr>
        <w:trPr>
          <w:cantSplit/>
        </w:trPr>
        <w:tc>
          <w:tcPr>
            <w:tcW w:type="dxa" w:w="3186"/>
            <w:shd w:val="clear" w:color="auto" w:fill="F1F2F5"/>
          </w:tcPr>
          <w:p>
            <w:pPr>
              <w:pStyle w:val="Compact"/>
              <w:spacing w:after="0" w:before="0" w:line="240" w:lineRule="auto"/>
              <w:jc w:val="left"/>
            </w:pPr>
            <w:r>
              <w:rPr>
                <w:rFonts w:ascii="Arial" w:hAnsi="Arial"/>
                <w:sz w:val="15"/>
              </w:rPr>
              <w:t xml:space="preserve">P/E</w:t>
            </w:r>
          </w:p>
        </w:tc>
        <w:tc>
          <w:tcPr>
            <w:tcW w:type="dxa" w:w="5095"/>
            <w:shd w:val="clear" w:color="auto" w:fill="F1F2F5"/>
          </w:tcPr>
          <w:p>
            <w:pPr>
              <w:pStyle w:val="Compact"/>
              <w:spacing w:after="0" w:before="0" w:line="240" w:lineRule="auto"/>
              <w:jc w:val="left"/>
            </w:pPr>
            <w:r>
              <w:rPr>
                <w:rFonts w:ascii="Arial" w:hAnsi="Arial"/>
                <w:sz w:val="15"/>
              </w:rPr>
              <w:t xml:space="preserve">19x FY3/28E EPS of JPY114 (Japan medtech forward median ~21.7x, discounted)</w:t>
            </w:r>
          </w:p>
        </w:tc>
        <w:tc>
          <w:tcPr>
            <w:tcW w:type="dxa" w:w="1697"/>
            <w:shd w:val="clear" w:color="auto" w:fill="F1F2F5"/>
          </w:tcPr>
          <w:p>
            <w:pPr>
              <w:pStyle w:val="Compact"/>
              <w:spacing w:after="0" w:before="0" w:line="240" w:lineRule="auto"/>
              <w:jc w:val="right"/>
            </w:pPr>
            <w:r>
              <w:rPr>
                <w:rFonts w:ascii="Arial" w:hAnsi="Arial"/>
                <w:sz w:val="15"/>
              </w:rPr>
              <w:t xml:space="preserve">JPY2,169</w:t>
            </w:r>
          </w:p>
        </w:tc>
      </w:tr>
      <w:tr>
        <w:trPr>
          <w:cantSplit/>
        </w:trPr>
        <w:tc>
          <w:tcPr>
            <w:tcW w:type="dxa" w:w="3186"/>
          </w:tcPr>
          <w:p>
            <w:pPr>
              <w:pStyle w:val="Compact"/>
              <w:spacing w:after="0" w:before="0" w:line="240" w:lineRule="auto"/>
              <w:jc w:val="left"/>
            </w:pPr>
            <w:r>
              <w:rPr>
                <w:rFonts w:ascii="Arial" w:hAnsi="Arial"/>
                <w:sz w:val="15"/>
              </w:rPr>
              <w:t xml:space="preserve">EV/EBITDA</w:t>
            </w:r>
          </w:p>
        </w:tc>
        <w:tc>
          <w:tcPr>
            <w:tcW w:type="dxa" w:w="5095"/>
          </w:tcPr>
          <w:p>
            <w:pPr>
              <w:pStyle w:val="Compact"/>
              <w:spacing w:after="0" w:before="0" w:line="240" w:lineRule="auto"/>
              <w:jc w:val="left"/>
            </w:pPr>
            <w:r>
              <w:rPr>
                <w:rFonts w:ascii="Arial" w:hAnsi="Arial"/>
                <w:sz w:val="15"/>
              </w:rPr>
              <w:t xml:space="preserve">11x FY3/28E EBITDA of JPY248bn, less FY3/27E net debt</w:t>
            </w:r>
          </w:p>
        </w:tc>
        <w:tc>
          <w:tcPr>
            <w:tcW w:type="dxa" w:w="1697"/>
          </w:tcPr>
          <w:p>
            <w:pPr>
              <w:pStyle w:val="Compact"/>
              <w:spacing w:after="0" w:before="0" w:line="240" w:lineRule="auto"/>
              <w:jc w:val="right"/>
            </w:pPr>
            <w:r>
              <w:rPr>
                <w:rFonts w:ascii="Arial" w:hAnsi="Arial"/>
                <w:sz w:val="15"/>
              </w:rPr>
              <w:t xml:space="preserve">JPY2,440</w:t>
            </w:r>
          </w:p>
        </w:tc>
      </w:tr>
      <w:tr>
        <w:trPr>
          <w:cantSplit/>
        </w:trPr>
        <w:tc>
          <w:tcPr>
            <w:tcW w:type="dxa" w:w="3186"/>
            <w:shd w:val="clear" w:color="auto" w:fill="F1F2F5"/>
          </w:tcPr>
          <w:p>
            <w:pPr>
              <w:pStyle w:val="Compact"/>
              <w:spacing w:after="0" w:before="0" w:line="240" w:lineRule="auto"/>
              <w:jc w:val="left"/>
            </w:pPr>
            <w:r>
              <w:rPr>
                <w:rFonts w:ascii="Arial" w:hAnsi="Arial"/>
                <w:sz w:val="15"/>
              </w:rPr>
              <w:t xml:space="preserve">Regression (Japan dummy)</w:t>
            </w:r>
          </w:p>
        </w:tc>
        <w:tc>
          <w:tcPr>
            <w:tcW w:type="dxa" w:w="5095"/>
            <w:shd w:val="clear" w:color="auto" w:fill="F1F2F5"/>
          </w:tcPr>
          <w:p>
            <w:pPr>
              <w:pStyle w:val="Compact"/>
              <w:spacing w:after="0" w:before="0" w:line="240" w:lineRule="auto"/>
              <w:jc w:val="left"/>
            </w:pPr>
            <w:r>
              <w:rPr>
                <w:rFonts w:ascii="Arial" w:hAnsi="Arial"/>
                <w:sz w:val="15"/>
              </w:rPr>
              <w:t xml:space="preserve">2.56x LTM sales</w:t>
            </w:r>
          </w:p>
        </w:tc>
        <w:tc>
          <w:tcPr>
            <w:tcW w:type="dxa" w:w="1697"/>
            <w:shd w:val="clear" w:color="auto" w:fill="F1F2F5"/>
          </w:tcPr>
          <w:p>
            <w:pPr>
              <w:pStyle w:val="Compact"/>
              <w:spacing w:after="0" w:before="0" w:line="240" w:lineRule="auto"/>
              <w:jc w:val="right"/>
            </w:pPr>
            <w:r>
              <w:rPr>
                <w:rFonts w:ascii="Arial" w:hAnsi="Arial"/>
                <w:sz w:val="15"/>
              </w:rPr>
              <w:t xml:space="preserve">JPY2,329</w:t>
            </w:r>
          </w:p>
        </w:tc>
      </w:tr>
      <w:tr>
        <w:trPr>
          <w:cantSplit/>
        </w:trPr>
        <w:tc>
          <w:tcPr>
            <w:tcW w:type="dxa" w:w="3186"/>
            <w:shd w:val="clear" w:color="auto" w:fill="DCE4F2"/>
          </w:tcPr>
          <w:p>
            <w:pPr>
              <w:pStyle w:val="Compact"/>
              <w:spacing w:after="0" w:before="0" w:line="240" w:lineRule="auto"/>
              <w:jc w:val="left"/>
            </w:pPr>
            <w:r>
              <w:rPr>
                <w:bCs/>
                <w:rFonts w:ascii="Arial" w:hAnsi="Arial"/>
                <w:b/>
                <w:sz w:val="15"/>
              </w:rPr>
              <w:t xml:space="preserve">Average (rounded) = 12-month target</w:t>
            </w:r>
          </w:p>
        </w:tc>
        <w:tc>
          <w:tcPr>
            <w:tcW w:type="dxa" w:w="5095"/>
            <w:shd w:val="clear" w:color="auto" w:fill="DCE4F2"/>
          </w:tcPr>
          <w:p>
            <w:pPr>
              <w:pStyle w:val="Compact"/>
              <w:spacing w:after="0" w:before="0" w:line="240" w:lineRule="auto"/>
            </w:pPr>
          </w:p>
        </w:tc>
        <w:tc>
          <w:tcPr>
            <w:tcW w:type="dxa" w:w="1697"/>
            <w:shd w:val="clear" w:color="auto" w:fill="DCE4F2"/>
          </w:tcPr>
          <w:p>
            <w:pPr>
              <w:pStyle w:val="Compact"/>
              <w:spacing w:after="0" w:before="0" w:line="240" w:lineRule="auto"/>
              <w:jc w:val="right"/>
            </w:pPr>
            <w:r>
              <w:rPr>
                <w:bCs/>
                <w:rFonts w:ascii="Arial" w:hAnsi="Arial"/>
                <w:b/>
                <w:sz w:val="15"/>
              </w:rPr>
              <w:t xml:space="preserve">JPY2,350 (+39%)</w:t>
            </w:r>
          </w:p>
        </w:tc>
      </w:tr>
    </w:tbl>
    <w:bookmarkEnd w:id="99"/>
    <w:bookmarkEnd w:id="100"/>
    <w:bookmarkStart w:id="105" w:name="X50ccdbbced656bb592cad08a28712a73df3cdff"/>
    <w:p>
      <w:pPr>
        <w:pStyle w:val="Heading1"/>
      </w:pPr>
      <w:r>
        <w:t xml:space="preserve">M&amp;A: industry activity, takeover potential and Olympus’s own deals</w:t>
      </w:r>
    </w:p>
    <w:bookmarkStart w:id="101" w:name="comparable-transactions-20212026"/>
    <w:p>
      <w:pPr>
        <w:pStyle w:val="Heading2"/>
      </w:pPr>
      <w:r>
        <w:t xml:space="preserve">Comparable transactions (2021–2026)</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41"/>
        <w:gridCol w:w="1975"/>
        <w:gridCol w:w="1156"/>
        <w:gridCol w:w="1395"/>
        <w:gridCol w:w="1112"/>
        <w:gridCol w:w="908"/>
        <w:gridCol w:w="1586"/>
      </w:tblGrid>
      <w:tr>
        <w:trPr>
          <w:tblHeader w:val="true"/>
          <w:tblHeader w:val="true"/>
          <w:cantSplit/>
        </w:trPr>
        <w:tc>
          <w:tcPr>
            <w:tcW w:type="dxa" w:w="1842"/>
            <w:shd w:val="clear" w:color="auto" w:fill="13213F"/>
          </w:tcPr>
          <w:p>
            <w:pPr>
              <w:pStyle w:val="Compact"/>
              <w:spacing w:after="0" w:before="0" w:line="240" w:lineRule="auto"/>
              <w:jc w:val="left"/>
            </w:pPr>
            <w:r>
              <w:rPr>
                <w:rFonts w:ascii="Arial" w:hAnsi="Arial"/>
                <w:b/>
                <w:color w:val="FFFFFF"/>
                <w:sz w:val="15"/>
              </w:rPr>
              <w:t xml:space="preserve">Target (sector)</w:t>
            </w:r>
          </w:p>
        </w:tc>
        <w:tc>
          <w:tcPr>
            <w:tcW w:type="dxa" w:w="1975"/>
            <w:shd w:val="clear" w:color="auto" w:fill="13213F"/>
          </w:tcPr>
          <w:p>
            <w:pPr>
              <w:pStyle w:val="Compact"/>
              <w:spacing w:after="0" w:before="0" w:line="240" w:lineRule="auto"/>
              <w:jc w:val="left"/>
            </w:pPr>
            <w:r>
              <w:rPr>
                <w:rFonts w:ascii="Arial" w:hAnsi="Arial"/>
                <w:b/>
                <w:color w:val="FFFFFF"/>
                <w:sz w:val="15"/>
              </w:rPr>
              <w:t xml:space="preserve">Acquirer</w:t>
            </w:r>
          </w:p>
        </w:tc>
        <w:tc>
          <w:tcPr>
            <w:tcW w:type="dxa" w:w="1157"/>
            <w:shd w:val="clear" w:color="auto" w:fill="13213F"/>
          </w:tcPr>
          <w:p>
            <w:pPr>
              <w:pStyle w:val="Compact"/>
              <w:spacing w:after="0" w:before="0" w:line="240" w:lineRule="auto"/>
              <w:jc w:val="left"/>
            </w:pPr>
            <w:r>
              <w:rPr>
                <w:rFonts w:ascii="Arial" w:hAnsi="Arial"/>
                <w:b/>
                <w:color w:val="FFFFFF"/>
                <w:sz w:val="15"/>
              </w:rPr>
              <w:t xml:space="preserve">Announced</w:t>
            </w:r>
          </w:p>
        </w:tc>
        <w:tc>
          <w:tcPr>
            <w:tcW w:type="dxa" w:w="1396"/>
            <w:shd w:val="clear" w:color="auto" w:fill="13213F"/>
          </w:tcPr>
          <w:p>
            <w:pPr>
              <w:pStyle w:val="Compact"/>
              <w:spacing w:after="0" w:before="0" w:line="240" w:lineRule="auto"/>
              <w:jc w:val="right"/>
            </w:pPr>
            <w:r>
              <w:rPr>
                <w:rFonts w:ascii="Arial" w:hAnsi="Arial"/>
                <w:b/>
                <w:color w:val="FFFFFF"/>
                <w:sz w:val="15"/>
              </w:rPr>
              <w:t xml:space="preserve">EV (US$bn)</w:t>
            </w:r>
          </w:p>
        </w:tc>
        <w:tc>
          <w:tcPr>
            <w:tcW w:type="dxa" w:w="1112"/>
            <w:shd w:val="clear" w:color="auto" w:fill="13213F"/>
          </w:tcPr>
          <w:p>
            <w:pPr>
              <w:pStyle w:val="Compact"/>
              <w:spacing w:after="0" w:before="0" w:line="240" w:lineRule="auto"/>
              <w:jc w:val="right"/>
            </w:pPr>
            <w:r>
              <w:rPr>
                <w:rFonts w:ascii="Arial" w:hAnsi="Arial"/>
                <w:b/>
                <w:color w:val="FFFFFF"/>
                <w:sz w:val="15"/>
              </w:rPr>
              <w:t xml:space="preserve">EV/LTM sales</w:t>
            </w:r>
          </w:p>
        </w:tc>
        <w:tc>
          <w:tcPr>
            <w:tcW w:type="dxa" w:w="909"/>
            <w:shd w:val="clear" w:color="auto" w:fill="13213F"/>
          </w:tcPr>
          <w:p>
            <w:pPr>
              <w:pStyle w:val="Compact"/>
              <w:spacing w:after="0" w:before="0" w:line="240" w:lineRule="auto"/>
              <w:jc w:val="right"/>
            </w:pPr>
            <w:r>
              <w:rPr>
                <w:rFonts w:ascii="Arial" w:hAnsi="Arial"/>
                <w:b/>
                <w:color w:val="FFFFFF"/>
                <w:sz w:val="15"/>
              </w:rPr>
              <w:t xml:space="preserve">EV/LTM EBITDA</w:t>
            </w:r>
          </w:p>
        </w:tc>
        <w:tc>
          <w:tcPr>
            <w:tcW w:type="dxa" w:w="1587"/>
            <w:shd w:val="clear" w:color="auto" w:fill="13213F"/>
          </w:tcPr>
          <w:p>
            <w:pPr>
              <w:pStyle w:val="Compact"/>
              <w:spacing w:after="0" w:before="0" w:line="240" w:lineRule="auto"/>
              <w:jc w:val="left"/>
            </w:pPr>
            <w:r>
              <w:rPr>
                <w:rFonts w:ascii="Arial" w:hAnsi="Arial"/>
                <w:b/>
                <w:color w:val="FFFFFF"/>
                <w:sz w:val="15"/>
              </w:rPr>
              <w:t xml:space="preserve">Premium</w:t>
            </w:r>
          </w:p>
        </w:tc>
      </w:tr>
      <w:tr>
        <w:trPr>
          <w:cantSplit/>
        </w:trPr>
        <w:tc>
          <w:tcPr>
            <w:tcW w:type="dxa" w:w="1842"/>
          </w:tcPr>
          <w:p>
            <w:pPr>
              <w:pStyle w:val="Compact"/>
              <w:spacing w:after="0" w:before="0" w:line="240" w:lineRule="auto"/>
              <w:jc w:val="left"/>
            </w:pPr>
            <w:r>
              <w:rPr>
                <w:rFonts w:ascii="Arial" w:hAnsi="Arial"/>
                <w:sz w:val="15"/>
              </w:rPr>
              <w:t xml:space="preserve">Cantel Medical (endoscope reprocessing)</w:t>
            </w:r>
          </w:p>
        </w:tc>
        <w:tc>
          <w:tcPr>
            <w:tcW w:type="dxa" w:w="1975"/>
          </w:tcPr>
          <w:p>
            <w:pPr>
              <w:pStyle w:val="Compact"/>
              <w:spacing w:after="0" w:before="0" w:line="240" w:lineRule="auto"/>
              <w:jc w:val="left"/>
            </w:pPr>
            <w:r>
              <w:rPr>
                <w:rFonts w:ascii="Arial" w:hAnsi="Arial"/>
                <w:sz w:val="15"/>
              </w:rPr>
              <w:t xml:space="preserve">STERIS</w:t>
            </w:r>
          </w:p>
        </w:tc>
        <w:tc>
          <w:tcPr>
            <w:tcW w:type="dxa" w:w="1157"/>
          </w:tcPr>
          <w:p>
            <w:pPr>
              <w:pStyle w:val="Compact"/>
              <w:spacing w:after="0" w:before="0" w:line="240" w:lineRule="auto"/>
              <w:jc w:val="left"/>
            </w:pPr>
            <w:r>
              <w:rPr>
                <w:rFonts w:ascii="Arial" w:hAnsi="Arial"/>
                <w:sz w:val="15"/>
              </w:rPr>
              <w:t xml:space="preserve">Jan-2021</w:t>
            </w:r>
          </w:p>
        </w:tc>
        <w:tc>
          <w:tcPr>
            <w:tcW w:type="dxa" w:w="1396"/>
          </w:tcPr>
          <w:p>
            <w:pPr>
              <w:pStyle w:val="Compact"/>
              <w:spacing w:after="0" w:before="0" w:line="240" w:lineRule="auto"/>
              <w:jc w:val="right"/>
            </w:pPr>
            <w:r>
              <w:rPr>
                <w:rFonts w:ascii="Arial" w:hAnsi="Arial"/>
                <w:sz w:val="15"/>
              </w:rPr>
              <w:t xml:space="preserve">4.42</w:t>
            </w:r>
          </w:p>
        </w:tc>
        <w:tc>
          <w:tcPr>
            <w:tcW w:type="dxa" w:w="1112"/>
          </w:tcPr>
          <w:p>
            <w:pPr>
              <w:pStyle w:val="Compact"/>
              <w:spacing w:after="0" w:before="0" w:line="240" w:lineRule="auto"/>
              <w:jc w:val="right"/>
            </w:pPr>
            <w:r>
              <w:rPr>
                <w:rFonts w:ascii="Arial" w:hAnsi="Arial"/>
                <w:sz w:val="15"/>
              </w:rPr>
              <w:t xml:space="preserve">4.4x</w:t>
            </w:r>
          </w:p>
        </w:tc>
        <w:tc>
          <w:tcPr>
            <w:tcW w:type="dxa" w:w="909"/>
          </w:tcPr>
          <w:p>
            <w:pPr>
              <w:pStyle w:val="Compact"/>
              <w:spacing w:after="0" w:before="0" w:line="240" w:lineRule="auto"/>
              <w:jc w:val="right"/>
            </w:pPr>
            <w:r>
              <w:rPr>
                <w:rFonts w:ascii="Arial" w:hAnsi="Arial"/>
                <w:sz w:val="15"/>
              </w:rPr>
              <w:t xml:space="preserve">26.9x CIQ (~20x adj. [e])</w:t>
            </w:r>
          </w:p>
        </w:tc>
        <w:tc>
          <w:tcPr>
            <w:tcW w:type="dxa" w:w="1587"/>
          </w:tcPr>
          <w:p>
            <w:pPr>
              <w:pStyle w:val="Compact"/>
              <w:spacing w:after="0" w:before="0" w:line="240" w:lineRule="auto"/>
              <w:jc w:val="left"/>
            </w:pPr>
            <w:r>
              <w:rPr>
                <w:rFonts w:ascii="Arial" w:hAnsi="Arial"/>
                <w:sz w:val="15"/>
              </w:rPr>
              <w:t xml:space="preserve">~12% [u]</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Hill-Rom (hospital devices)</w:t>
            </w:r>
          </w:p>
        </w:tc>
        <w:tc>
          <w:tcPr>
            <w:tcW w:type="dxa" w:w="1975"/>
            <w:shd w:val="clear" w:color="auto" w:fill="F1F2F5"/>
          </w:tcPr>
          <w:p>
            <w:pPr>
              <w:pStyle w:val="Compact"/>
              <w:spacing w:after="0" w:before="0" w:line="240" w:lineRule="auto"/>
              <w:jc w:val="left"/>
            </w:pPr>
            <w:r>
              <w:rPr>
                <w:rFonts w:ascii="Arial" w:hAnsi="Arial"/>
                <w:sz w:val="15"/>
              </w:rPr>
              <w:t xml:space="preserve">Baxter</w:t>
            </w:r>
          </w:p>
        </w:tc>
        <w:tc>
          <w:tcPr>
            <w:tcW w:type="dxa" w:w="1157"/>
            <w:shd w:val="clear" w:color="auto" w:fill="F1F2F5"/>
          </w:tcPr>
          <w:p>
            <w:pPr>
              <w:pStyle w:val="Compact"/>
              <w:spacing w:after="0" w:before="0" w:line="240" w:lineRule="auto"/>
              <w:jc w:val="left"/>
            </w:pPr>
            <w:r>
              <w:rPr>
                <w:rFonts w:ascii="Arial" w:hAnsi="Arial"/>
                <w:sz w:val="15"/>
              </w:rPr>
              <w:t xml:space="preserve">Sep-2021</w:t>
            </w:r>
          </w:p>
        </w:tc>
        <w:tc>
          <w:tcPr>
            <w:tcW w:type="dxa" w:w="1396"/>
            <w:shd w:val="clear" w:color="auto" w:fill="F1F2F5"/>
          </w:tcPr>
          <w:p>
            <w:pPr>
              <w:pStyle w:val="Compact"/>
              <w:spacing w:after="0" w:before="0" w:line="240" w:lineRule="auto"/>
              <w:jc w:val="right"/>
            </w:pPr>
            <w:r>
              <w:rPr>
                <w:rFonts w:ascii="Arial" w:hAnsi="Arial"/>
                <w:sz w:val="15"/>
              </w:rPr>
              <w:t xml:space="preserve">12.41</w:t>
            </w:r>
          </w:p>
        </w:tc>
        <w:tc>
          <w:tcPr>
            <w:tcW w:type="dxa" w:w="1112"/>
            <w:shd w:val="clear" w:color="auto" w:fill="F1F2F5"/>
          </w:tcPr>
          <w:p>
            <w:pPr>
              <w:pStyle w:val="Compact"/>
              <w:spacing w:after="0" w:before="0" w:line="240" w:lineRule="auto"/>
              <w:jc w:val="right"/>
            </w:pPr>
            <w:r>
              <w:rPr>
                <w:rFonts w:ascii="Arial" w:hAnsi="Arial"/>
                <w:sz w:val="15"/>
              </w:rPr>
              <w:t xml:space="preserve">4.2x</w:t>
            </w:r>
          </w:p>
        </w:tc>
        <w:tc>
          <w:tcPr>
            <w:tcW w:type="dxa" w:w="909"/>
            <w:shd w:val="clear" w:color="auto" w:fill="F1F2F5"/>
          </w:tcPr>
          <w:p>
            <w:pPr>
              <w:pStyle w:val="Compact"/>
              <w:spacing w:after="0" w:before="0" w:line="240" w:lineRule="auto"/>
              <w:jc w:val="right"/>
            </w:pPr>
            <w:r>
              <w:rPr>
                <w:rFonts w:ascii="Arial" w:hAnsi="Arial"/>
                <w:sz w:val="15"/>
              </w:rPr>
              <w:t xml:space="preserve">19.8x</w:t>
            </w:r>
          </w:p>
        </w:tc>
        <w:tc>
          <w:tcPr>
            <w:tcW w:type="dxa" w:w="1587"/>
            <w:shd w:val="clear" w:color="auto" w:fill="F1F2F5"/>
          </w:tcPr>
          <w:p>
            <w:pPr>
              <w:pStyle w:val="Compact"/>
              <w:spacing w:after="0" w:before="0" w:line="240" w:lineRule="auto"/>
              <w:jc w:val="left"/>
            </w:pPr>
            <w:r>
              <w:rPr>
                <w:rFonts w:ascii="Arial" w:hAnsi="Arial"/>
                <w:sz w:val="15"/>
              </w:rPr>
              <w:t xml:space="preserve">~26% [u]</w:t>
            </w:r>
          </w:p>
        </w:tc>
      </w:tr>
      <w:tr>
        <w:trPr>
          <w:cantSplit/>
        </w:trPr>
        <w:tc>
          <w:tcPr>
            <w:tcW w:type="dxa" w:w="1842"/>
          </w:tcPr>
          <w:p>
            <w:pPr>
              <w:pStyle w:val="Compact"/>
              <w:spacing w:after="0" w:before="0" w:line="240" w:lineRule="auto"/>
              <w:jc w:val="left"/>
            </w:pPr>
            <w:r>
              <w:rPr>
                <w:rFonts w:ascii="Arial" w:hAnsi="Arial"/>
                <w:sz w:val="15"/>
              </w:rPr>
              <w:t xml:space="preserve">Intersect ENT</w:t>
            </w:r>
          </w:p>
        </w:tc>
        <w:tc>
          <w:tcPr>
            <w:tcW w:type="dxa" w:w="1975"/>
          </w:tcPr>
          <w:p>
            <w:pPr>
              <w:pStyle w:val="Compact"/>
              <w:spacing w:after="0" w:before="0" w:line="240" w:lineRule="auto"/>
              <w:jc w:val="left"/>
            </w:pPr>
            <w:r>
              <w:rPr>
                <w:rFonts w:ascii="Arial" w:hAnsi="Arial"/>
                <w:sz w:val="15"/>
              </w:rPr>
              <w:t xml:space="preserve">Medtronic</w:t>
            </w:r>
          </w:p>
        </w:tc>
        <w:tc>
          <w:tcPr>
            <w:tcW w:type="dxa" w:w="1157"/>
          </w:tcPr>
          <w:p>
            <w:pPr>
              <w:pStyle w:val="Compact"/>
              <w:spacing w:after="0" w:before="0" w:line="240" w:lineRule="auto"/>
              <w:jc w:val="left"/>
            </w:pPr>
            <w:r>
              <w:rPr>
                <w:rFonts w:ascii="Arial" w:hAnsi="Arial"/>
                <w:sz w:val="15"/>
              </w:rPr>
              <w:t xml:space="preserve">Aug-2021</w:t>
            </w:r>
          </w:p>
        </w:tc>
        <w:tc>
          <w:tcPr>
            <w:tcW w:type="dxa" w:w="1396"/>
          </w:tcPr>
          <w:p>
            <w:pPr>
              <w:pStyle w:val="Compact"/>
              <w:spacing w:after="0" w:before="0" w:line="240" w:lineRule="auto"/>
              <w:jc w:val="right"/>
            </w:pPr>
            <w:r>
              <w:rPr>
                <w:rFonts w:ascii="Arial" w:hAnsi="Arial"/>
                <w:sz w:val="15"/>
              </w:rPr>
              <w:t xml:space="preserve">1.10</w:t>
            </w:r>
          </w:p>
        </w:tc>
        <w:tc>
          <w:tcPr>
            <w:tcW w:type="dxa" w:w="1112"/>
          </w:tcPr>
          <w:p>
            <w:pPr>
              <w:pStyle w:val="Compact"/>
              <w:spacing w:after="0" w:before="0" w:line="240" w:lineRule="auto"/>
              <w:jc w:val="right"/>
            </w:pPr>
            <w:r>
              <w:rPr>
                <w:rFonts w:ascii="Arial" w:hAnsi="Arial"/>
                <w:sz w:val="15"/>
              </w:rPr>
              <w:t xml:space="preserve">10.7x</w:t>
            </w:r>
          </w:p>
        </w:tc>
        <w:tc>
          <w:tcPr>
            <w:tcW w:type="dxa" w:w="909"/>
          </w:tcPr>
          <w:p>
            <w:pPr>
              <w:pStyle w:val="Compact"/>
              <w:spacing w:after="0" w:before="0" w:line="240" w:lineRule="auto"/>
              <w:jc w:val="right"/>
            </w:pPr>
            <w:r>
              <w:rPr>
                <w:rFonts w:ascii="Arial" w:hAnsi="Arial"/>
                <w:sz w:val="15"/>
              </w:rPr>
              <w:t xml:space="preserve">n/m</w:t>
            </w:r>
          </w:p>
        </w:tc>
        <w:tc>
          <w:tcPr>
            <w:tcW w:type="dxa" w:w="1587"/>
          </w:tcPr>
          <w:p>
            <w:pPr>
              <w:pStyle w:val="Compact"/>
              <w:spacing w:after="0" w:before="0" w:line="240" w:lineRule="auto"/>
              <w:jc w:val="left"/>
            </w:pPr>
            <w:r>
              <w:rPr>
                <w:rFonts w:ascii="Arial" w:hAnsi="Arial"/>
                <w:sz w:val="15"/>
              </w:rPr>
              <w:t xml:space="preserve">~37% [u]</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Vocera</w:t>
            </w:r>
          </w:p>
        </w:tc>
        <w:tc>
          <w:tcPr>
            <w:tcW w:type="dxa" w:w="1975"/>
            <w:shd w:val="clear" w:color="auto" w:fill="F1F2F5"/>
          </w:tcPr>
          <w:p>
            <w:pPr>
              <w:pStyle w:val="Compact"/>
              <w:spacing w:after="0" w:before="0" w:line="240" w:lineRule="auto"/>
              <w:jc w:val="left"/>
            </w:pPr>
            <w:r>
              <w:rPr>
                <w:rFonts w:ascii="Arial" w:hAnsi="Arial"/>
                <w:sz w:val="15"/>
              </w:rPr>
              <w:t xml:space="preserve">Stryker</w:t>
            </w:r>
          </w:p>
        </w:tc>
        <w:tc>
          <w:tcPr>
            <w:tcW w:type="dxa" w:w="1157"/>
            <w:shd w:val="clear" w:color="auto" w:fill="F1F2F5"/>
          </w:tcPr>
          <w:p>
            <w:pPr>
              <w:pStyle w:val="Compact"/>
              <w:spacing w:after="0" w:before="0" w:line="240" w:lineRule="auto"/>
              <w:jc w:val="left"/>
            </w:pPr>
            <w:r>
              <w:rPr>
                <w:rFonts w:ascii="Arial" w:hAnsi="Arial"/>
                <w:sz w:val="15"/>
              </w:rPr>
              <w:t xml:space="preserve">Jan-2022</w:t>
            </w:r>
          </w:p>
        </w:tc>
        <w:tc>
          <w:tcPr>
            <w:tcW w:type="dxa" w:w="1396"/>
            <w:shd w:val="clear" w:color="auto" w:fill="F1F2F5"/>
          </w:tcPr>
          <w:p>
            <w:pPr>
              <w:pStyle w:val="Compact"/>
              <w:spacing w:after="0" w:before="0" w:line="240" w:lineRule="auto"/>
              <w:jc w:val="right"/>
            </w:pPr>
            <w:r>
              <w:rPr>
                <w:rFonts w:ascii="Arial" w:hAnsi="Arial"/>
                <w:sz w:val="15"/>
              </w:rPr>
              <w:t xml:space="preserve">2.99</w:t>
            </w:r>
          </w:p>
        </w:tc>
        <w:tc>
          <w:tcPr>
            <w:tcW w:type="dxa" w:w="1112"/>
            <w:shd w:val="clear" w:color="auto" w:fill="F1F2F5"/>
          </w:tcPr>
          <w:p>
            <w:pPr>
              <w:pStyle w:val="Compact"/>
              <w:spacing w:after="0" w:before="0" w:line="240" w:lineRule="auto"/>
              <w:jc w:val="right"/>
            </w:pPr>
            <w:r>
              <w:rPr>
                <w:rFonts w:ascii="Arial" w:hAnsi="Arial"/>
                <w:sz w:val="15"/>
              </w:rPr>
              <w:t xml:space="preserve">13.3x</w:t>
            </w:r>
          </w:p>
        </w:tc>
        <w:tc>
          <w:tcPr>
            <w:tcW w:type="dxa" w:w="909"/>
            <w:shd w:val="clear" w:color="auto" w:fill="F1F2F5"/>
          </w:tcPr>
          <w:p>
            <w:pPr>
              <w:pStyle w:val="Compact"/>
              <w:spacing w:after="0" w:before="0" w:line="240" w:lineRule="auto"/>
              <w:jc w:val="right"/>
            </w:pPr>
            <w:r>
              <w:rPr>
                <w:rFonts w:ascii="Arial" w:hAnsi="Arial"/>
                <w:sz w:val="15"/>
              </w:rPr>
              <w:t xml:space="preserve">n/m</w:t>
            </w:r>
          </w:p>
        </w:tc>
        <w:tc>
          <w:tcPr>
            <w:tcW w:type="dxa" w:w="1587"/>
            <w:shd w:val="clear" w:color="auto" w:fill="F1F2F5"/>
          </w:tcPr>
          <w:p>
            <w:pPr>
              <w:pStyle w:val="Compact"/>
              <w:spacing w:after="0" w:before="0" w:line="240" w:lineRule="auto"/>
              <w:jc w:val="left"/>
            </w:pPr>
            <w:r>
              <w:rPr>
                <w:rFonts w:ascii="Arial" w:hAnsi="Arial"/>
                <w:sz w:val="15"/>
              </w:rPr>
              <w:t xml:space="preserve">~26% [u]</w:t>
            </w:r>
          </w:p>
        </w:tc>
      </w:tr>
      <w:tr>
        <w:trPr>
          <w:cantSplit/>
        </w:trPr>
        <w:tc>
          <w:tcPr>
            <w:tcW w:type="dxa" w:w="1842"/>
          </w:tcPr>
          <w:p>
            <w:pPr>
              <w:pStyle w:val="Compact"/>
              <w:spacing w:after="0" w:before="0" w:line="240" w:lineRule="auto"/>
              <w:jc w:val="left"/>
            </w:pPr>
            <w:r>
              <w:rPr>
                <w:bCs/>
                <w:rFonts w:ascii="Arial" w:hAnsi="Arial"/>
                <w:b/>
                <w:sz w:val="15"/>
              </w:rPr>
              <w:t xml:space="preserve">Evident (Olympus Scientific Solutions)</w:t>
            </w:r>
          </w:p>
        </w:tc>
        <w:tc>
          <w:tcPr>
            <w:tcW w:type="dxa" w:w="1975"/>
          </w:tcPr>
          <w:p>
            <w:pPr>
              <w:pStyle w:val="Compact"/>
              <w:spacing w:after="0" w:before="0" w:line="240" w:lineRule="auto"/>
              <w:jc w:val="left"/>
            </w:pPr>
            <w:r>
              <w:rPr>
                <w:bCs/>
                <w:rFonts w:ascii="Arial" w:hAnsi="Arial"/>
                <w:b/>
                <w:sz w:val="15"/>
              </w:rPr>
              <w:t xml:space="preserve">Bain Capital</w:t>
            </w:r>
          </w:p>
        </w:tc>
        <w:tc>
          <w:tcPr>
            <w:tcW w:type="dxa" w:w="1157"/>
          </w:tcPr>
          <w:p>
            <w:pPr>
              <w:pStyle w:val="Compact"/>
              <w:spacing w:after="0" w:before="0" w:line="240" w:lineRule="auto"/>
              <w:jc w:val="left"/>
            </w:pPr>
            <w:r>
              <w:rPr>
                <w:rFonts w:ascii="Arial" w:hAnsi="Arial"/>
                <w:sz w:val="15"/>
              </w:rPr>
              <w:t xml:space="preserve">Aug-2022</w:t>
            </w:r>
          </w:p>
        </w:tc>
        <w:tc>
          <w:tcPr>
            <w:tcW w:type="dxa" w:w="1396"/>
          </w:tcPr>
          <w:p>
            <w:pPr>
              <w:pStyle w:val="Compact"/>
              <w:spacing w:after="0" w:before="0" w:line="240" w:lineRule="auto"/>
              <w:jc w:val="right"/>
            </w:pPr>
            <w:r>
              <w:rPr>
                <w:rFonts w:ascii="Arial" w:hAnsi="Arial"/>
                <w:sz w:val="15"/>
              </w:rPr>
              <w:t xml:space="preserve">~3.1 (JPY427.7bn)</w:t>
            </w:r>
          </w:p>
        </w:tc>
        <w:tc>
          <w:tcPr>
            <w:tcW w:type="dxa" w:w="1112"/>
          </w:tcPr>
          <w:p>
            <w:pPr>
              <w:pStyle w:val="Compact"/>
              <w:spacing w:after="0" w:before="0" w:line="240" w:lineRule="auto"/>
              <w:jc w:val="right"/>
            </w:pPr>
            <w:r>
              <w:rPr>
                <w:rFonts w:ascii="Arial" w:hAnsi="Arial"/>
                <w:sz w:val="15"/>
              </w:rPr>
              <w:t xml:space="preserve">3.6x</w:t>
            </w:r>
          </w:p>
        </w:tc>
        <w:tc>
          <w:tcPr>
            <w:tcW w:type="dxa" w:w="909"/>
          </w:tcPr>
          <w:p>
            <w:pPr>
              <w:pStyle w:val="Compact"/>
              <w:spacing w:after="0" w:before="0" w:line="240" w:lineRule="auto"/>
              <w:jc w:val="right"/>
            </w:pPr>
            <w:r>
              <w:rPr>
                <w:rFonts w:ascii="Arial" w:hAnsi="Arial"/>
                <w:sz w:val="15"/>
              </w:rPr>
              <w:t xml:space="preserve">~17.3x [e]</w:t>
            </w:r>
          </w:p>
        </w:tc>
        <w:tc>
          <w:tcPr>
            <w:tcW w:type="dxa" w:w="1587"/>
          </w:tcPr>
          <w:p>
            <w:pPr>
              <w:pStyle w:val="Compact"/>
              <w:spacing w:after="0" w:before="0" w:line="240" w:lineRule="auto"/>
              <w:jc w:val="left"/>
            </w:pPr>
            <w:r>
              <w:rPr>
                <w:rFonts w:ascii="Arial" w:hAnsi="Arial"/>
                <w:sz w:val="15"/>
              </w:rPr>
              <w:t xml:space="preserve">carve-out</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Abiomed</w:t>
            </w:r>
          </w:p>
        </w:tc>
        <w:tc>
          <w:tcPr>
            <w:tcW w:type="dxa" w:w="1975"/>
            <w:shd w:val="clear" w:color="auto" w:fill="F1F2F5"/>
          </w:tcPr>
          <w:p>
            <w:pPr>
              <w:pStyle w:val="Compact"/>
              <w:spacing w:after="0" w:before="0" w:line="240" w:lineRule="auto"/>
              <w:jc w:val="left"/>
            </w:pPr>
            <w:r>
              <w:rPr>
                <w:rFonts w:ascii="Arial" w:hAnsi="Arial"/>
                <w:sz w:val="15"/>
              </w:rPr>
              <w:t xml:space="preserve">J&amp;J</w:t>
            </w:r>
          </w:p>
        </w:tc>
        <w:tc>
          <w:tcPr>
            <w:tcW w:type="dxa" w:w="1157"/>
            <w:shd w:val="clear" w:color="auto" w:fill="F1F2F5"/>
          </w:tcPr>
          <w:p>
            <w:pPr>
              <w:pStyle w:val="Compact"/>
              <w:spacing w:after="0" w:before="0" w:line="240" w:lineRule="auto"/>
              <w:jc w:val="left"/>
            </w:pPr>
            <w:r>
              <w:rPr>
                <w:rFonts w:ascii="Arial" w:hAnsi="Arial"/>
                <w:sz w:val="15"/>
              </w:rPr>
              <w:t xml:space="preserve">Nov-2022</w:t>
            </w:r>
          </w:p>
        </w:tc>
        <w:tc>
          <w:tcPr>
            <w:tcW w:type="dxa" w:w="1396"/>
            <w:shd w:val="clear" w:color="auto" w:fill="F1F2F5"/>
          </w:tcPr>
          <w:p>
            <w:pPr>
              <w:pStyle w:val="Compact"/>
              <w:spacing w:after="0" w:before="0" w:line="240" w:lineRule="auto"/>
              <w:jc w:val="right"/>
            </w:pPr>
            <w:r>
              <w:rPr>
                <w:rFonts w:ascii="Arial" w:hAnsi="Arial"/>
                <w:sz w:val="15"/>
              </w:rPr>
              <w:t xml:space="preserve">18.16</w:t>
            </w:r>
          </w:p>
        </w:tc>
        <w:tc>
          <w:tcPr>
            <w:tcW w:type="dxa" w:w="1112"/>
            <w:shd w:val="clear" w:color="auto" w:fill="F1F2F5"/>
          </w:tcPr>
          <w:p>
            <w:pPr>
              <w:pStyle w:val="Compact"/>
              <w:spacing w:after="0" w:before="0" w:line="240" w:lineRule="auto"/>
              <w:jc w:val="right"/>
            </w:pPr>
            <w:r>
              <w:rPr>
                <w:rFonts w:ascii="Arial" w:hAnsi="Arial"/>
                <w:sz w:val="15"/>
              </w:rPr>
              <w:t xml:space="preserve">18.1x</w:t>
            </w:r>
          </w:p>
        </w:tc>
        <w:tc>
          <w:tcPr>
            <w:tcW w:type="dxa" w:w="909"/>
            <w:shd w:val="clear" w:color="auto" w:fill="F1F2F5"/>
          </w:tcPr>
          <w:p>
            <w:pPr>
              <w:pStyle w:val="Compact"/>
              <w:spacing w:after="0" w:before="0" w:line="240" w:lineRule="auto"/>
              <w:jc w:val="right"/>
            </w:pPr>
            <w:r>
              <w:rPr>
                <w:rFonts w:ascii="Arial" w:hAnsi="Arial"/>
                <w:sz w:val="15"/>
              </w:rPr>
              <w:t xml:space="preserve">64.7x</w:t>
            </w:r>
          </w:p>
        </w:tc>
        <w:tc>
          <w:tcPr>
            <w:tcW w:type="dxa" w:w="1587"/>
            <w:shd w:val="clear" w:color="auto" w:fill="F1F2F5"/>
          </w:tcPr>
          <w:p>
            <w:pPr>
              <w:pStyle w:val="Compact"/>
              <w:spacing w:after="0" w:before="0" w:line="240" w:lineRule="auto"/>
              <w:jc w:val="left"/>
            </w:pPr>
            <w:r>
              <w:rPr>
                <w:rFonts w:ascii="Arial" w:hAnsi="Arial"/>
                <w:sz w:val="15"/>
              </w:rPr>
              <w:t xml:space="preserve">~51% [u]</w:t>
            </w:r>
          </w:p>
        </w:tc>
      </w:tr>
      <w:tr>
        <w:trPr>
          <w:cantSplit/>
        </w:trPr>
        <w:tc>
          <w:tcPr>
            <w:tcW w:type="dxa" w:w="1842"/>
          </w:tcPr>
          <w:p>
            <w:pPr>
              <w:pStyle w:val="Compact"/>
              <w:spacing w:after="0" w:before="0" w:line="240" w:lineRule="auto"/>
              <w:jc w:val="left"/>
            </w:pPr>
            <w:r>
              <w:rPr>
                <w:rFonts w:ascii="Arial" w:hAnsi="Arial"/>
                <w:sz w:val="15"/>
              </w:rPr>
              <w:t xml:space="preserve">Apollo Endosurgery (GI)</w:t>
            </w:r>
          </w:p>
        </w:tc>
        <w:tc>
          <w:tcPr>
            <w:tcW w:type="dxa" w:w="1975"/>
          </w:tcPr>
          <w:p>
            <w:pPr>
              <w:pStyle w:val="Compact"/>
              <w:spacing w:after="0" w:before="0" w:line="240" w:lineRule="auto"/>
              <w:jc w:val="left"/>
            </w:pPr>
            <w:r>
              <w:rPr>
                <w:rFonts w:ascii="Arial" w:hAnsi="Arial"/>
                <w:sz w:val="15"/>
              </w:rPr>
              <w:t xml:space="preserve">Boston Scientific</w:t>
            </w:r>
          </w:p>
        </w:tc>
        <w:tc>
          <w:tcPr>
            <w:tcW w:type="dxa" w:w="1157"/>
          </w:tcPr>
          <w:p>
            <w:pPr>
              <w:pStyle w:val="Compact"/>
              <w:spacing w:after="0" w:before="0" w:line="240" w:lineRule="auto"/>
              <w:jc w:val="left"/>
            </w:pPr>
            <w:r>
              <w:rPr>
                <w:rFonts w:ascii="Arial" w:hAnsi="Arial"/>
                <w:sz w:val="15"/>
              </w:rPr>
              <w:t xml:space="preserve">Nov-2022</w:t>
            </w:r>
          </w:p>
        </w:tc>
        <w:tc>
          <w:tcPr>
            <w:tcW w:type="dxa" w:w="1396"/>
          </w:tcPr>
          <w:p>
            <w:pPr>
              <w:pStyle w:val="Compact"/>
              <w:spacing w:after="0" w:before="0" w:line="240" w:lineRule="auto"/>
              <w:jc w:val="right"/>
            </w:pPr>
            <w:r>
              <w:rPr>
                <w:rFonts w:ascii="Arial" w:hAnsi="Arial"/>
                <w:sz w:val="15"/>
              </w:rPr>
              <w:t xml:space="preserve">0.64</w:t>
            </w:r>
          </w:p>
        </w:tc>
        <w:tc>
          <w:tcPr>
            <w:tcW w:type="dxa" w:w="1112"/>
          </w:tcPr>
          <w:p>
            <w:pPr>
              <w:pStyle w:val="Compact"/>
              <w:spacing w:after="0" w:before="0" w:line="240" w:lineRule="auto"/>
              <w:jc w:val="right"/>
            </w:pPr>
            <w:r>
              <w:rPr>
                <w:rFonts w:ascii="Arial" w:hAnsi="Arial"/>
                <w:sz w:val="15"/>
              </w:rPr>
              <w:t xml:space="preserve">9.0x</w:t>
            </w:r>
          </w:p>
        </w:tc>
        <w:tc>
          <w:tcPr>
            <w:tcW w:type="dxa" w:w="909"/>
          </w:tcPr>
          <w:p>
            <w:pPr>
              <w:pStyle w:val="Compact"/>
              <w:spacing w:after="0" w:before="0" w:line="240" w:lineRule="auto"/>
              <w:jc w:val="right"/>
            </w:pPr>
            <w:r>
              <w:rPr>
                <w:rFonts w:ascii="Arial" w:hAnsi="Arial"/>
                <w:sz w:val="15"/>
              </w:rPr>
              <w:t xml:space="preserve">n/m</w:t>
            </w:r>
          </w:p>
        </w:tc>
        <w:tc>
          <w:tcPr>
            <w:tcW w:type="dxa" w:w="1587"/>
          </w:tcPr>
          <w:p>
            <w:pPr>
              <w:pStyle w:val="Compact"/>
              <w:spacing w:after="0" w:before="0" w:line="240" w:lineRule="auto"/>
              <w:jc w:val="left"/>
            </w:pPr>
            <w:r>
              <w:rPr>
                <w:rFonts w:ascii="Arial" w:hAnsi="Arial"/>
                <w:sz w:val="15"/>
              </w:rPr>
              <w:t xml:space="preserve">~59% [u]</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Axonics (urology)</w:t>
            </w:r>
          </w:p>
        </w:tc>
        <w:tc>
          <w:tcPr>
            <w:tcW w:type="dxa" w:w="1975"/>
            <w:shd w:val="clear" w:color="auto" w:fill="F1F2F5"/>
          </w:tcPr>
          <w:p>
            <w:pPr>
              <w:pStyle w:val="Compact"/>
              <w:spacing w:after="0" w:before="0" w:line="240" w:lineRule="auto"/>
              <w:jc w:val="left"/>
            </w:pPr>
            <w:r>
              <w:rPr>
                <w:rFonts w:ascii="Arial" w:hAnsi="Arial"/>
                <w:sz w:val="15"/>
              </w:rPr>
              <w:t xml:space="preserve">Boston Scientific</w:t>
            </w:r>
          </w:p>
        </w:tc>
        <w:tc>
          <w:tcPr>
            <w:tcW w:type="dxa" w:w="1157"/>
            <w:shd w:val="clear" w:color="auto" w:fill="F1F2F5"/>
          </w:tcPr>
          <w:p>
            <w:pPr>
              <w:pStyle w:val="Compact"/>
              <w:spacing w:after="0" w:before="0" w:line="240" w:lineRule="auto"/>
              <w:jc w:val="left"/>
            </w:pPr>
            <w:r>
              <w:rPr>
                <w:rFonts w:ascii="Arial" w:hAnsi="Arial"/>
                <w:sz w:val="15"/>
              </w:rPr>
              <w:t xml:space="preserve">Jan-2024</w:t>
            </w:r>
          </w:p>
        </w:tc>
        <w:tc>
          <w:tcPr>
            <w:tcW w:type="dxa" w:w="1396"/>
            <w:shd w:val="clear" w:color="auto" w:fill="F1F2F5"/>
          </w:tcPr>
          <w:p>
            <w:pPr>
              <w:pStyle w:val="Compact"/>
              <w:spacing w:after="0" w:before="0" w:line="240" w:lineRule="auto"/>
              <w:jc w:val="right"/>
            </w:pPr>
            <w:r>
              <w:rPr>
                <w:rFonts w:ascii="Arial" w:hAnsi="Arial"/>
                <w:sz w:val="15"/>
              </w:rPr>
              <w:t xml:space="preserve">3.36</w:t>
            </w:r>
          </w:p>
        </w:tc>
        <w:tc>
          <w:tcPr>
            <w:tcW w:type="dxa" w:w="1112"/>
            <w:shd w:val="clear" w:color="auto" w:fill="F1F2F5"/>
          </w:tcPr>
          <w:p>
            <w:pPr>
              <w:pStyle w:val="Compact"/>
              <w:spacing w:after="0" w:before="0" w:line="240" w:lineRule="auto"/>
              <w:jc w:val="right"/>
            </w:pPr>
            <w:r>
              <w:rPr>
                <w:rFonts w:ascii="Arial" w:hAnsi="Arial"/>
                <w:sz w:val="15"/>
              </w:rPr>
              <w:t xml:space="preserve">9.8x</w:t>
            </w:r>
          </w:p>
        </w:tc>
        <w:tc>
          <w:tcPr>
            <w:tcW w:type="dxa" w:w="909"/>
            <w:shd w:val="clear" w:color="auto" w:fill="F1F2F5"/>
          </w:tcPr>
          <w:p>
            <w:pPr>
              <w:pStyle w:val="Compact"/>
              <w:spacing w:after="0" w:before="0" w:line="240" w:lineRule="auto"/>
              <w:jc w:val="right"/>
            </w:pPr>
            <w:r>
              <w:rPr>
                <w:rFonts w:ascii="Arial" w:hAnsi="Arial"/>
                <w:sz w:val="15"/>
              </w:rPr>
              <w:t xml:space="preserve">n/m</w:t>
            </w:r>
          </w:p>
        </w:tc>
        <w:tc>
          <w:tcPr>
            <w:tcW w:type="dxa" w:w="1587"/>
            <w:shd w:val="clear" w:color="auto" w:fill="F1F2F5"/>
          </w:tcPr>
          <w:p>
            <w:pPr>
              <w:pStyle w:val="Compact"/>
              <w:spacing w:after="0" w:before="0" w:line="240" w:lineRule="auto"/>
              <w:jc w:val="left"/>
            </w:pPr>
            <w:r>
              <w:rPr>
                <w:rFonts w:ascii="Arial" w:hAnsi="Arial"/>
                <w:sz w:val="15"/>
              </w:rPr>
              <w:t xml:space="preserve">~23% [u]</w:t>
            </w:r>
          </w:p>
        </w:tc>
      </w:tr>
      <w:tr>
        <w:trPr>
          <w:cantSplit/>
        </w:trPr>
        <w:tc>
          <w:tcPr>
            <w:tcW w:type="dxa" w:w="1842"/>
          </w:tcPr>
          <w:p>
            <w:pPr>
              <w:pStyle w:val="Compact"/>
              <w:spacing w:after="0" w:before="0" w:line="240" w:lineRule="auto"/>
              <w:jc w:val="left"/>
            </w:pPr>
            <w:r>
              <w:rPr>
                <w:rFonts w:ascii="Arial" w:hAnsi="Arial"/>
                <w:sz w:val="15"/>
              </w:rPr>
              <w:t xml:space="preserve">Shockwave</w:t>
            </w:r>
          </w:p>
        </w:tc>
        <w:tc>
          <w:tcPr>
            <w:tcW w:type="dxa" w:w="1975"/>
          </w:tcPr>
          <w:p>
            <w:pPr>
              <w:pStyle w:val="Compact"/>
              <w:spacing w:after="0" w:before="0" w:line="240" w:lineRule="auto"/>
              <w:jc w:val="left"/>
            </w:pPr>
            <w:r>
              <w:rPr>
                <w:rFonts w:ascii="Arial" w:hAnsi="Arial"/>
                <w:sz w:val="15"/>
              </w:rPr>
              <w:t xml:space="preserve">J&amp;J</w:t>
            </w:r>
          </w:p>
        </w:tc>
        <w:tc>
          <w:tcPr>
            <w:tcW w:type="dxa" w:w="1157"/>
          </w:tcPr>
          <w:p>
            <w:pPr>
              <w:pStyle w:val="Compact"/>
              <w:spacing w:after="0" w:before="0" w:line="240" w:lineRule="auto"/>
              <w:jc w:val="left"/>
            </w:pPr>
            <w:r>
              <w:rPr>
                <w:rFonts w:ascii="Arial" w:hAnsi="Arial"/>
                <w:sz w:val="15"/>
              </w:rPr>
              <w:t xml:space="preserve">Apr-2024</w:t>
            </w:r>
          </w:p>
        </w:tc>
        <w:tc>
          <w:tcPr>
            <w:tcW w:type="dxa" w:w="1396"/>
          </w:tcPr>
          <w:p>
            <w:pPr>
              <w:pStyle w:val="Compact"/>
              <w:spacing w:after="0" w:before="0" w:line="240" w:lineRule="auto"/>
              <w:jc w:val="right"/>
            </w:pPr>
            <w:r>
              <w:rPr>
                <w:rFonts w:ascii="Arial" w:hAnsi="Arial"/>
                <w:sz w:val="15"/>
              </w:rPr>
              <w:t xml:space="preserve">12.92</w:t>
            </w:r>
          </w:p>
        </w:tc>
        <w:tc>
          <w:tcPr>
            <w:tcW w:type="dxa" w:w="1112"/>
          </w:tcPr>
          <w:p>
            <w:pPr>
              <w:pStyle w:val="Compact"/>
              <w:spacing w:after="0" w:before="0" w:line="240" w:lineRule="auto"/>
              <w:jc w:val="right"/>
            </w:pPr>
            <w:r>
              <w:rPr>
                <w:rFonts w:ascii="Arial" w:hAnsi="Arial"/>
                <w:sz w:val="15"/>
              </w:rPr>
              <w:t xml:space="preserve">17.7x</w:t>
            </w:r>
          </w:p>
        </w:tc>
        <w:tc>
          <w:tcPr>
            <w:tcW w:type="dxa" w:w="909"/>
          </w:tcPr>
          <w:p>
            <w:pPr>
              <w:pStyle w:val="Compact"/>
              <w:spacing w:after="0" w:before="0" w:line="240" w:lineRule="auto"/>
              <w:jc w:val="right"/>
            </w:pPr>
            <w:r>
              <w:rPr>
                <w:rFonts w:ascii="Arial" w:hAnsi="Arial"/>
                <w:sz w:val="15"/>
              </w:rPr>
              <w:t xml:space="preserve">73x</w:t>
            </w:r>
          </w:p>
        </w:tc>
        <w:tc>
          <w:tcPr>
            <w:tcW w:type="dxa" w:w="1587"/>
          </w:tcPr>
          <w:p>
            <w:pPr>
              <w:pStyle w:val="Compact"/>
              <w:spacing w:after="0" w:before="0" w:line="240" w:lineRule="auto"/>
              <w:jc w:val="left"/>
            </w:pPr>
            <w:r>
              <w:rPr>
                <w:rFonts w:ascii="Arial" w:hAnsi="Arial"/>
                <w:sz w:val="15"/>
              </w:rPr>
              <w:t xml:space="preserve">~5% vs prior close [u]</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Silk Road Medical</w:t>
            </w:r>
          </w:p>
        </w:tc>
        <w:tc>
          <w:tcPr>
            <w:tcW w:type="dxa" w:w="1975"/>
            <w:shd w:val="clear" w:color="auto" w:fill="F1F2F5"/>
          </w:tcPr>
          <w:p>
            <w:pPr>
              <w:pStyle w:val="Compact"/>
              <w:spacing w:after="0" w:before="0" w:line="240" w:lineRule="auto"/>
              <w:jc w:val="left"/>
            </w:pPr>
            <w:r>
              <w:rPr>
                <w:rFonts w:ascii="Arial" w:hAnsi="Arial"/>
                <w:sz w:val="15"/>
              </w:rPr>
              <w:t xml:space="preserve">Boston Scientific</w:t>
            </w:r>
          </w:p>
        </w:tc>
        <w:tc>
          <w:tcPr>
            <w:tcW w:type="dxa" w:w="1157"/>
            <w:shd w:val="clear" w:color="auto" w:fill="F1F2F5"/>
          </w:tcPr>
          <w:p>
            <w:pPr>
              <w:pStyle w:val="Compact"/>
              <w:spacing w:after="0" w:before="0" w:line="240" w:lineRule="auto"/>
              <w:jc w:val="left"/>
            </w:pPr>
            <w:r>
              <w:rPr>
                <w:rFonts w:ascii="Arial" w:hAnsi="Arial"/>
                <w:sz w:val="15"/>
              </w:rPr>
              <w:t xml:space="preserve">Jun-2024</w:t>
            </w:r>
          </w:p>
        </w:tc>
        <w:tc>
          <w:tcPr>
            <w:tcW w:type="dxa" w:w="1396"/>
            <w:shd w:val="clear" w:color="auto" w:fill="F1F2F5"/>
          </w:tcPr>
          <w:p>
            <w:pPr>
              <w:pStyle w:val="Compact"/>
              <w:spacing w:after="0" w:before="0" w:line="240" w:lineRule="auto"/>
              <w:jc w:val="right"/>
            </w:pPr>
            <w:r>
              <w:rPr>
                <w:rFonts w:ascii="Arial" w:hAnsi="Arial"/>
                <w:sz w:val="15"/>
              </w:rPr>
              <w:t xml:space="preserve">1.17</w:t>
            </w:r>
          </w:p>
        </w:tc>
        <w:tc>
          <w:tcPr>
            <w:tcW w:type="dxa" w:w="1112"/>
            <w:shd w:val="clear" w:color="auto" w:fill="F1F2F5"/>
          </w:tcPr>
          <w:p>
            <w:pPr>
              <w:pStyle w:val="Compact"/>
              <w:spacing w:after="0" w:before="0" w:line="240" w:lineRule="auto"/>
              <w:jc w:val="right"/>
            </w:pPr>
            <w:r>
              <w:rPr>
                <w:rFonts w:ascii="Arial" w:hAnsi="Arial"/>
                <w:sz w:val="15"/>
              </w:rPr>
              <w:t xml:space="preserve">6.3x</w:t>
            </w:r>
          </w:p>
        </w:tc>
        <w:tc>
          <w:tcPr>
            <w:tcW w:type="dxa" w:w="909"/>
            <w:shd w:val="clear" w:color="auto" w:fill="F1F2F5"/>
          </w:tcPr>
          <w:p>
            <w:pPr>
              <w:pStyle w:val="Compact"/>
              <w:spacing w:after="0" w:before="0" w:line="240" w:lineRule="auto"/>
              <w:jc w:val="right"/>
            </w:pPr>
            <w:r>
              <w:rPr>
                <w:rFonts w:ascii="Arial" w:hAnsi="Arial"/>
                <w:sz w:val="15"/>
              </w:rPr>
              <w:t xml:space="preserve">n/m</w:t>
            </w:r>
          </w:p>
        </w:tc>
        <w:tc>
          <w:tcPr>
            <w:tcW w:type="dxa" w:w="1587"/>
            <w:shd w:val="clear" w:color="auto" w:fill="F1F2F5"/>
          </w:tcPr>
          <w:p>
            <w:pPr>
              <w:pStyle w:val="Compact"/>
              <w:spacing w:after="0" w:before="0" w:line="240" w:lineRule="auto"/>
              <w:jc w:val="left"/>
            </w:pPr>
            <w:r>
              <w:rPr>
                <w:rFonts w:ascii="Arial" w:hAnsi="Arial"/>
                <w:sz w:val="15"/>
              </w:rPr>
              <w:t xml:space="preserve">~27% [u]</w:t>
            </w:r>
          </w:p>
        </w:tc>
      </w:tr>
      <w:tr>
        <w:trPr>
          <w:cantSplit/>
        </w:trPr>
        <w:tc>
          <w:tcPr>
            <w:tcW w:type="dxa" w:w="1842"/>
          </w:tcPr>
          <w:p>
            <w:pPr>
              <w:pStyle w:val="Compact"/>
              <w:spacing w:after="0" w:before="0" w:line="240" w:lineRule="auto"/>
              <w:jc w:val="left"/>
            </w:pPr>
            <w:r>
              <w:rPr>
                <w:rFonts w:ascii="Arial" w:hAnsi="Arial"/>
                <w:sz w:val="15"/>
              </w:rPr>
              <w:t xml:space="preserve">Inari Medical</w:t>
            </w:r>
          </w:p>
        </w:tc>
        <w:tc>
          <w:tcPr>
            <w:tcW w:type="dxa" w:w="1975"/>
          </w:tcPr>
          <w:p>
            <w:pPr>
              <w:pStyle w:val="Compact"/>
              <w:spacing w:after="0" w:before="0" w:line="240" w:lineRule="auto"/>
              <w:jc w:val="left"/>
            </w:pPr>
            <w:r>
              <w:rPr>
                <w:rFonts w:ascii="Arial" w:hAnsi="Arial"/>
                <w:sz w:val="15"/>
              </w:rPr>
              <w:t xml:space="preserve">Stryker</w:t>
            </w:r>
          </w:p>
        </w:tc>
        <w:tc>
          <w:tcPr>
            <w:tcW w:type="dxa" w:w="1157"/>
          </w:tcPr>
          <w:p>
            <w:pPr>
              <w:pStyle w:val="Compact"/>
              <w:spacing w:after="0" w:before="0" w:line="240" w:lineRule="auto"/>
              <w:jc w:val="left"/>
            </w:pPr>
            <w:r>
              <w:rPr>
                <w:rFonts w:ascii="Arial" w:hAnsi="Arial"/>
                <w:sz w:val="15"/>
              </w:rPr>
              <w:t xml:space="preserve">Jan-2025</w:t>
            </w:r>
          </w:p>
        </w:tc>
        <w:tc>
          <w:tcPr>
            <w:tcW w:type="dxa" w:w="1396"/>
          </w:tcPr>
          <w:p>
            <w:pPr>
              <w:pStyle w:val="Compact"/>
              <w:spacing w:after="0" w:before="0" w:line="240" w:lineRule="auto"/>
              <w:jc w:val="right"/>
            </w:pPr>
            <w:r>
              <w:rPr>
                <w:rFonts w:ascii="Arial" w:hAnsi="Arial"/>
                <w:sz w:val="15"/>
              </w:rPr>
              <w:t xml:space="preserve">4.81</w:t>
            </w:r>
          </w:p>
        </w:tc>
        <w:tc>
          <w:tcPr>
            <w:tcW w:type="dxa" w:w="1112"/>
          </w:tcPr>
          <w:p>
            <w:pPr>
              <w:pStyle w:val="Compact"/>
              <w:spacing w:after="0" w:before="0" w:line="240" w:lineRule="auto"/>
              <w:jc w:val="right"/>
            </w:pPr>
            <w:r>
              <w:rPr>
                <w:rFonts w:ascii="Arial" w:hAnsi="Arial"/>
                <w:sz w:val="15"/>
              </w:rPr>
              <w:t xml:space="preserve">8.4x</w:t>
            </w:r>
          </w:p>
        </w:tc>
        <w:tc>
          <w:tcPr>
            <w:tcW w:type="dxa" w:w="909"/>
          </w:tcPr>
          <w:p>
            <w:pPr>
              <w:pStyle w:val="Compact"/>
              <w:spacing w:after="0" w:before="0" w:line="240" w:lineRule="auto"/>
              <w:jc w:val="right"/>
            </w:pPr>
            <w:r>
              <w:rPr>
                <w:rFonts w:ascii="Arial" w:hAnsi="Arial"/>
                <w:sz w:val="15"/>
              </w:rPr>
              <w:t xml:space="preserve">n/m</w:t>
            </w:r>
          </w:p>
        </w:tc>
        <w:tc>
          <w:tcPr>
            <w:tcW w:type="dxa" w:w="1587"/>
          </w:tcPr>
          <w:p>
            <w:pPr>
              <w:pStyle w:val="Compact"/>
              <w:spacing w:after="0" w:before="0" w:line="240" w:lineRule="auto"/>
              <w:jc w:val="left"/>
            </w:pPr>
            <w:r>
              <w:rPr>
                <w:rFonts w:ascii="Arial" w:hAnsi="Arial"/>
                <w:sz w:val="15"/>
              </w:rPr>
              <w:t xml:space="preserve">n/d</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Paragon 28</w:t>
            </w:r>
          </w:p>
        </w:tc>
        <w:tc>
          <w:tcPr>
            <w:tcW w:type="dxa" w:w="1975"/>
            <w:shd w:val="clear" w:color="auto" w:fill="F1F2F5"/>
          </w:tcPr>
          <w:p>
            <w:pPr>
              <w:pStyle w:val="Compact"/>
              <w:spacing w:after="0" w:before="0" w:line="240" w:lineRule="auto"/>
              <w:jc w:val="left"/>
            </w:pPr>
            <w:r>
              <w:rPr>
                <w:rFonts w:ascii="Arial" w:hAnsi="Arial"/>
                <w:sz w:val="15"/>
              </w:rPr>
              <w:t xml:space="preserve">Zimmer Biomet</w:t>
            </w:r>
          </w:p>
        </w:tc>
        <w:tc>
          <w:tcPr>
            <w:tcW w:type="dxa" w:w="1157"/>
            <w:shd w:val="clear" w:color="auto" w:fill="F1F2F5"/>
          </w:tcPr>
          <w:p>
            <w:pPr>
              <w:pStyle w:val="Compact"/>
              <w:spacing w:after="0" w:before="0" w:line="240" w:lineRule="auto"/>
              <w:jc w:val="left"/>
            </w:pPr>
            <w:r>
              <w:rPr>
                <w:rFonts w:ascii="Arial" w:hAnsi="Arial"/>
                <w:sz w:val="15"/>
              </w:rPr>
              <w:t xml:space="preserve">Jan-2025</w:t>
            </w:r>
          </w:p>
        </w:tc>
        <w:tc>
          <w:tcPr>
            <w:tcW w:type="dxa" w:w="1396"/>
            <w:shd w:val="clear" w:color="auto" w:fill="F1F2F5"/>
          </w:tcPr>
          <w:p>
            <w:pPr>
              <w:pStyle w:val="Compact"/>
              <w:spacing w:after="0" w:before="0" w:line="240" w:lineRule="auto"/>
              <w:jc w:val="right"/>
            </w:pPr>
            <w:r>
              <w:rPr>
                <w:rFonts w:ascii="Arial" w:hAnsi="Arial"/>
                <w:sz w:val="15"/>
              </w:rPr>
              <w:t xml:space="preserve">1.32</w:t>
            </w:r>
          </w:p>
        </w:tc>
        <w:tc>
          <w:tcPr>
            <w:tcW w:type="dxa" w:w="1112"/>
            <w:shd w:val="clear" w:color="auto" w:fill="F1F2F5"/>
          </w:tcPr>
          <w:p>
            <w:pPr>
              <w:pStyle w:val="Compact"/>
              <w:spacing w:after="0" w:before="0" w:line="240" w:lineRule="auto"/>
              <w:jc w:val="right"/>
            </w:pPr>
            <w:r>
              <w:rPr>
                <w:rFonts w:ascii="Arial" w:hAnsi="Arial"/>
                <w:sz w:val="15"/>
              </w:rPr>
              <w:t xml:space="preserve">5.4x</w:t>
            </w:r>
          </w:p>
        </w:tc>
        <w:tc>
          <w:tcPr>
            <w:tcW w:type="dxa" w:w="909"/>
            <w:shd w:val="clear" w:color="auto" w:fill="F1F2F5"/>
          </w:tcPr>
          <w:p>
            <w:pPr>
              <w:pStyle w:val="Compact"/>
              <w:spacing w:after="0" w:before="0" w:line="240" w:lineRule="auto"/>
              <w:jc w:val="right"/>
            </w:pPr>
            <w:r>
              <w:rPr>
                <w:rFonts w:ascii="Arial" w:hAnsi="Arial"/>
                <w:sz w:val="15"/>
              </w:rPr>
              <w:t xml:space="preserve">n/m</w:t>
            </w:r>
          </w:p>
        </w:tc>
        <w:tc>
          <w:tcPr>
            <w:tcW w:type="dxa" w:w="1587"/>
            <w:shd w:val="clear" w:color="auto" w:fill="F1F2F5"/>
          </w:tcPr>
          <w:p>
            <w:pPr>
              <w:pStyle w:val="Compact"/>
              <w:spacing w:after="0" w:before="0" w:line="240" w:lineRule="auto"/>
              <w:jc w:val="left"/>
            </w:pPr>
            <w:r>
              <w:rPr>
                <w:rFonts w:ascii="Arial" w:hAnsi="Arial"/>
                <w:sz w:val="15"/>
              </w:rPr>
              <w:t xml:space="preserve">~28% [u]</w:t>
            </w:r>
          </w:p>
        </w:tc>
      </w:tr>
      <w:tr>
        <w:trPr>
          <w:cantSplit/>
        </w:trPr>
        <w:tc>
          <w:tcPr>
            <w:tcW w:type="dxa" w:w="1842"/>
          </w:tcPr>
          <w:p>
            <w:pPr>
              <w:pStyle w:val="Compact"/>
              <w:spacing w:after="0" w:before="0" w:line="240" w:lineRule="auto"/>
              <w:jc w:val="left"/>
            </w:pPr>
            <w:r>
              <w:rPr>
                <w:bCs/>
                <w:rFonts w:ascii="Arial" w:hAnsi="Arial"/>
                <w:b/>
                <w:sz w:val="15"/>
              </w:rPr>
              <w:t xml:space="preserve">Topcon (Japan take-private)</w:t>
            </w:r>
          </w:p>
        </w:tc>
        <w:tc>
          <w:tcPr>
            <w:tcW w:type="dxa" w:w="1975"/>
          </w:tcPr>
          <w:p>
            <w:pPr>
              <w:pStyle w:val="Compact"/>
              <w:spacing w:after="0" w:before="0" w:line="240" w:lineRule="auto"/>
              <w:jc w:val="left"/>
            </w:pPr>
            <w:r>
              <w:rPr>
                <w:bCs/>
                <w:rFonts w:ascii="Arial" w:hAnsi="Arial"/>
                <w:b/>
                <w:sz w:val="15"/>
              </w:rPr>
              <w:t xml:space="preserve">KKR + JIC Capital</w:t>
            </w:r>
          </w:p>
        </w:tc>
        <w:tc>
          <w:tcPr>
            <w:tcW w:type="dxa" w:w="1157"/>
          </w:tcPr>
          <w:p>
            <w:pPr>
              <w:pStyle w:val="Compact"/>
              <w:spacing w:after="0" w:before="0" w:line="240" w:lineRule="auto"/>
              <w:jc w:val="left"/>
            </w:pPr>
            <w:r>
              <w:rPr>
                <w:rFonts w:ascii="Arial" w:hAnsi="Arial"/>
                <w:sz w:val="15"/>
              </w:rPr>
              <w:t xml:space="preserve">Mar-2025</w:t>
            </w:r>
          </w:p>
        </w:tc>
        <w:tc>
          <w:tcPr>
            <w:tcW w:type="dxa" w:w="1396"/>
          </w:tcPr>
          <w:p>
            <w:pPr>
              <w:pStyle w:val="Compact"/>
              <w:spacing w:after="0" w:before="0" w:line="240" w:lineRule="auto"/>
              <w:jc w:val="right"/>
            </w:pPr>
            <w:r>
              <w:rPr>
                <w:rFonts w:ascii="Arial" w:hAnsi="Arial"/>
                <w:sz w:val="15"/>
              </w:rPr>
              <w:t xml:space="preserve">~2.9 (JPY430bn)</w:t>
            </w:r>
          </w:p>
        </w:tc>
        <w:tc>
          <w:tcPr>
            <w:tcW w:type="dxa" w:w="1112"/>
          </w:tcPr>
          <w:p>
            <w:pPr>
              <w:pStyle w:val="Compact"/>
              <w:spacing w:after="0" w:before="0" w:line="240" w:lineRule="auto"/>
              <w:jc w:val="right"/>
            </w:pPr>
            <w:r>
              <w:rPr>
                <w:rFonts w:ascii="Arial" w:hAnsi="Arial"/>
                <w:sz w:val="15"/>
              </w:rPr>
              <w:t xml:space="preserve">2.0x</w:t>
            </w:r>
          </w:p>
        </w:tc>
        <w:tc>
          <w:tcPr>
            <w:tcW w:type="dxa" w:w="909"/>
          </w:tcPr>
          <w:p>
            <w:pPr>
              <w:pStyle w:val="Compact"/>
              <w:spacing w:after="0" w:before="0" w:line="240" w:lineRule="auto"/>
              <w:jc w:val="right"/>
            </w:pPr>
            <w:r>
              <w:rPr>
                <w:rFonts w:ascii="Arial" w:hAnsi="Arial"/>
                <w:sz w:val="15"/>
              </w:rPr>
              <w:t xml:space="preserve">16.9x</w:t>
            </w:r>
          </w:p>
        </w:tc>
        <w:tc>
          <w:tcPr>
            <w:tcW w:type="dxa" w:w="1587"/>
          </w:tcPr>
          <w:p>
            <w:pPr>
              <w:pStyle w:val="Compact"/>
              <w:spacing w:after="0" w:before="0" w:line="240" w:lineRule="auto"/>
              <w:jc w:val="left"/>
            </w:pPr>
            <w:r>
              <w:rPr>
                <w:rFonts w:ascii="Arial" w:hAnsi="Arial"/>
                <w:sz w:val="15"/>
              </w:rPr>
              <w:t xml:space="preserve">5% vs last close; ~100% vs 12-month average</w:t>
            </w:r>
          </w:p>
        </w:tc>
      </w:tr>
      <w:tr>
        <w:trPr>
          <w:cantSplit/>
        </w:trPr>
        <w:tc>
          <w:tcPr>
            <w:tcW w:type="dxa" w:w="1842"/>
            <w:shd w:val="clear" w:color="auto" w:fill="F1F2F5"/>
          </w:tcPr>
          <w:p>
            <w:pPr>
              <w:pStyle w:val="Compact"/>
              <w:spacing w:after="0" w:before="0" w:line="240" w:lineRule="auto"/>
              <w:jc w:val="left"/>
            </w:pPr>
            <w:r>
              <w:rPr>
                <w:bCs/>
                <w:rFonts w:ascii="Arial" w:hAnsi="Arial"/>
                <w:b/>
                <w:sz w:val="15"/>
              </w:rPr>
              <w:t xml:space="preserve">Hologic (take-private)</w:t>
            </w:r>
          </w:p>
        </w:tc>
        <w:tc>
          <w:tcPr>
            <w:tcW w:type="dxa" w:w="1975"/>
            <w:shd w:val="clear" w:color="auto" w:fill="F1F2F5"/>
          </w:tcPr>
          <w:p>
            <w:pPr>
              <w:pStyle w:val="Compact"/>
              <w:spacing w:after="0" w:before="0" w:line="240" w:lineRule="auto"/>
              <w:jc w:val="left"/>
            </w:pPr>
            <w:r>
              <w:rPr>
                <w:bCs/>
                <w:rFonts w:ascii="Arial" w:hAnsi="Arial"/>
                <w:b/>
                <w:sz w:val="15"/>
              </w:rPr>
              <w:t xml:space="preserve">Blackstone + TPG</w:t>
            </w:r>
          </w:p>
        </w:tc>
        <w:tc>
          <w:tcPr>
            <w:tcW w:type="dxa" w:w="1157"/>
            <w:shd w:val="clear" w:color="auto" w:fill="F1F2F5"/>
          </w:tcPr>
          <w:p>
            <w:pPr>
              <w:pStyle w:val="Compact"/>
              <w:spacing w:after="0" w:before="0" w:line="240" w:lineRule="auto"/>
              <w:jc w:val="left"/>
            </w:pPr>
            <w:r>
              <w:rPr>
                <w:rFonts w:ascii="Arial" w:hAnsi="Arial"/>
                <w:sz w:val="15"/>
              </w:rPr>
              <w:t xml:space="preserve">Oct-2025</w:t>
            </w:r>
          </w:p>
        </w:tc>
        <w:tc>
          <w:tcPr>
            <w:tcW w:type="dxa" w:w="1396"/>
            <w:shd w:val="clear" w:color="auto" w:fill="F1F2F5"/>
          </w:tcPr>
          <w:p>
            <w:pPr>
              <w:pStyle w:val="Compact"/>
              <w:spacing w:after="0" w:before="0" w:line="240" w:lineRule="auto"/>
              <w:jc w:val="right"/>
            </w:pPr>
            <w:r>
              <w:rPr>
                <w:rFonts w:ascii="Arial" w:hAnsi="Arial"/>
                <w:sz w:val="15"/>
              </w:rPr>
              <w:t xml:space="preserve">18.1</w:t>
            </w:r>
          </w:p>
        </w:tc>
        <w:tc>
          <w:tcPr>
            <w:tcW w:type="dxa" w:w="1112"/>
            <w:shd w:val="clear" w:color="auto" w:fill="F1F2F5"/>
          </w:tcPr>
          <w:p>
            <w:pPr>
              <w:pStyle w:val="Compact"/>
              <w:spacing w:after="0" w:before="0" w:line="240" w:lineRule="auto"/>
              <w:jc w:val="right"/>
            </w:pPr>
            <w:r>
              <w:rPr>
                <w:rFonts w:ascii="Arial" w:hAnsi="Arial"/>
                <w:sz w:val="15"/>
              </w:rPr>
              <w:t xml:space="preserve">4.5x</w:t>
            </w:r>
          </w:p>
        </w:tc>
        <w:tc>
          <w:tcPr>
            <w:tcW w:type="dxa" w:w="909"/>
            <w:shd w:val="clear" w:color="auto" w:fill="F1F2F5"/>
          </w:tcPr>
          <w:p>
            <w:pPr>
              <w:pStyle w:val="Compact"/>
              <w:spacing w:after="0" w:before="0" w:line="240" w:lineRule="auto"/>
              <w:jc w:val="right"/>
            </w:pPr>
            <w:r>
              <w:rPr>
                <w:rFonts w:ascii="Arial" w:hAnsi="Arial"/>
                <w:sz w:val="15"/>
              </w:rPr>
              <w:t xml:space="preserve">14.3x CIQ (~12x adj. [e])</w:t>
            </w:r>
          </w:p>
        </w:tc>
        <w:tc>
          <w:tcPr>
            <w:tcW w:type="dxa" w:w="1587"/>
            <w:shd w:val="clear" w:color="auto" w:fill="F1F2F5"/>
          </w:tcPr>
          <w:p>
            <w:pPr>
              <w:pStyle w:val="Compact"/>
              <w:spacing w:after="0" w:before="0" w:line="240" w:lineRule="auto"/>
              <w:jc w:val="left"/>
            </w:pPr>
            <w:r>
              <w:rPr>
                <w:rFonts w:ascii="Arial" w:hAnsi="Arial"/>
                <w:sz w:val="15"/>
              </w:rPr>
              <w:t xml:space="preserve">~46% vs undisturbed; plus CVR</w:t>
            </w:r>
          </w:p>
        </w:tc>
      </w:tr>
      <w:tr>
        <w:trPr>
          <w:cantSplit/>
        </w:trPr>
        <w:tc>
          <w:tcPr>
            <w:tcW w:type="dxa" w:w="1842"/>
          </w:tcPr>
          <w:p>
            <w:pPr>
              <w:pStyle w:val="Compact"/>
              <w:spacing w:after="0" w:before="0" w:line="240" w:lineRule="auto"/>
              <w:jc w:val="left"/>
            </w:pPr>
            <w:r>
              <w:rPr>
                <w:rFonts w:ascii="Arial" w:hAnsi="Arial"/>
                <w:sz w:val="15"/>
              </w:rPr>
              <w:t xml:space="preserve">Teleflex OEM, Acute Care and IU (carve-outs)</w:t>
            </w:r>
          </w:p>
        </w:tc>
        <w:tc>
          <w:tcPr>
            <w:tcW w:type="dxa" w:w="1975"/>
          </w:tcPr>
          <w:p>
            <w:pPr>
              <w:pStyle w:val="Compact"/>
              <w:spacing w:after="0" w:before="0" w:line="240" w:lineRule="auto"/>
              <w:jc w:val="left"/>
            </w:pPr>
            <w:r>
              <w:rPr>
                <w:rFonts w:ascii="Arial" w:hAnsi="Arial"/>
                <w:sz w:val="15"/>
              </w:rPr>
              <w:t xml:space="preserve">Montagu/Kohlberg; Intersurgical</w:t>
            </w:r>
          </w:p>
        </w:tc>
        <w:tc>
          <w:tcPr>
            <w:tcW w:type="dxa" w:w="1157"/>
          </w:tcPr>
          <w:p>
            <w:pPr>
              <w:pStyle w:val="Compact"/>
              <w:spacing w:after="0" w:before="0" w:line="240" w:lineRule="auto"/>
              <w:jc w:val="left"/>
            </w:pPr>
            <w:r>
              <w:rPr>
                <w:rFonts w:ascii="Arial" w:hAnsi="Arial"/>
                <w:sz w:val="15"/>
              </w:rPr>
              <w:t xml:space="preserve">Dec-2025</w:t>
            </w:r>
          </w:p>
        </w:tc>
        <w:tc>
          <w:tcPr>
            <w:tcW w:type="dxa" w:w="1396"/>
          </w:tcPr>
          <w:p>
            <w:pPr>
              <w:pStyle w:val="Compact"/>
              <w:spacing w:after="0" w:before="0" w:line="240" w:lineRule="auto"/>
              <w:jc w:val="right"/>
            </w:pPr>
            <w:r>
              <w:rPr>
                <w:rFonts w:ascii="Arial" w:hAnsi="Arial"/>
                <w:sz w:val="15"/>
              </w:rPr>
              <w:t xml:space="preserve">2.03</w:t>
            </w:r>
          </w:p>
        </w:tc>
        <w:tc>
          <w:tcPr>
            <w:tcW w:type="dxa" w:w="1112"/>
          </w:tcPr>
          <w:p>
            <w:pPr>
              <w:pStyle w:val="Compact"/>
              <w:spacing w:after="0" w:before="0" w:line="240" w:lineRule="auto"/>
              <w:jc w:val="right"/>
            </w:pPr>
            <w:r>
              <w:rPr>
                <w:rFonts w:ascii="Arial" w:hAnsi="Arial"/>
                <w:sz w:val="15"/>
              </w:rPr>
              <w:t xml:space="preserve">n/d</w:t>
            </w:r>
          </w:p>
        </w:tc>
        <w:tc>
          <w:tcPr>
            <w:tcW w:type="dxa" w:w="909"/>
          </w:tcPr>
          <w:p>
            <w:pPr>
              <w:pStyle w:val="Compact"/>
              <w:spacing w:after="0" w:before="0" w:line="240" w:lineRule="auto"/>
              <w:jc w:val="right"/>
            </w:pPr>
            <w:r>
              <w:rPr>
                <w:rFonts w:ascii="Arial" w:hAnsi="Arial"/>
                <w:sz w:val="15"/>
              </w:rPr>
              <w:t xml:space="preserve">n/d</w:t>
            </w:r>
          </w:p>
        </w:tc>
        <w:tc>
          <w:tcPr>
            <w:tcW w:type="dxa" w:w="1587"/>
          </w:tcPr>
          <w:p>
            <w:pPr>
              <w:pStyle w:val="Compact"/>
              <w:spacing w:after="0" w:before="0" w:line="240" w:lineRule="auto"/>
              <w:jc w:val="left"/>
            </w:pPr>
            <w:r>
              <w:rPr>
                <w:rFonts w:ascii="Arial" w:hAnsi="Arial"/>
                <w:sz w:val="15"/>
              </w:rPr>
              <w:t xml:space="preserve">carve-outs</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Penumbra</w:t>
            </w:r>
          </w:p>
        </w:tc>
        <w:tc>
          <w:tcPr>
            <w:tcW w:type="dxa" w:w="1975"/>
            <w:shd w:val="clear" w:color="auto" w:fill="F1F2F5"/>
          </w:tcPr>
          <w:p>
            <w:pPr>
              <w:pStyle w:val="Compact"/>
              <w:spacing w:after="0" w:before="0" w:line="240" w:lineRule="auto"/>
              <w:jc w:val="left"/>
            </w:pPr>
            <w:r>
              <w:rPr>
                <w:rFonts w:ascii="Arial" w:hAnsi="Arial"/>
                <w:sz w:val="15"/>
              </w:rPr>
              <w:t xml:space="preserve">Boston Scientific</w:t>
            </w:r>
          </w:p>
        </w:tc>
        <w:tc>
          <w:tcPr>
            <w:tcW w:type="dxa" w:w="1157"/>
            <w:shd w:val="clear" w:color="auto" w:fill="F1F2F5"/>
          </w:tcPr>
          <w:p>
            <w:pPr>
              <w:pStyle w:val="Compact"/>
              <w:spacing w:after="0" w:before="0" w:line="240" w:lineRule="auto"/>
              <w:jc w:val="left"/>
            </w:pPr>
            <w:r>
              <w:rPr>
                <w:rFonts w:ascii="Arial" w:hAnsi="Arial"/>
                <w:sz w:val="15"/>
              </w:rPr>
              <w:t xml:space="preserve">Jan-2026 (pending)</w:t>
            </w:r>
          </w:p>
        </w:tc>
        <w:tc>
          <w:tcPr>
            <w:tcW w:type="dxa" w:w="1396"/>
            <w:shd w:val="clear" w:color="auto" w:fill="F1F2F5"/>
          </w:tcPr>
          <w:p>
            <w:pPr>
              <w:pStyle w:val="Compact"/>
              <w:spacing w:after="0" w:before="0" w:line="240" w:lineRule="auto"/>
              <w:jc w:val="right"/>
            </w:pPr>
            <w:r>
              <w:rPr>
                <w:rFonts w:ascii="Arial" w:hAnsi="Arial"/>
                <w:sz w:val="15"/>
              </w:rPr>
              <w:t xml:space="preserve">14.5</w:t>
            </w:r>
          </w:p>
        </w:tc>
        <w:tc>
          <w:tcPr>
            <w:tcW w:type="dxa" w:w="1112"/>
            <w:shd w:val="clear" w:color="auto" w:fill="F1F2F5"/>
          </w:tcPr>
          <w:p>
            <w:pPr>
              <w:pStyle w:val="Compact"/>
              <w:spacing w:after="0" w:before="0" w:line="240" w:lineRule="auto"/>
              <w:jc w:val="right"/>
            </w:pPr>
            <w:r>
              <w:rPr>
                <w:rFonts w:ascii="Arial" w:hAnsi="Arial"/>
                <w:sz w:val="15"/>
              </w:rPr>
              <w:t xml:space="preserve">10.9x</w:t>
            </w:r>
          </w:p>
        </w:tc>
        <w:tc>
          <w:tcPr>
            <w:tcW w:type="dxa" w:w="909"/>
            <w:shd w:val="clear" w:color="auto" w:fill="F1F2F5"/>
          </w:tcPr>
          <w:p>
            <w:pPr>
              <w:pStyle w:val="Compact"/>
              <w:spacing w:after="0" w:before="0" w:line="240" w:lineRule="auto"/>
              <w:jc w:val="right"/>
            </w:pPr>
            <w:r>
              <w:rPr>
                <w:rFonts w:ascii="Arial" w:hAnsi="Arial"/>
                <w:sz w:val="15"/>
              </w:rPr>
              <w:t xml:space="preserve">n/m</w:t>
            </w:r>
          </w:p>
        </w:tc>
        <w:tc>
          <w:tcPr>
            <w:tcW w:type="dxa" w:w="1587"/>
            <w:shd w:val="clear" w:color="auto" w:fill="F1F2F5"/>
          </w:tcPr>
          <w:p>
            <w:pPr>
              <w:pStyle w:val="Compact"/>
              <w:spacing w:after="0" w:before="0" w:line="240" w:lineRule="auto"/>
              <w:jc w:val="left"/>
            </w:pPr>
            <w:r>
              <w:rPr>
                <w:rFonts w:ascii="Arial" w:hAnsi="Arial"/>
                <w:sz w:val="15"/>
              </w:rPr>
              <w:t xml:space="preserve">~19% vs 30-day VWAP</w:t>
            </w:r>
          </w:p>
        </w:tc>
      </w:tr>
      <w:tr>
        <w:trPr>
          <w:cantSplit/>
        </w:trPr>
        <w:tc>
          <w:tcPr>
            <w:tcW w:type="dxa" w:w="1842"/>
          </w:tcPr>
          <w:p>
            <w:pPr>
              <w:pStyle w:val="Compact"/>
              <w:spacing w:after="0" w:before="0" w:line="240" w:lineRule="auto"/>
              <w:jc w:val="left"/>
            </w:pPr>
            <w:r>
              <w:rPr>
                <w:rFonts w:ascii="Arial" w:hAnsi="Arial"/>
                <w:sz w:val="15"/>
              </w:rPr>
              <w:t xml:space="preserve">BioProtect</w:t>
            </w:r>
          </w:p>
        </w:tc>
        <w:tc>
          <w:tcPr>
            <w:tcW w:type="dxa" w:w="1975"/>
          </w:tcPr>
          <w:p>
            <w:pPr>
              <w:pStyle w:val="Compact"/>
              <w:spacing w:after="0" w:before="0" w:line="240" w:lineRule="auto"/>
              <w:jc w:val="left"/>
            </w:pPr>
            <w:r>
              <w:rPr>
                <w:bCs/>
                <w:rFonts w:ascii="Arial" w:hAnsi="Arial"/>
                <w:b/>
                <w:sz w:val="15"/>
              </w:rPr>
              <w:t xml:space="preserve">Olympus</w:t>
            </w:r>
          </w:p>
        </w:tc>
        <w:tc>
          <w:tcPr>
            <w:tcW w:type="dxa" w:w="1157"/>
          </w:tcPr>
          <w:p>
            <w:pPr>
              <w:pStyle w:val="Compact"/>
              <w:spacing w:after="0" w:before="0" w:line="240" w:lineRule="auto"/>
              <w:jc w:val="left"/>
            </w:pPr>
            <w:r>
              <w:rPr>
                <w:rFonts w:ascii="Arial" w:hAnsi="Arial"/>
                <w:sz w:val="15"/>
              </w:rPr>
              <w:t xml:space="preserve">May-2026</w:t>
            </w:r>
          </w:p>
        </w:tc>
        <w:tc>
          <w:tcPr>
            <w:tcW w:type="dxa" w:w="1396"/>
          </w:tcPr>
          <w:p>
            <w:pPr>
              <w:pStyle w:val="Compact"/>
              <w:spacing w:after="0" w:before="0" w:line="240" w:lineRule="auto"/>
              <w:jc w:val="right"/>
            </w:pPr>
            <w:r>
              <w:rPr>
                <w:rFonts w:ascii="Arial" w:hAnsi="Arial"/>
                <w:sz w:val="15"/>
              </w:rPr>
              <w:t xml:space="preserve">0.27</w:t>
            </w:r>
          </w:p>
        </w:tc>
        <w:tc>
          <w:tcPr>
            <w:tcW w:type="dxa" w:w="1112"/>
          </w:tcPr>
          <w:p>
            <w:pPr>
              <w:pStyle w:val="Compact"/>
              <w:spacing w:after="0" w:before="0" w:line="240" w:lineRule="auto"/>
              <w:jc w:val="right"/>
            </w:pPr>
            <w:r>
              <w:rPr>
                <w:rFonts w:ascii="Arial" w:hAnsi="Arial"/>
                <w:sz w:val="15"/>
              </w:rPr>
              <w:t xml:space="preserve">18.6x</w:t>
            </w:r>
          </w:p>
        </w:tc>
        <w:tc>
          <w:tcPr>
            <w:tcW w:type="dxa" w:w="909"/>
          </w:tcPr>
          <w:p>
            <w:pPr>
              <w:pStyle w:val="Compact"/>
              <w:spacing w:after="0" w:before="0" w:line="240" w:lineRule="auto"/>
              <w:jc w:val="right"/>
            </w:pPr>
            <w:r>
              <w:rPr>
                <w:rFonts w:ascii="Arial" w:hAnsi="Arial"/>
                <w:sz w:val="15"/>
              </w:rPr>
              <w:t xml:space="preserve">n/m</w:t>
            </w:r>
          </w:p>
        </w:tc>
        <w:tc>
          <w:tcPr>
            <w:tcW w:type="dxa" w:w="1587"/>
          </w:tcPr>
          <w:p>
            <w:pPr>
              <w:pStyle w:val="Compact"/>
              <w:spacing w:after="0" w:before="0" w:line="240" w:lineRule="auto"/>
              <w:jc w:val="left"/>
            </w:pPr>
            <w:r>
              <w:rPr>
                <w:rFonts w:ascii="Arial" w:hAnsi="Arial"/>
                <w:sz w:val="15"/>
              </w:rPr>
              <w:t xml:space="preserve">private</w:t>
            </w:r>
          </w:p>
        </w:tc>
      </w:tr>
      <w:tr>
        <w:trPr>
          <w:cantSplit/>
        </w:trPr>
        <w:tc>
          <w:tcPr>
            <w:tcW w:type="dxa" w:w="1842"/>
            <w:shd w:val="clear" w:color="auto" w:fill="F1F2F5"/>
          </w:tcPr>
          <w:p>
            <w:pPr>
              <w:pStyle w:val="Compact"/>
              <w:spacing w:after="0" w:before="0" w:line="240" w:lineRule="auto"/>
              <w:jc w:val="left"/>
            </w:pPr>
            <w:r>
              <w:rPr>
                <w:rFonts w:ascii="Arial" w:hAnsi="Arial"/>
                <w:sz w:val="15"/>
              </w:rPr>
              <w:t xml:space="preserve">PENTAX Medical (Hoya)</w:t>
            </w:r>
          </w:p>
        </w:tc>
        <w:tc>
          <w:tcPr>
            <w:tcW w:type="dxa" w:w="1975"/>
            <w:shd w:val="clear" w:color="auto" w:fill="F1F2F5"/>
          </w:tcPr>
          <w:p>
            <w:pPr>
              <w:pStyle w:val="Compact"/>
              <w:spacing w:after="0" w:before="0" w:line="240" w:lineRule="auto"/>
              <w:jc w:val="left"/>
            </w:pPr>
            <w:r>
              <w:rPr>
                <w:rFonts w:ascii="Arial" w:hAnsi="Arial"/>
                <w:sz w:val="15"/>
              </w:rPr>
              <w:t xml:space="preserve">Strategic review incl. sale</w:t>
            </w:r>
          </w:p>
        </w:tc>
        <w:tc>
          <w:tcPr>
            <w:tcW w:type="dxa" w:w="1157"/>
            <w:shd w:val="clear" w:color="auto" w:fill="F1F2F5"/>
          </w:tcPr>
          <w:p>
            <w:pPr>
              <w:pStyle w:val="Compact"/>
              <w:spacing w:after="0" w:before="0" w:line="240" w:lineRule="auto"/>
              <w:jc w:val="left"/>
            </w:pPr>
            <w:r>
              <w:rPr>
                <w:rFonts w:ascii="Arial" w:hAnsi="Arial"/>
                <w:sz w:val="15"/>
              </w:rPr>
              <w:t xml:space="preserve">Jul-2026</w:t>
            </w:r>
          </w:p>
        </w:tc>
        <w:tc>
          <w:tcPr>
            <w:tcW w:type="dxa" w:w="1396"/>
            <w:shd w:val="clear" w:color="auto" w:fill="F1F2F5"/>
          </w:tcPr>
          <w:p>
            <w:pPr>
              <w:pStyle w:val="Compact"/>
              <w:spacing w:after="0" w:before="0" w:line="240" w:lineRule="auto"/>
              <w:jc w:val="right"/>
            </w:pPr>
            <w:r>
              <w:rPr>
                <w:rFonts w:ascii="Arial" w:hAnsi="Arial"/>
                <w:sz w:val="15"/>
              </w:rPr>
              <w:t xml:space="preserve">n/d</w:t>
            </w:r>
          </w:p>
        </w:tc>
        <w:tc>
          <w:tcPr>
            <w:tcW w:type="dxa" w:w="1112"/>
            <w:shd w:val="clear" w:color="auto" w:fill="F1F2F5"/>
          </w:tcPr>
          <w:p>
            <w:pPr>
              <w:pStyle w:val="Compact"/>
              <w:spacing w:after="0" w:before="0" w:line="240" w:lineRule="auto"/>
              <w:jc w:val="right"/>
            </w:pPr>
            <w:r>
              <w:rPr>
                <w:rFonts w:ascii="Arial" w:hAnsi="Arial"/>
                <w:sz w:val="15"/>
              </w:rPr>
              <w:t xml:space="preserve">n/d</w:t>
            </w:r>
          </w:p>
        </w:tc>
        <w:tc>
          <w:tcPr>
            <w:tcW w:type="dxa" w:w="909"/>
            <w:shd w:val="clear" w:color="auto" w:fill="F1F2F5"/>
          </w:tcPr>
          <w:p>
            <w:pPr>
              <w:pStyle w:val="Compact"/>
              <w:spacing w:after="0" w:before="0" w:line="240" w:lineRule="auto"/>
              <w:jc w:val="right"/>
            </w:pPr>
            <w:r>
              <w:rPr>
                <w:rFonts w:ascii="Arial" w:hAnsi="Arial"/>
                <w:sz w:val="15"/>
              </w:rPr>
              <w:t xml:space="preserve">n/d</w:t>
            </w:r>
          </w:p>
        </w:tc>
        <w:tc>
          <w:tcPr>
            <w:tcW w:type="dxa" w:w="1587"/>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1842"/>
          </w:tcPr>
          <w:p>
            <w:pPr>
              <w:pStyle w:val="Compact"/>
              <w:spacing w:after="0" w:before="0" w:line="240" w:lineRule="auto"/>
              <w:jc w:val="left"/>
            </w:pPr>
            <w:r>
              <w:rPr>
                <w:iCs/>
                <w:rFonts w:ascii="Arial" w:hAnsi="Arial"/>
                <w:i/>
                <w:sz w:val="15"/>
              </w:rPr>
              <w:t xml:space="preserve">Precedent:</w:t>
            </w:r>
            <w:r>
              <w:rPr>
                <w:rFonts w:ascii="Arial" w:hAnsi="Arial"/>
                <w:sz w:val="15"/>
              </w:rPr>
              <w:t xml:space="preserve"> </w:t>
            </w:r>
            <w:r>
              <w:rPr>
                <w:rFonts w:ascii="Arial" w:hAnsi="Arial"/>
                <w:sz w:val="15"/>
              </w:rPr>
              <w:t xml:space="preserve">Toshiba Medical Systems</w:t>
            </w:r>
          </w:p>
        </w:tc>
        <w:tc>
          <w:tcPr>
            <w:tcW w:type="dxa" w:w="1975"/>
          </w:tcPr>
          <w:p>
            <w:pPr>
              <w:pStyle w:val="Compact"/>
              <w:spacing w:after="0" w:before="0" w:line="240" w:lineRule="auto"/>
              <w:jc w:val="left"/>
            </w:pPr>
            <w:r>
              <w:rPr>
                <w:rFonts w:ascii="Arial" w:hAnsi="Arial"/>
                <w:sz w:val="15"/>
              </w:rPr>
              <w:t xml:space="preserve">Canon</w:t>
            </w:r>
          </w:p>
        </w:tc>
        <w:tc>
          <w:tcPr>
            <w:tcW w:type="dxa" w:w="1157"/>
          </w:tcPr>
          <w:p>
            <w:pPr>
              <w:pStyle w:val="Compact"/>
              <w:spacing w:after="0" w:before="0" w:line="240" w:lineRule="auto"/>
              <w:jc w:val="left"/>
            </w:pPr>
            <w:r>
              <w:rPr>
                <w:rFonts w:ascii="Arial" w:hAnsi="Arial"/>
                <w:sz w:val="15"/>
              </w:rPr>
              <w:t xml:space="preserve">Mar-2016</w:t>
            </w:r>
          </w:p>
        </w:tc>
        <w:tc>
          <w:tcPr>
            <w:tcW w:type="dxa" w:w="1396"/>
          </w:tcPr>
          <w:p>
            <w:pPr>
              <w:pStyle w:val="Compact"/>
              <w:spacing w:after="0" w:before="0" w:line="240" w:lineRule="auto"/>
              <w:jc w:val="right"/>
            </w:pPr>
            <w:r>
              <w:rPr>
                <w:rFonts w:ascii="Arial" w:hAnsi="Arial"/>
                <w:sz w:val="15"/>
              </w:rPr>
              <w:t xml:space="preserve">~5.9</w:t>
            </w:r>
          </w:p>
        </w:tc>
        <w:tc>
          <w:tcPr>
            <w:tcW w:type="dxa" w:w="1112"/>
          </w:tcPr>
          <w:p>
            <w:pPr>
              <w:pStyle w:val="Compact"/>
              <w:spacing w:after="0" w:before="0" w:line="240" w:lineRule="auto"/>
              <w:jc w:val="right"/>
            </w:pPr>
            <w:r>
              <w:rPr>
                <w:rFonts w:ascii="Arial" w:hAnsi="Arial"/>
                <w:sz w:val="15"/>
              </w:rPr>
              <w:t xml:space="preserve">~1.7–2.3x [e/u]</w:t>
            </w:r>
          </w:p>
        </w:tc>
        <w:tc>
          <w:tcPr>
            <w:tcW w:type="dxa" w:w="909"/>
          </w:tcPr>
          <w:p>
            <w:pPr>
              <w:pStyle w:val="Compact"/>
              <w:spacing w:after="0" w:before="0" w:line="240" w:lineRule="auto"/>
              <w:jc w:val="right"/>
            </w:pPr>
            <w:r>
              <w:rPr>
                <w:rFonts w:ascii="Arial" w:hAnsi="Arial"/>
                <w:sz w:val="15"/>
              </w:rPr>
              <w:t xml:space="preserve">n/m</w:t>
            </w:r>
          </w:p>
        </w:tc>
        <w:tc>
          <w:tcPr>
            <w:tcW w:type="dxa" w:w="1587"/>
          </w:tcPr>
          <w:p>
            <w:pPr>
              <w:pStyle w:val="Compact"/>
              <w:spacing w:after="0" w:before="0" w:line="240" w:lineRule="auto"/>
              <w:jc w:val="left"/>
            </w:pPr>
            <w:r>
              <w:rPr>
                <w:rFonts w:ascii="Arial" w:hAnsi="Arial"/>
                <w:sz w:val="15"/>
              </w:rPr>
              <w:t xml:space="preserve">auction</w:t>
            </w:r>
          </w:p>
        </w:tc>
      </w:tr>
    </w:tbl>
    <w:p>
      <w:pPr>
        <w:pStyle w:val="BodyText"/>
      </w:pPr>
      <w:r>
        <w:rPr>
          <w:iCs/>
          <w:i/>
        </w:rPr>
        <w:t xml:space="preserve">Source: S&amp;P Capital IQ Transactions (implied EV at announcement; target LTM financials), company releases. Premiums marked [u] were not verified against merger proxies.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463"/>
        <w:gridCol w:w="3429"/>
        <w:gridCol w:w="1871"/>
        <w:gridCol w:w="2213"/>
      </w:tblGrid>
      <w:tr>
        <w:trPr>
          <w:tblHeader w:val="true"/>
          <w:tblHeader w:val="true"/>
          <w:cantSplit/>
        </w:trPr>
        <w:tc>
          <w:tcPr>
            <w:tcW w:type="dxa" w:w="2464"/>
            <w:shd w:val="clear" w:color="auto" w:fill="13213F"/>
          </w:tcPr>
          <w:p>
            <w:pPr>
              <w:pStyle w:val="Compact"/>
              <w:spacing w:after="0" w:before="0" w:line="240" w:lineRule="auto"/>
              <w:jc w:val="left"/>
            </w:pPr>
            <w:r>
              <w:rPr>
                <w:rFonts w:ascii="Arial" w:hAnsi="Arial"/>
                <w:b/>
                <w:color w:val="FFFFFF"/>
                <w:sz w:val="15"/>
              </w:rPr>
              <w:t xml:space="preserve">Bucket</w:t>
            </w:r>
          </w:p>
        </w:tc>
        <w:tc>
          <w:tcPr>
            <w:tcW w:type="dxa" w:w="3430"/>
            <w:shd w:val="clear" w:color="auto" w:fill="13213F"/>
          </w:tcPr>
          <w:p>
            <w:pPr>
              <w:pStyle w:val="Compact"/>
              <w:spacing w:after="0" w:before="0" w:line="240" w:lineRule="auto"/>
              <w:jc w:val="left"/>
            </w:pPr>
            <w:r>
              <w:rPr>
                <w:rFonts w:ascii="Arial" w:hAnsi="Arial"/>
                <w:b/>
                <w:color w:val="FFFFFF"/>
                <w:sz w:val="15"/>
              </w:rPr>
              <w:t xml:space="preserve">Deals</w:t>
            </w:r>
          </w:p>
        </w:tc>
        <w:tc>
          <w:tcPr>
            <w:tcW w:type="dxa" w:w="1871"/>
            <w:shd w:val="clear" w:color="auto" w:fill="13213F"/>
          </w:tcPr>
          <w:p>
            <w:pPr>
              <w:pStyle w:val="Compact"/>
              <w:spacing w:after="0" w:before="0" w:line="240" w:lineRule="auto"/>
              <w:jc w:val="left"/>
            </w:pPr>
            <w:r>
              <w:rPr>
                <w:rFonts w:ascii="Arial" w:hAnsi="Arial"/>
                <w:b/>
                <w:color w:val="FFFFFF"/>
                <w:sz w:val="15"/>
              </w:rPr>
              <w:t xml:space="preserve">EV/Sales median (range)</w:t>
            </w:r>
          </w:p>
        </w:tc>
        <w:tc>
          <w:tcPr>
            <w:tcW w:type="dxa" w:w="2213"/>
            <w:shd w:val="clear" w:color="auto" w:fill="13213F"/>
          </w:tcPr>
          <w:p>
            <w:pPr>
              <w:pStyle w:val="Compact"/>
              <w:spacing w:after="0" w:before="0" w:line="240" w:lineRule="auto"/>
              <w:jc w:val="left"/>
            </w:pPr>
            <w:r>
              <w:rPr>
                <w:rFonts w:ascii="Arial" w:hAnsi="Arial"/>
                <w:b/>
                <w:color w:val="FFFFFF"/>
                <w:sz w:val="15"/>
              </w:rPr>
              <w:t xml:space="preserve">EV/EBITDA median (range)</w:t>
            </w:r>
          </w:p>
        </w:tc>
      </w:tr>
      <w:tr>
        <w:trPr>
          <w:cantSplit/>
        </w:trPr>
        <w:tc>
          <w:tcPr>
            <w:tcW w:type="dxa" w:w="2464"/>
          </w:tcPr>
          <w:p>
            <w:pPr>
              <w:pStyle w:val="Compact"/>
              <w:spacing w:after="0" w:before="0" w:line="240" w:lineRule="auto"/>
              <w:jc w:val="left"/>
            </w:pPr>
            <w:r>
              <w:rPr>
                <w:bCs/>
                <w:rFonts w:ascii="Arial" w:hAnsi="Arial"/>
                <w:b/>
                <w:sz w:val="15"/>
              </w:rPr>
              <w:t xml:space="preserve">Mature, profitable, scale (closest to Olympus)</w:t>
            </w:r>
          </w:p>
        </w:tc>
        <w:tc>
          <w:tcPr>
            <w:tcW w:type="dxa" w:w="3430"/>
          </w:tcPr>
          <w:p>
            <w:pPr>
              <w:pStyle w:val="Compact"/>
              <w:spacing w:after="0" w:before="0" w:line="240" w:lineRule="auto"/>
              <w:jc w:val="left"/>
            </w:pPr>
            <w:r>
              <w:rPr>
                <w:rFonts w:ascii="Arial" w:hAnsi="Arial"/>
                <w:sz w:val="15"/>
              </w:rPr>
              <w:t xml:space="preserve">Hill-Rom, Cantel, Hologic, Topcon, Evident</w:t>
            </w:r>
          </w:p>
        </w:tc>
        <w:tc>
          <w:tcPr>
            <w:tcW w:type="dxa" w:w="1871"/>
          </w:tcPr>
          <w:p>
            <w:pPr>
              <w:pStyle w:val="Compact"/>
              <w:spacing w:after="0" w:before="0" w:line="240" w:lineRule="auto"/>
              <w:jc w:val="left"/>
            </w:pPr>
            <w:r>
              <w:rPr>
                <w:bCs/>
                <w:rFonts w:ascii="Arial" w:hAnsi="Arial"/>
                <w:b/>
                <w:sz w:val="15"/>
              </w:rPr>
              <w:t xml:space="preserve">4.2x (2.0–4.5x)</w:t>
            </w:r>
          </w:p>
        </w:tc>
        <w:tc>
          <w:tcPr>
            <w:tcW w:type="dxa" w:w="2213"/>
          </w:tcPr>
          <w:p>
            <w:pPr>
              <w:pStyle w:val="Compact"/>
              <w:spacing w:after="0" w:before="0" w:line="240" w:lineRule="auto"/>
              <w:jc w:val="left"/>
            </w:pPr>
            <w:r>
              <w:rPr>
                <w:bCs/>
                <w:rFonts w:ascii="Arial" w:hAnsi="Arial"/>
                <w:b/>
                <w:sz w:val="15"/>
              </w:rPr>
              <w:t xml:space="preserve">17.3x (14.3–26.9x CIQ; ~12–20x adjusted)</w:t>
            </w:r>
          </w:p>
        </w:tc>
      </w:tr>
      <w:tr>
        <w:trPr>
          <w:cantSplit/>
        </w:trPr>
        <w:tc>
          <w:tcPr>
            <w:tcW w:type="dxa" w:w="2464"/>
            <w:shd w:val="clear" w:color="auto" w:fill="F1F2F5"/>
          </w:tcPr>
          <w:p>
            <w:pPr>
              <w:pStyle w:val="Compact"/>
              <w:spacing w:after="0" w:before="0" w:line="240" w:lineRule="auto"/>
              <w:jc w:val="left"/>
            </w:pPr>
            <w:r>
              <w:rPr>
                <w:rFonts w:ascii="Arial" w:hAnsi="Arial"/>
                <w:sz w:val="15"/>
              </w:rPr>
              <w:t xml:space="preserve">Growth and high-margin tuck-ins</w:t>
            </w:r>
          </w:p>
        </w:tc>
        <w:tc>
          <w:tcPr>
            <w:tcW w:type="dxa" w:w="3430"/>
            <w:shd w:val="clear" w:color="auto" w:fill="F1F2F5"/>
          </w:tcPr>
          <w:p>
            <w:pPr>
              <w:pStyle w:val="Compact"/>
              <w:spacing w:after="0" w:before="0" w:line="240" w:lineRule="auto"/>
              <w:jc w:val="left"/>
            </w:pPr>
            <w:r>
              <w:rPr>
                <w:rFonts w:ascii="Arial" w:hAnsi="Arial"/>
                <w:sz w:val="15"/>
              </w:rPr>
              <w:t xml:space="preserve">Axonics, Silk Road, Inari, Shockwave, Abiomed, Paragon 28, Intersect, Penumbra, Vocera, Apollo</w:t>
            </w:r>
          </w:p>
        </w:tc>
        <w:tc>
          <w:tcPr>
            <w:tcW w:type="dxa" w:w="1871"/>
            <w:shd w:val="clear" w:color="auto" w:fill="F1F2F5"/>
          </w:tcPr>
          <w:p>
            <w:pPr>
              <w:pStyle w:val="Compact"/>
              <w:spacing w:after="0" w:before="0" w:line="240" w:lineRule="auto"/>
              <w:jc w:val="left"/>
            </w:pPr>
            <w:r>
              <w:rPr>
                <w:rFonts w:ascii="Arial" w:hAnsi="Arial"/>
                <w:sz w:val="15"/>
              </w:rPr>
              <w:t xml:space="preserve">~10.3x (5.4–18.1x)</w:t>
            </w:r>
          </w:p>
        </w:tc>
        <w:tc>
          <w:tcPr>
            <w:tcW w:type="dxa" w:w="2213"/>
            <w:shd w:val="clear" w:color="auto" w:fill="F1F2F5"/>
          </w:tcPr>
          <w:p>
            <w:pPr>
              <w:pStyle w:val="Compact"/>
              <w:spacing w:after="0" w:before="0" w:line="240" w:lineRule="auto"/>
              <w:jc w:val="left"/>
            </w:pPr>
            <w:r>
              <w:rPr>
                <w:rFonts w:ascii="Arial" w:hAnsi="Arial"/>
                <w:sz w:val="15"/>
              </w:rPr>
              <w:t xml:space="preserve">n/m</w:t>
            </w:r>
          </w:p>
        </w:tc>
      </w:tr>
      <w:tr>
        <w:trPr>
          <w:cantSplit/>
        </w:trPr>
        <w:tc>
          <w:tcPr>
            <w:tcW w:type="dxa" w:w="2464"/>
          </w:tcPr>
          <w:p>
            <w:pPr>
              <w:pStyle w:val="Compact"/>
              <w:spacing w:after="0" w:before="0" w:line="240" w:lineRule="auto"/>
              <w:jc w:val="left"/>
            </w:pPr>
            <w:r>
              <w:rPr>
                <w:rFonts w:ascii="Arial" w:hAnsi="Arial"/>
                <w:sz w:val="15"/>
              </w:rPr>
              <w:t xml:space="preserve">Japanese medtech carve-outs</w:t>
            </w:r>
          </w:p>
        </w:tc>
        <w:tc>
          <w:tcPr>
            <w:tcW w:type="dxa" w:w="3430"/>
          </w:tcPr>
          <w:p>
            <w:pPr>
              <w:pStyle w:val="Compact"/>
              <w:spacing w:after="0" w:before="0" w:line="240" w:lineRule="auto"/>
              <w:jc w:val="left"/>
            </w:pPr>
            <w:r>
              <w:rPr>
                <w:rFonts w:ascii="Arial" w:hAnsi="Arial"/>
                <w:sz w:val="15"/>
              </w:rPr>
              <w:t xml:space="preserve">Toshiba Medical, Hitachi imaging, Evident</w:t>
            </w:r>
          </w:p>
        </w:tc>
        <w:tc>
          <w:tcPr>
            <w:tcW w:type="dxa" w:w="1871"/>
          </w:tcPr>
          <w:p>
            <w:pPr>
              <w:pStyle w:val="Compact"/>
              <w:spacing w:after="0" w:before="0" w:line="240" w:lineRule="auto"/>
              <w:jc w:val="left"/>
            </w:pPr>
            <w:r>
              <w:rPr>
                <w:rFonts w:ascii="Arial" w:hAnsi="Arial"/>
                <w:sz w:val="15"/>
              </w:rPr>
              <w:t xml:space="preserve">~1.1–3.6x</w:t>
            </w:r>
          </w:p>
        </w:tc>
        <w:tc>
          <w:tcPr>
            <w:tcW w:type="dxa" w:w="2213"/>
          </w:tcPr>
          <w:p>
            <w:pPr>
              <w:pStyle w:val="Compact"/>
              <w:spacing w:after="0" w:before="0" w:line="240" w:lineRule="auto"/>
              <w:jc w:val="left"/>
            </w:pPr>
            <w:r>
              <w:rPr>
                <w:rFonts w:ascii="Arial" w:hAnsi="Arial"/>
                <w:sz w:val="15"/>
              </w:rPr>
              <w:t xml:space="preserve">~17x (Evident)</w:t>
            </w:r>
          </w:p>
        </w:tc>
      </w:tr>
    </w:tbl>
    <w:bookmarkEnd w:id="101"/>
    <w:bookmarkStart w:id="102" w:name="is-olympus-a-takeover-target"/>
    <w:p>
      <w:pPr>
        <w:pStyle w:val="Heading2"/>
      </w:pPr>
      <w:r>
        <w:t xml:space="preserve">Is Olympus a takeover target?</w:t>
      </w:r>
    </w:p>
    <w:p>
      <w:pPr>
        <w:pStyle w:val="FirstParagraph"/>
      </w:pPr>
      <w:r>
        <w:rPr>
          <w:bCs/>
          <w:b/>
        </w:rPr>
        <w:t xml:space="preserve">Our view: plausible but hard.</w:t>
      </w:r>
      <w:r>
        <w:t xml:space="preserve"> </w:t>
      </w:r>
      <w:r>
        <w:t xml:space="preserve">We put the probability of a credible approach within 24 months at ~15–20% [e]. Two structures are more likely than a whole-company bid: an SIS carve-out, or a PE-sponsored take-private with a Japanese anchor investor.</w:t>
      </w:r>
    </w:p>
    <w:p>
      <w:pPr>
        <w:pStyle w:val="BodyText"/>
      </w:pPr>
      <w:r>
        <w:rPr>
          <w:bCs/>
          <w:b/>
        </w:rPr>
        <w:t xml:space="preserve">Arguments for a bid.</w:t>
      </w:r>
    </w:p>
    <w:p>
      <w:pPr>
        <w:numPr>
          <w:ilvl w:val="0"/>
          <w:numId w:val="1031"/>
        </w:numPr>
        <w:pStyle w:val="Compact"/>
      </w:pPr>
      <w:r>
        <w:rPr>
          <w:bCs/>
          <w:b/>
        </w:rPr>
        <w:t xml:space="preserve">Valuation dislocation.</w:t>
      </w:r>
      <w:r>
        <w:t xml:space="preserve"> </w:t>
      </w:r>
      <w:r>
        <w:t xml:space="preserve">Olympus trades at 9.4x EBITDA, against peers at 12–20x and mature-deal precedents at ~14–20x.</w:t>
      </w:r>
    </w:p>
    <w:p>
      <w:pPr>
        <w:numPr>
          <w:ilvl w:val="0"/>
          <w:numId w:val="1031"/>
        </w:numPr>
        <w:pStyle w:val="Compact"/>
      </w:pPr>
      <w:r>
        <w:rPr>
          <w:bCs/>
          <w:b/>
        </w:rPr>
        <w:t xml:space="preserve">Franchise quality.</w:t>
      </w:r>
      <w:r>
        <w:t xml:space="preserve"> </w:t>
      </w:r>
      <w:r>
        <w:t xml:space="preserve">About 70% GI share [u], ~45% recurring revenue in GIS, ~65% gross margin, and the largest installed base in the industry.</w:t>
      </w:r>
    </w:p>
    <w:p>
      <w:pPr>
        <w:numPr>
          <w:ilvl w:val="0"/>
          <w:numId w:val="1031"/>
        </w:numPr>
        <w:pStyle w:val="Compact"/>
      </w:pPr>
      <w:r>
        <w:rPr>
          <w:bCs/>
          <w:b/>
        </w:rPr>
        <w:t xml:space="preserve">No controlling shareholder.</w:t>
      </w:r>
      <w:r>
        <w:t xml:space="preserve"> </w:t>
      </w:r>
      <w:r>
        <w:t xml:space="preserve">Cross-shareholdings are de minimis, the board is 9 of 10 independent, and the management team is US-style. Under METI’s 2023 takeover guidelines, the board must give a bona fide offer</w:t>
      </w:r>
      <w:r>
        <w:t xml:space="preserve"> </w:t>
      </w:r>
      <w:r>
        <w:t xml:space="preserve">“</w:t>
      </w:r>
      <w:r>
        <w:t xml:space="preserve">sincere consideration</w:t>
      </w:r>
      <w:r>
        <w:t xml:space="preserve">”</w:t>
      </w:r>
      <w:r>
        <w:t xml:space="preserve">.</w:t>
      </w:r>
    </w:p>
    <w:p>
      <w:pPr>
        <w:numPr>
          <w:ilvl w:val="0"/>
          <w:numId w:val="1031"/>
        </w:numPr>
        <w:pStyle w:val="Compact"/>
      </w:pPr>
      <w:r>
        <w:rPr>
          <w:bCs/>
          <w:b/>
        </w:rPr>
        <w:t xml:space="preserve">A ValueAct-linked director (Rob Hale)</w:t>
      </w:r>
      <w:r>
        <w:t xml:space="preserve"> </w:t>
      </w:r>
      <w:r>
        <w:t xml:space="preserve">sits on the board. ValueAct backed and sold into the</w:t>
      </w:r>
      <w:r>
        <w:t xml:space="preserve"> </w:t>
      </w:r>
      <w:r>
        <w:rPr>
          <w:bCs/>
          <w:b/>
        </w:rPr>
        <w:t xml:space="preserve">KKR/JIC take-private of Topcon</w:t>
      </w:r>
      <w:r>
        <w:t xml:space="preserve"> </w:t>
      </w:r>
      <w:r>
        <w:t xml:space="preserve">(ValueAct held ~14%).</w:t>
      </w:r>
    </w:p>
    <w:p>
      <w:pPr>
        <w:numPr>
          <w:ilvl w:val="0"/>
          <w:numId w:val="1031"/>
        </w:numPr>
        <w:pStyle w:val="Compact"/>
      </w:pPr>
      <w:r>
        <w:rPr>
          <w:bCs/>
          <w:b/>
        </w:rPr>
        <w:t xml:space="preserve">Japanese take-private precedents now exist at scale:</w:t>
      </w:r>
      <w:r>
        <w:t xml:space="preserve"> </w:t>
      </w:r>
      <w:r>
        <w:t xml:space="preserve">Toshiba/JIP (JPY2.2tn EV), Topcon, Taiyo Holdings (KKR, +117% vs the 6-month average), and Fuji Soft.</w:t>
      </w:r>
    </w:p>
    <w:p>
      <w:pPr>
        <w:numPr>
          <w:ilvl w:val="0"/>
          <w:numId w:val="1031"/>
        </w:numPr>
        <w:pStyle w:val="Compact"/>
      </w:pPr>
      <w:r>
        <w:rPr>
          <w:bCs/>
          <w:b/>
        </w:rPr>
        <w:t xml:space="preserve">The fix-and-flip case is self-help.</w:t>
      </w:r>
      <w:r>
        <w:t xml:space="preserve"> </w:t>
      </w:r>
      <w:r>
        <w:t xml:space="preserve">QMS remediation, the cost-out, China stabilisation and SIS portfolio action are all levers a sponsor can underwrite.</w:t>
      </w:r>
    </w:p>
    <w:p>
      <w:pPr>
        <w:pStyle w:val="FirstParagraph"/>
      </w:pPr>
      <w:r>
        <w:rPr>
          <w:bCs/>
          <w:b/>
        </w:rPr>
        <w:t xml:space="preserve">Impediments.</w:t>
      </w:r>
    </w:p>
    <w:p>
      <w:pPr>
        <w:numPr>
          <w:ilvl w:val="0"/>
          <w:numId w:val="1032"/>
        </w:numPr>
        <w:pStyle w:val="Compact"/>
      </w:pPr>
      <w:r>
        <w:rPr>
          <w:bCs/>
          <w:b/>
        </w:rPr>
        <w:t xml:space="preserve">FEFTA.</w:t>
      </w:r>
      <w:r>
        <w:t xml:space="preserve"> </w:t>
      </w:r>
      <w:r>
        <w:t xml:space="preserve">Medical devices became a core FEFTA sector in 2020. The Jun-2026 amendments add indirect-acquisition capture, post-closing review and stricter treatment of</w:t>
      </w:r>
      <w:r>
        <w:t xml:space="preserve"> </w:t>
      </w:r>
      <w:r>
        <w:t xml:space="preserve">“</w:t>
      </w:r>
      <w:r>
        <w:t xml:space="preserve">high-risk</w:t>
      </w:r>
      <w:r>
        <w:t xml:space="preserve">”</w:t>
      </w:r>
      <w:r>
        <w:t xml:space="preserve"> </w:t>
      </w:r>
      <w:r>
        <w:t xml:space="preserve">investors. Western PE and strategic buyers should clear, with conditions on Japanese R&amp;D, manufacturing and supply security.</w:t>
      </w:r>
    </w:p>
    <w:p>
      <w:pPr>
        <w:numPr>
          <w:ilvl w:val="0"/>
          <w:numId w:val="1032"/>
        </w:numPr>
        <w:pStyle w:val="Compact"/>
      </w:pPr>
      <w:r>
        <w:rPr>
          <w:bCs/>
          <w:b/>
        </w:rPr>
        <w:t xml:space="preserve">Antitrust.</w:t>
      </w:r>
      <w:r>
        <w:t xml:space="preserve"> </w:t>
      </w:r>
      <w:r>
        <w:t xml:space="preserve">With ~70% GI share, Fujifilm, PENTAX and other scope makers are excluded. Boston Scientific would face remedies in endotherapy and urology. China SAMR review could be used politically.</w:t>
      </w:r>
    </w:p>
    <w:p>
      <w:pPr>
        <w:numPr>
          <w:ilvl w:val="0"/>
          <w:numId w:val="1032"/>
        </w:numPr>
        <w:pStyle w:val="Compact"/>
      </w:pPr>
      <w:r>
        <w:rPr>
          <w:bCs/>
          <w:b/>
        </w:rPr>
        <w:t xml:space="preserve">The open FDA Warning Letter</w:t>
      </w:r>
      <w:r>
        <w:t xml:space="preserve"> </w:t>
      </w:r>
      <w:r>
        <w:t xml:space="preserve">(plus the import alert and recalls). Buyers would demand a price discount, a contingent value right (as in Hologic) or regulatory conditions.</w:t>
      </w:r>
    </w:p>
    <w:p>
      <w:pPr>
        <w:numPr>
          <w:ilvl w:val="0"/>
          <w:numId w:val="1032"/>
        </w:numPr>
        <w:pStyle w:val="Compact"/>
      </w:pPr>
      <w:r>
        <w:rPr>
          <w:bCs/>
          <w:b/>
        </w:rPr>
        <w:t xml:space="preserve">Size and leverage.</w:t>
      </w:r>
      <w:r>
        <w:t xml:space="preserve"> </w:t>
      </w:r>
      <w:r>
        <w:t xml:space="preserve">EV of JPY2.8–3.5tn (US$18–22bn) would be a top-3 Japanese LBO. FCF is thin (consensus FY3/27 ~JPY63bn) and remediation spend competes with debt service.</w:t>
      </w:r>
    </w:p>
    <w:p>
      <w:pPr>
        <w:numPr>
          <w:ilvl w:val="0"/>
          <w:numId w:val="1032"/>
        </w:numPr>
        <w:pStyle w:val="Compact"/>
      </w:pPr>
      <w:r>
        <w:rPr>
          <w:bCs/>
          <w:b/>
        </w:rPr>
        <w:t xml:space="preserve">Social and political optics</w:t>
      </w:r>
      <w:r>
        <w:t xml:space="preserve"> </w:t>
      </w:r>
      <w:r>
        <w:t xml:space="preserve">for a national</w:t>
      </w:r>
      <w:r>
        <w:t xml:space="preserve"> </w:t>
      </w:r>
      <w:r>
        <w:t xml:space="preserve">“</w:t>
      </w:r>
      <w:r>
        <w:t xml:space="preserve">monozukuri</w:t>
      </w:r>
      <w:r>
        <w:t xml:space="preserve">”</w:t>
      </w:r>
      <w:r>
        <w:t xml:space="preserve"> </w:t>
      </w:r>
      <w:r>
        <w:t xml:space="preserve">champion. JIC or DBJ co-investment (the Topcon model) mitigates this.</w:t>
      </w:r>
    </w:p>
    <w:p>
      <w:pPr>
        <w:numPr>
          <w:ilvl w:val="0"/>
          <w:numId w:val="1032"/>
        </w:numPr>
        <w:pStyle w:val="Compact"/>
      </w:pPr>
      <w:r>
        <w:rPr>
          <w:bCs/>
          <w:b/>
        </w:rPr>
        <w:t xml:space="preserve">Change-of-control clauses</w:t>
      </w:r>
      <w:r>
        <w:t xml:space="preserve"> </w:t>
      </w:r>
      <w:r>
        <w:t xml:space="preserve">in the SOMED (Sony) and Swan (Revival) arrangements [u].</w:t>
      </w:r>
    </w:p>
    <w:p>
      <w:pPr>
        <w:pStyle w:val="FirstParagraph"/>
      </w:pPr>
      <w:r>
        <w:rPr>
          <w:bCs/>
          <w:b/>
        </w:rPr>
        <w:t xml:space="preserve">Potential acquirers.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247"/>
        <w:gridCol w:w="3192"/>
        <w:gridCol w:w="2274"/>
        <w:gridCol w:w="2263"/>
      </w:tblGrid>
      <w:tr>
        <w:trPr>
          <w:tblHeader w:val="true"/>
          <w:tblHeader w:val="true"/>
          <w:cantSplit/>
        </w:trPr>
        <w:tc>
          <w:tcPr>
            <w:tcW w:type="dxa" w:w="2248"/>
            <w:shd w:val="clear" w:color="auto" w:fill="13213F"/>
          </w:tcPr>
          <w:p>
            <w:pPr>
              <w:pStyle w:val="Compact"/>
              <w:spacing w:after="0" w:before="0" w:line="240" w:lineRule="auto"/>
              <w:jc w:val="left"/>
            </w:pPr>
            <w:r>
              <w:rPr>
                <w:rFonts w:ascii="Arial" w:hAnsi="Arial"/>
                <w:b/>
                <w:color w:val="FFFFFF"/>
                <w:sz w:val="15"/>
              </w:rPr>
              <w:t xml:space="preserve">Buyer type</w:t>
            </w:r>
          </w:p>
        </w:tc>
        <w:tc>
          <w:tcPr>
            <w:tcW w:type="dxa" w:w="3192"/>
            <w:shd w:val="clear" w:color="auto" w:fill="13213F"/>
          </w:tcPr>
          <w:p>
            <w:pPr>
              <w:pStyle w:val="Compact"/>
              <w:spacing w:after="0" w:before="0" w:line="240" w:lineRule="auto"/>
              <w:jc w:val="left"/>
            </w:pPr>
            <w:r>
              <w:rPr>
                <w:rFonts w:ascii="Arial" w:hAnsi="Arial"/>
                <w:b/>
                <w:color w:val="FFFFFF"/>
                <w:sz w:val="15"/>
              </w:rPr>
              <w:t xml:space="preserve">Candidates</w:t>
            </w:r>
          </w:p>
        </w:tc>
        <w:tc>
          <w:tcPr>
            <w:tcW w:type="dxa" w:w="2275"/>
            <w:shd w:val="clear" w:color="auto" w:fill="13213F"/>
          </w:tcPr>
          <w:p>
            <w:pPr>
              <w:pStyle w:val="Compact"/>
              <w:spacing w:after="0" w:before="0" w:line="240" w:lineRule="auto"/>
              <w:jc w:val="left"/>
            </w:pPr>
            <w:r>
              <w:rPr>
                <w:rFonts w:ascii="Arial" w:hAnsi="Arial"/>
                <w:b/>
                <w:color w:val="FFFFFF"/>
                <w:sz w:val="15"/>
              </w:rPr>
              <w:t xml:space="preserve">Fit</w:t>
            </w:r>
          </w:p>
        </w:tc>
        <w:tc>
          <w:tcPr>
            <w:tcW w:type="dxa" w:w="2263"/>
            <w:shd w:val="clear" w:color="auto" w:fill="13213F"/>
          </w:tcPr>
          <w:p>
            <w:pPr>
              <w:pStyle w:val="Compact"/>
              <w:spacing w:after="0" w:before="0" w:line="240" w:lineRule="auto"/>
              <w:jc w:val="left"/>
            </w:pPr>
            <w:r>
              <w:rPr>
                <w:rFonts w:ascii="Arial" w:hAnsi="Arial"/>
                <w:b/>
                <w:color w:val="FFFFFF"/>
                <w:sz w:val="15"/>
              </w:rPr>
              <w:t xml:space="preserve">Key obstacle</w:t>
            </w:r>
          </w:p>
        </w:tc>
      </w:tr>
      <w:tr>
        <w:trPr>
          <w:cantSplit/>
        </w:trPr>
        <w:tc>
          <w:tcPr>
            <w:tcW w:type="dxa" w:w="2248"/>
          </w:tcPr>
          <w:p>
            <w:pPr>
              <w:pStyle w:val="Compact"/>
              <w:spacing w:after="0" w:before="0" w:line="240" w:lineRule="auto"/>
              <w:jc w:val="left"/>
            </w:pPr>
            <w:r>
              <w:rPr>
                <w:rFonts w:ascii="Arial" w:hAnsi="Arial"/>
                <w:sz w:val="15"/>
              </w:rPr>
              <w:t xml:space="preserve">PE / sovereign club</w:t>
            </w:r>
          </w:p>
        </w:tc>
        <w:tc>
          <w:tcPr>
            <w:tcW w:type="dxa" w:w="3192"/>
          </w:tcPr>
          <w:p>
            <w:pPr>
              <w:pStyle w:val="Compact"/>
              <w:spacing w:after="0" w:before="0" w:line="240" w:lineRule="auto"/>
              <w:jc w:val="left"/>
            </w:pPr>
            <w:r>
              <w:rPr>
                <w:rFonts w:ascii="Arial" w:hAnsi="Arial"/>
                <w:sz w:val="15"/>
              </w:rPr>
              <w:t xml:space="preserve">Blackstone, KKR, Bain, EQT, TPG, CVC, Carlyle with JIC, DBJ, GIC or ADIA</w:t>
            </w:r>
          </w:p>
        </w:tc>
        <w:tc>
          <w:tcPr>
            <w:tcW w:type="dxa" w:w="2275"/>
          </w:tcPr>
          <w:p>
            <w:pPr>
              <w:pStyle w:val="Compact"/>
              <w:spacing w:after="0" w:before="0" w:line="240" w:lineRule="auto"/>
              <w:jc w:val="left"/>
            </w:pPr>
            <w:r>
              <w:rPr>
                <w:rFonts w:ascii="Arial" w:hAnsi="Arial"/>
                <w:sz w:val="15"/>
              </w:rPr>
              <w:t xml:space="preserve">Proven playbook (Topcon, Hologic, Evident)</w:t>
            </w:r>
          </w:p>
        </w:tc>
        <w:tc>
          <w:tcPr>
            <w:tcW w:type="dxa" w:w="2263"/>
          </w:tcPr>
          <w:p>
            <w:pPr>
              <w:pStyle w:val="Compact"/>
              <w:spacing w:after="0" w:before="0" w:line="240" w:lineRule="auto"/>
              <w:jc w:val="left"/>
            </w:pPr>
            <w:r>
              <w:rPr>
                <w:rFonts w:ascii="Arial" w:hAnsi="Arial"/>
                <w:sz w:val="15"/>
              </w:rPr>
              <w:t xml:space="preserve">Size; leverage vs remediation; FEFTA</w:t>
            </w:r>
          </w:p>
        </w:tc>
      </w:tr>
      <w:tr>
        <w:trPr>
          <w:cantSplit/>
        </w:trPr>
        <w:tc>
          <w:tcPr>
            <w:tcW w:type="dxa" w:w="2248"/>
            <w:shd w:val="clear" w:color="auto" w:fill="F1F2F5"/>
          </w:tcPr>
          <w:p>
            <w:pPr>
              <w:pStyle w:val="Compact"/>
              <w:spacing w:after="0" w:before="0" w:line="240" w:lineRule="auto"/>
              <w:jc w:val="left"/>
            </w:pPr>
            <w:r>
              <w:rPr>
                <w:rFonts w:ascii="Arial" w:hAnsi="Arial"/>
                <w:sz w:val="15"/>
              </w:rPr>
              <w:t xml:space="preserve">US/EU strategic, no flexible-scope overlap</w:t>
            </w:r>
          </w:p>
        </w:tc>
        <w:tc>
          <w:tcPr>
            <w:tcW w:type="dxa" w:w="3192"/>
            <w:shd w:val="clear" w:color="auto" w:fill="F1F2F5"/>
          </w:tcPr>
          <w:p>
            <w:pPr>
              <w:pStyle w:val="Compact"/>
              <w:spacing w:after="0" w:before="0" w:line="240" w:lineRule="auto"/>
              <w:jc w:val="left"/>
            </w:pPr>
            <w:r>
              <w:rPr>
                <w:rFonts w:ascii="Arial" w:hAnsi="Arial"/>
                <w:sz w:val="15"/>
              </w:rPr>
              <w:t xml:space="preserve">Medtronic (CEO White is ex-MDT), J&amp;J MedTech, Stryker, Siemens Healthineers, GE HealthCare</w:t>
            </w:r>
          </w:p>
        </w:tc>
        <w:tc>
          <w:tcPr>
            <w:tcW w:type="dxa" w:w="2275"/>
            <w:shd w:val="clear" w:color="auto" w:fill="F1F2F5"/>
          </w:tcPr>
          <w:p>
            <w:pPr>
              <w:pStyle w:val="Compact"/>
              <w:spacing w:after="0" w:before="0" w:line="240" w:lineRule="auto"/>
              <w:jc w:val="left"/>
            </w:pPr>
            <w:r>
              <w:rPr>
                <w:rFonts w:ascii="Arial" w:hAnsi="Arial"/>
                <w:sz w:val="15"/>
              </w:rPr>
              <w:t xml:space="preserve">GI franchise plus service annuity</w:t>
            </w:r>
          </w:p>
        </w:tc>
        <w:tc>
          <w:tcPr>
            <w:tcW w:type="dxa" w:w="2263"/>
            <w:shd w:val="clear" w:color="auto" w:fill="F1F2F5"/>
          </w:tcPr>
          <w:p>
            <w:pPr>
              <w:pStyle w:val="Compact"/>
              <w:spacing w:after="0" w:before="0" w:line="240" w:lineRule="auto"/>
              <w:jc w:val="left"/>
            </w:pPr>
            <w:r>
              <w:rPr>
                <w:rFonts w:ascii="Arial" w:hAnsi="Arial"/>
                <w:sz w:val="15"/>
              </w:rPr>
              <w:t xml:space="preserve">FDA liability; capacity (BSX–Penumbra pending)</w:t>
            </w:r>
          </w:p>
        </w:tc>
      </w:tr>
      <w:tr>
        <w:trPr>
          <w:cantSplit/>
        </w:trPr>
        <w:tc>
          <w:tcPr>
            <w:tcW w:type="dxa" w:w="2248"/>
          </w:tcPr>
          <w:p>
            <w:pPr>
              <w:pStyle w:val="Compact"/>
              <w:spacing w:after="0" w:before="0" w:line="240" w:lineRule="auto"/>
              <w:jc w:val="left"/>
            </w:pPr>
            <w:r>
              <w:rPr>
                <w:rFonts w:ascii="Arial" w:hAnsi="Arial"/>
                <w:sz w:val="15"/>
              </w:rPr>
              <w:t xml:space="preserve">US strategic with overlap</w:t>
            </w:r>
          </w:p>
        </w:tc>
        <w:tc>
          <w:tcPr>
            <w:tcW w:type="dxa" w:w="3192"/>
          </w:tcPr>
          <w:p>
            <w:pPr>
              <w:pStyle w:val="Compact"/>
              <w:spacing w:after="0" w:before="0" w:line="240" w:lineRule="auto"/>
              <w:jc w:val="left"/>
            </w:pPr>
            <w:r>
              <w:rPr>
                <w:rFonts w:ascii="Arial" w:hAnsi="Arial"/>
                <w:sz w:val="15"/>
              </w:rPr>
              <w:t xml:space="preserve">Boston Scientific</w:t>
            </w:r>
          </w:p>
        </w:tc>
        <w:tc>
          <w:tcPr>
            <w:tcW w:type="dxa" w:w="2275"/>
          </w:tcPr>
          <w:p>
            <w:pPr>
              <w:pStyle w:val="Compact"/>
              <w:spacing w:after="0" w:before="0" w:line="240" w:lineRule="auto"/>
              <w:jc w:val="left"/>
            </w:pPr>
            <w:r>
              <w:rPr>
                <w:rFonts w:ascii="Arial" w:hAnsi="Arial"/>
                <w:sz w:val="15"/>
              </w:rPr>
              <w:t xml:space="preserve">Highest synergy</w:t>
            </w:r>
          </w:p>
        </w:tc>
        <w:tc>
          <w:tcPr>
            <w:tcW w:type="dxa" w:w="2263"/>
          </w:tcPr>
          <w:p>
            <w:pPr>
              <w:pStyle w:val="Compact"/>
              <w:spacing w:after="0" w:before="0" w:line="240" w:lineRule="auto"/>
              <w:jc w:val="left"/>
            </w:pPr>
            <w:r>
              <w:rPr>
                <w:rFonts w:ascii="Arial" w:hAnsi="Arial"/>
                <w:sz w:val="15"/>
              </w:rPr>
              <w:t xml:space="preserve">Antitrust; balance sheet</w:t>
            </w:r>
          </w:p>
        </w:tc>
      </w:tr>
      <w:tr>
        <w:trPr>
          <w:cantSplit/>
        </w:trPr>
        <w:tc>
          <w:tcPr>
            <w:tcW w:type="dxa" w:w="2248"/>
            <w:shd w:val="clear" w:color="auto" w:fill="F1F2F5"/>
          </w:tcPr>
          <w:p>
            <w:pPr>
              <w:pStyle w:val="Compact"/>
              <w:spacing w:after="0" w:before="0" w:line="240" w:lineRule="auto"/>
              <w:jc w:val="left"/>
            </w:pPr>
            <w:r>
              <w:rPr>
                <w:rFonts w:ascii="Arial" w:hAnsi="Arial"/>
                <w:sz w:val="15"/>
              </w:rPr>
              <w:t xml:space="preserve">Japanese</w:t>
            </w:r>
            <w:r>
              <w:rPr>
                <w:rFonts w:ascii="Arial" w:hAnsi="Arial"/>
                <w:sz w:val="15"/>
              </w:rPr>
              <w:t xml:space="preserve"> </w:t>
            </w:r>
            <w:r>
              <w:rPr>
                <w:rFonts w:ascii="Arial" w:hAnsi="Arial"/>
                <w:sz w:val="15"/>
              </w:rPr>
              <w:t xml:space="preserve">“</w:t>
            </w:r>
            <w:r>
              <w:rPr>
                <w:rFonts w:ascii="Arial" w:hAnsi="Arial"/>
                <w:sz w:val="15"/>
              </w:rPr>
              <w:t xml:space="preserve">white knight</w:t>
            </w:r>
            <w:r>
              <w:rPr>
                <w:rFonts w:ascii="Arial" w:hAnsi="Arial"/>
                <w:sz w:val="15"/>
              </w:rPr>
              <w:t xml:space="preserve">”</w:t>
            </w:r>
          </w:p>
        </w:tc>
        <w:tc>
          <w:tcPr>
            <w:tcW w:type="dxa" w:w="3192"/>
            <w:shd w:val="clear" w:color="auto" w:fill="F1F2F5"/>
          </w:tcPr>
          <w:p>
            <w:pPr>
              <w:pStyle w:val="Compact"/>
              <w:spacing w:after="0" w:before="0" w:line="240" w:lineRule="auto"/>
              <w:jc w:val="left"/>
            </w:pPr>
            <w:r>
              <w:rPr>
                <w:rFonts w:ascii="Arial" w:hAnsi="Arial"/>
                <w:sz w:val="15"/>
              </w:rPr>
              <w:t xml:space="preserve">Canon (EUS partner), Sony (SOMED partner), Terumo</w:t>
            </w:r>
          </w:p>
        </w:tc>
        <w:tc>
          <w:tcPr>
            <w:tcW w:type="dxa" w:w="2275"/>
            <w:shd w:val="clear" w:color="auto" w:fill="F1F2F5"/>
          </w:tcPr>
          <w:p>
            <w:pPr>
              <w:pStyle w:val="Compact"/>
              <w:spacing w:after="0" w:before="0" w:line="240" w:lineRule="auto"/>
              <w:jc w:val="left"/>
            </w:pPr>
            <w:r>
              <w:rPr>
                <w:rFonts w:ascii="Arial" w:hAnsi="Arial"/>
                <w:sz w:val="15"/>
              </w:rPr>
              <w:t xml:space="preserve">FEFTA-friendly</w:t>
            </w:r>
          </w:p>
        </w:tc>
        <w:tc>
          <w:tcPr>
            <w:tcW w:type="dxa" w:w="2263"/>
            <w:shd w:val="clear" w:color="auto" w:fill="F1F2F5"/>
          </w:tcPr>
          <w:p>
            <w:pPr>
              <w:pStyle w:val="Compact"/>
              <w:spacing w:after="0" w:before="0" w:line="240" w:lineRule="auto"/>
              <w:jc w:val="left"/>
            </w:pPr>
            <w:r>
              <w:rPr>
                <w:rFonts w:ascii="Arial" w:hAnsi="Arial"/>
                <w:sz w:val="15"/>
              </w:rPr>
              <w:t xml:space="preserve">Appetite [u]</w:t>
            </w:r>
          </w:p>
        </w:tc>
      </w:tr>
      <w:tr>
        <w:trPr>
          <w:cantSplit/>
        </w:trPr>
        <w:tc>
          <w:tcPr>
            <w:tcW w:type="dxa" w:w="2248"/>
          </w:tcPr>
          <w:p>
            <w:pPr>
              <w:pStyle w:val="Compact"/>
              <w:spacing w:after="0" w:before="0" w:line="240" w:lineRule="auto"/>
              <w:jc w:val="left"/>
            </w:pPr>
            <w:r>
              <w:rPr>
                <w:rFonts w:ascii="Arial" w:hAnsi="Arial"/>
                <w:sz w:val="15"/>
              </w:rPr>
              <w:t xml:space="preserve">SIS-only buyers</w:t>
            </w:r>
          </w:p>
        </w:tc>
        <w:tc>
          <w:tcPr>
            <w:tcW w:type="dxa" w:w="3192"/>
          </w:tcPr>
          <w:p>
            <w:pPr>
              <w:pStyle w:val="Compact"/>
              <w:spacing w:after="0" w:before="0" w:line="240" w:lineRule="auto"/>
              <w:jc w:val="left"/>
            </w:pPr>
            <w:r>
              <w:rPr>
                <w:rFonts w:ascii="Arial" w:hAnsi="Arial"/>
                <w:sz w:val="15"/>
              </w:rPr>
              <w:t xml:space="preserve">Karl Storz, Stryker, Teleflex-style PE, Integra, CONMED</w:t>
            </w:r>
          </w:p>
        </w:tc>
        <w:tc>
          <w:tcPr>
            <w:tcW w:type="dxa" w:w="2275"/>
          </w:tcPr>
          <w:p>
            <w:pPr>
              <w:pStyle w:val="Compact"/>
              <w:spacing w:after="0" w:before="0" w:line="240" w:lineRule="auto"/>
              <w:jc w:val="left"/>
            </w:pPr>
            <w:r>
              <w:rPr>
                <w:rFonts w:ascii="Arial" w:hAnsi="Arial"/>
                <w:sz w:val="15"/>
              </w:rPr>
              <w:t xml:space="preserve">Rigid endoscopy, urology, energy, ENT</w:t>
            </w:r>
          </w:p>
        </w:tc>
        <w:tc>
          <w:tcPr>
            <w:tcW w:type="dxa" w:w="2263"/>
          </w:tcPr>
          <w:p>
            <w:pPr>
              <w:pStyle w:val="Compact"/>
              <w:spacing w:after="0" w:before="0" w:line="240" w:lineRule="auto"/>
              <w:jc w:val="left"/>
            </w:pPr>
            <w:r>
              <w:rPr>
                <w:rFonts w:ascii="Arial" w:hAnsi="Arial"/>
                <w:sz w:val="15"/>
              </w:rPr>
              <w:t xml:space="preserve">Price; carve-out complexity</w:t>
            </w:r>
          </w:p>
        </w:tc>
      </w:tr>
    </w:tbl>
    <w:bookmarkEnd w:id="102"/>
    <w:bookmarkStart w:id="103" w:name="takeout-multiples-and-implied-value"/>
    <w:p>
      <w:pPr>
        <w:pStyle w:val="Heading2"/>
      </w:pPr>
      <w:r>
        <w:t xml:space="preserve">Takeout multiples and implied value</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661"/>
        <w:gridCol w:w="1057"/>
        <w:gridCol w:w="1418"/>
        <w:gridCol w:w="1317"/>
        <w:gridCol w:w="1505"/>
        <w:gridCol w:w="2017"/>
      </w:tblGrid>
      <w:tr>
        <w:trPr>
          <w:tblHeader w:val="true"/>
          <w:tblHeader w:val="true"/>
          <w:cantSplit/>
        </w:trPr>
        <w:tc>
          <w:tcPr>
            <w:tcW w:type="dxa" w:w="2661"/>
            <w:shd w:val="clear" w:color="auto" w:fill="13213F"/>
          </w:tcPr>
          <w:p>
            <w:pPr>
              <w:pStyle w:val="Compact"/>
              <w:spacing w:after="0" w:before="0" w:line="240" w:lineRule="auto"/>
              <w:jc w:val="right"/>
            </w:pPr>
            <w:r>
              <w:rPr>
                <w:rFonts w:ascii="Arial" w:hAnsi="Arial"/>
                <w:b/>
                <w:color w:val="FFFFFF"/>
                <w:sz w:val="15"/>
              </w:rPr>
              <w:t xml:space="preserve">EV / FY3/27E EBITDA</w:t>
            </w:r>
          </w:p>
        </w:tc>
        <w:tc>
          <w:tcPr>
            <w:tcW w:type="dxa" w:w="1058"/>
            <w:shd w:val="clear" w:color="auto" w:fill="13213F"/>
          </w:tcPr>
          <w:p>
            <w:pPr>
              <w:pStyle w:val="Compact"/>
              <w:spacing w:after="0" w:before="0" w:line="240" w:lineRule="auto"/>
              <w:jc w:val="right"/>
            </w:pPr>
            <w:r>
              <w:rPr>
                <w:rFonts w:ascii="Arial" w:hAnsi="Arial"/>
                <w:b/>
                <w:color w:val="FFFFFF"/>
                <w:sz w:val="15"/>
              </w:rPr>
              <w:t xml:space="preserve">EV (JPY bn)</w:t>
            </w:r>
          </w:p>
        </w:tc>
        <w:tc>
          <w:tcPr>
            <w:tcW w:type="dxa" w:w="1419"/>
            <w:shd w:val="clear" w:color="auto" w:fill="13213F"/>
          </w:tcPr>
          <w:p>
            <w:pPr>
              <w:pStyle w:val="Compact"/>
              <w:spacing w:after="0" w:before="0" w:line="240" w:lineRule="auto"/>
              <w:jc w:val="right"/>
            </w:pPr>
            <w:r>
              <w:rPr>
                <w:rFonts w:ascii="Arial" w:hAnsi="Arial"/>
                <w:b/>
                <w:color w:val="FFFFFF"/>
                <w:sz w:val="15"/>
              </w:rPr>
              <w:t xml:space="preserve">EV / FY3/27E sales</w:t>
            </w:r>
          </w:p>
        </w:tc>
        <w:tc>
          <w:tcPr>
            <w:tcW w:type="dxa" w:w="1317"/>
            <w:shd w:val="clear" w:color="auto" w:fill="13213F"/>
          </w:tcPr>
          <w:p>
            <w:pPr>
              <w:pStyle w:val="Compact"/>
              <w:spacing w:after="0" w:before="0" w:line="240" w:lineRule="auto"/>
              <w:jc w:val="right"/>
            </w:pPr>
            <w:r>
              <w:rPr>
                <w:rFonts w:ascii="Arial" w:hAnsi="Arial"/>
                <w:b/>
                <w:color w:val="FFFFFF"/>
                <w:sz w:val="15"/>
              </w:rPr>
              <w:t xml:space="preserve">Value per share (JPY)</w:t>
            </w:r>
          </w:p>
        </w:tc>
        <w:tc>
          <w:tcPr>
            <w:tcW w:type="dxa" w:w="1505"/>
            <w:shd w:val="clear" w:color="auto" w:fill="13213F"/>
          </w:tcPr>
          <w:p>
            <w:pPr>
              <w:pStyle w:val="Compact"/>
              <w:spacing w:after="0" w:before="0" w:line="240" w:lineRule="auto"/>
              <w:jc w:val="right"/>
            </w:pPr>
            <w:r>
              <w:rPr>
                <w:rFonts w:ascii="Arial" w:hAnsi="Arial"/>
                <w:b/>
                <w:color w:val="FFFFFF"/>
                <w:sz w:val="15"/>
              </w:rPr>
              <w:t xml:space="preserve">Premium vs JPY1,690</w:t>
            </w:r>
          </w:p>
        </w:tc>
        <w:tc>
          <w:tcPr>
            <w:tcW w:type="dxa" w:w="2018"/>
            <w:shd w:val="clear" w:color="auto" w:fill="13213F"/>
          </w:tcPr>
          <w:p>
            <w:pPr>
              <w:pStyle w:val="Compact"/>
              <w:spacing w:after="0" w:before="0" w:line="240" w:lineRule="auto"/>
              <w:jc w:val="right"/>
            </w:pPr>
            <w:r>
              <w:rPr>
                <w:rFonts w:ascii="Arial" w:hAnsi="Arial"/>
                <w:b/>
                <w:color w:val="FFFFFF"/>
                <w:sz w:val="15"/>
              </w:rPr>
              <w:t xml:space="preserve">Premium vs JPY2,032 (pre-letter)</w:t>
            </w:r>
          </w:p>
        </w:tc>
      </w:tr>
      <w:tr>
        <w:trPr>
          <w:cantSplit/>
        </w:trPr>
        <w:tc>
          <w:tcPr>
            <w:tcW w:type="dxa" w:w="2661"/>
          </w:tcPr>
          <w:p>
            <w:pPr>
              <w:pStyle w:val="Compact"/>
              <w:spacing w:after="0" w:before="0" w:line="240" w:lineRule="auto"/>
              <w:jc w:val="right"/>
            </w:pPr>
            <w:r>
              <w:rPr>
                <w:rFonts w:ascii="Arial" w:hAnsi="Arial"/>
                <w:sz w:val="15"/>
              </w:rPr>
              <w:t xml:space="preserve">11x</w:t>
            </w:r>
          </w:p>
        </w:tc>
        <w:tc>
          <w:tcPr>
            <w:tcW w:type="dxa" w:w="1058"/>
          </w:tcPr>
          <w:p>
            <w:pPr>
              <w:pStyle w:val="Compact"/>
              <w:spacing w:after="0" w:before="0" w:line="240" w:lineRule="auto"/>
              <w:jc w:val="right"/>
            </w:pPr>
            <w:r>
              <w:rPr>
                <w:rFonts w:ascii="Arial" w:hAnsi="Arial"/>
                <w:sz w:val="15"/>
              </w:rPr>
              <w:t xml:space="preserve">2,376</w:t>
            </w:r>
          </w:p>
        </w:tc>
        <w:tc>
          <w:tcPr>
            <w:tcW w:type="dxa" w:w="1419"/>
          </w:tcPr>
          <w:p>
            <w:pPr>
              <w:pStyle w:val="Compact"/>
              <w:spacing w:after="0" w:before="0" w:line="240" w:lineRule="auto"/>
              <w:jc w:val="right"/>
            </w:pPr>
            <w:r>
              <w:rPr>
                <w:rFonts w:ascii="Arial" w:hAnsi="Arial"/>
                <w:sz w:val="15"/>
              </w:rPr>
              <w:t xml:space="preserve">2.22x</w:t>
            </w:r>
          </w:p>
        </w:tc>
        <w:tc>
          <w:tcPr>
            <w:tcW w:type="dxa" w:w="1317"/>
          </w:tcPr>
          <w:p>
            <w:pPr>
              <w:pStyle w:val="Compact"/>
              <w:spacing w:after="0" w:before="0" w:line="240" w:lineRule="auto"/>
              <w:jc w:val="right"/>
            </w:pPr>
            <w:r>
              <w:rPr>
                <w:rFonts w:ascii="Arial" w:hAnsi="Arial"/>
                <w:sz w:val="15"/>
              </w:rPr>
              <w:t xml:space="preserve">2,047</w:t>
            </w:r>
          </w:p>
        </w:tc>
        <w:tc>
          <w:tcPr>
            <w:tcW w:type="dxa" w:w="1505"/>
          </w:tcPr>
          <w:p>
            <w:pPr>
              <w:pStyle w:val="Compact"/>
              <w:spacing w:after="0" w:before="0" w:line="240" w:lineRule="auto"/>
              <w:jc w:val="right"/>
            </w:pPr>
            <w:r>
              <w:rPr>
                <w:rFonts w:ascii="Arial" w:hAnsi="Arial"/>
                <w:sz w:val="15"/>
              </w:rPr>
              <w:t xml:space="preserve">+21%</w:t>
            </w:r>
          </w:p>
        </w:tc>
        <w:tc>
          <w:tcPr>
            <w:tcW w:type="dxa" w:w="2018"/>
          </w:tcPr>
          <w:p>
            <w:pPr>
              <w:pStyle w:val="Compact"/>
              <w:spacing w:after="0" w:before="0" w:line="240" w:lineRule="auto"/>
              <w:jc w:val="right"/>
            </w:pPr>
            <w:r>
              <w:rPr>
                <w:rFonts w:ascii="Arial" w:hAnsi="Arial"/>
                <w:sz w:val="15"/>
              </w:rPr>
              <w:t xml:space="preserve">+1%</w:t>
            </w:r>
          </w:p>
        </w:tc>
      </w:tr>
      <w:tr>
        <w:trPr>
          <w:cantSplit/>
        </w:trPr>
        <w:tc>
          <w:tcPr>
            <w:tcW w:type="dxa" w:w="2661"/>
            <w:shd w:val="clear" w:color="auto" w:fill="F1F2F5"/>
          </w:tcPr>
          <w:p>
            <w:pPr>
              <w:pStyle w:val="Compact"/>
              <w:spacing w:after="0" w:before="0" w:line="240" w:lineRule="auto"/>
              <w:jc w:val="right"/>
            </w:pPr>
            <w:r>
              <w:rPr>
                <w:rFonts w:ascii="Arial" w:hAnsi="Arial"/>
                <w:sz w:val="15"/>
              </w:rPr>
              <w:t xml:space="preserve">12x</w:t>
            </w:r>
          </w:p>
        </w:tc>
        <w:tc>
          <w:tcPr>
            <w:tcW w:type="dxa" w:w="1058"/>
            <w:shd w:val="clear" w:color="auto" w:fill="F1F2F5"/>
          </w:tcPr>
          <w:p>
            <w:pPr>
              <w:pStyle w:val="Compact"/>
              <w:spacing w:after="0" w:before="0" w:line="240" w:lineRule="auto"/>
              <w:jc w:val="right"/>
            </w:pPr>
            <w:r>
              <w:rPr>
                <w:rFonts w:ascii="Arial" w:hAnsi="Arial"/>
                <w:sz w:val="15"/>
              </w:rPr>
              <w:t xml:space="preserve">2,592</w:t>
            </w:r>
          </w:p>
        </w:tc>
        <w:tc>
          <w:tcPr>
            <w:tcW w:type="dxa" w:w="1419"/>
            <w:shd w:val="clear" w:color="auto" w:fill="F1F2F5"/>
          </w:tcPr>
          <w:p>
            <w:pPr>
              <w:pStyle w:val="Compact"/>
              <w:spacing w:after="0" w:before="0" w:line="240" w:lineRule="auto"/>
              <w:jc w:val="right"/>
            </w:pPr>
            <w:r>
              <w:rPr>
                <w:rFonts w:ascii="Arial" w:hAnsi="Arial"/>
                <w:sz w:val="15"/>
              </w:rPr>
              <w:t xml:space="preserve">2.42x</w:t>
            </w:r>
          </w:p>
        </w:tc>
        <w:tc>
          <w:tcPr>
            <w:tcW w:type="dxa" w:w="1317"/>
            <w:shd w:val="clear" w:color="auto" w:fill="F1F2F5"/>
          </w:tcPr>
          <w:p>
            <w:pPr>
              <w:pStyle w:val="Compact"/>
              <w:spacing w:after="0" w:before="0" w:line="240" w:lineRule="auto"/>
              <w:jc w:val="right"/>
            </w:pPr>
            <w:r>
              <w:rPr>
                <w:rFonts w:ascii="Arial" w:hAnsi="Arial"/>
                <w:sz w:val="15"/>
              </w:rPr>
              <w:t xml:space="preserve">2,251</w:t>
            </w:r>
          </w:p>
        </w:tc>
        <w:tc>
          <w:tcPr>
            <w:tcW w:type="dxa" w:w="1505"/>
            <w:shd w:val="clear" w:color="auto" w:fill="F1F2F5"/>
          </w:tcPr>
          <w:p>
            <w:pPr>
              <w:pStyle w:val="Compact"/>
              <w:spacing w:after="0" w:before="0" w:line="240" w:lineRule="auto"/>
              <w:jc w:val="right"/>
            </w:pPr>
            <w:r>
              <w:rPr>
                <w:rFonts w:ascii="Arial" w:hAnsi="Arial"/>
                <w:sz w:val="15"/>
              </w:rPr>
              <w:t xml:space="preserve">+33%</w:t>
            </w:r>
          </w:p>
        </w:tc>
        <w:tc>
          <w:tcPr>
            <w:tcW w:type="dxa" w:w="2018"/>
            <w:shd w:val="clear" w:color="auto" w:fill="F1F2F5"/>
          </w:tcPr>
          <w:p>
            <w:pPr>
              <w:pStyle w:val="Compact"/>
              <w:spacing w:after="0" w:before="0" w:line="240" w:lineRule="auto"/>
              <w:jc w:val="right"/>
            </w:pPr>
            <w:r>
              <w:rPr>
                <w:rFonts w:ascii="Arial" w:hAnsi="Arial"/>
                <w:sz w:val="15"/>
              </w:rPr>
              <w:t xml:space="preserve">+11%</w:t>
            </w:r>
          </w:p>
        </w:tc>
      </w:tr>
      <w:tr>
        <w:trPr>
          <w:cantSplit/>
        </w:trPr>
        <w:tc>
          <w:tcPr>
            <w:tcW w:type="dxa" w:w="2661"/>
          </w:tcPr>
          <w:p>
            <w:pPr>
              <w:pStyle w:val="Compact"/>
              <w:spacing w:after="0" w:before="0" w:line="240" w:lineRule="auto"/>
              <w:jc w:val="right"/>
            </w:pPr>
            <w:r>
              <w:rPr>
                <w:bCs/>
                <w:rFonts w:ascii="Arial" w:hAnsi="Arial"/>
                <w:b/>
                <w:sz w:val="15"/>
              </w:rPr>
              <w:t xml:space="preserve">13x</w:t>
            </w:r>
            <w:r>
              <w:rPr>
                <w:rFonts w:ascii="Arial" w:hAnsi="Arial"/>
                <w:sz w:val="15"/>
              </w:rPr>
              <w:t xml:space="preserve"> </w:t>
            </w:r>
            <w:r>
              <w:rPr>
                <w:rFonts w:ascii="Arial" w:hAnsi="Arial"/>
                <w:sz w:val="15"/>
              </w:rPr>
              <w:t xml:space="preserve">(≈ BSX/MDT trading)</w:t>
            </w:r>
          </w:p>
        </w:tc>
        <w:tc>
          <w:tcPr>
            <w:tcW w:type="dxa" w:w="1058"/>
          </w:tcPr>
          <w:p>
            <w:pPr>
              <w:pStyle w:val="Compact"/>
              <w:spacing w:after="0" w:before="0" w:line="240" w:lineRule="auto"/>
              <w:jc w:val="right"/>
            </w:pPr>
            <w:r>
              <w:rPr>
                <w:rFonts w:ascii="Arial" w:hAnsi="Arial"/>
                <w:sz w:val="15"/>
              </w:rPr>
              <w:t xml:space="preserve">2,808</w:t>
            </w:r>
          </w:p>
        </w:tc>
        <w:tc>
          <w:tcPr>
            <w:tcW w:type="dxa" w:w="1419"/>
          </w:tcPr>
          <w:p>
            <w:pPr>
              <w:pStyle w:val="Compact"/>
              <w:spacing w:after="0" w:before="0" w:line="240" w:lineRule="auto"/>
              <w:jc w:val="right"/>
            </w:pPr>
            <w:r>
              <w:rPr>
                <w:rFonts w:ascii="Arial" w:hAnsi="Arial"/>
                <w:sz w:val="15"/>
              </w:rPr>
              <w:t xml:space="preserve">2.62x</w:t>
            </w:r>
          </w:p>
        </w:tc>
        <w:tc>
          <w:tcPr>
            <w:tcW w:type="dxa" w:w="1317"/>
          </w:tcPr>
          <w:p>
            <w:pPr>
              <w:pStyle w:val="Compact"/>
              <w:spacing w:after="0" w:before="0" w:line="240" w:lineRule="auto"/>
              <w:jc w:val="right"/>
            </w:pPr>
            <w:r>
              <w:rPr>
                <w:bCs/>
                <w:rFonts w:ascii="Arial" w:hAnsi="Arial"/>
                <w:b/>
                <w:sz w:val="15"/>
              </w:rPr>
              <w:t xml:space="preserve">2,454</w:t>
            </w:r>
          </w:p>
        </w:tc>
        <w:tc>
          <w:tcPr>
            <w:tcW w:type="dxa" w:w="1505"/>
          </w:tcPr>
          <w:p>
            <w:pPr>
              <w:pStyle w:val="Compact"/>
              <w:spacing w:after="0" w:before="0" w:line="240" w:lineRule="auto"/>
              <w:jc w:val="right"/>
            </w:pPr>
            <w:r>
              <w:rPr>
                <w:rFonts w:ascii="Arial" w:hAnsi="Arial"/>
                <w:sz w:val="15"/>
              </w:rPr>
              <w:t xml:space="preserve">+45%</w:t>
            </w:r>
          </w:p>
        </w:tc>
        <w:tc>
          <w:tcPr>
            <w:tcW w:type="dxa" w:w="2018"/>
          </w:tcPr>
          <w:p>
            <w:pPr>
              <w:pStyle w:val="Compact"/>
              <w:spacing w:after="0" w:before="0" w:line="240" w:lineRule="auto"/>
              <w:jc w:val="right"/>
            </w:pPr>
            <w:r>
              <w:rPr>
                <w:rFonts w:ascii="Arial" w:hAnsi="Arial"/>
                <w:sz w:val="15"/>
              </w:rPr>
              <w:t xml:space="preserve">+21%</w:t>
            </w:r>
          </w:p>
        </w:tc>
      </w:tr>
      <w:tr>
        <w:trPr>
          <w:cantSplit/>
        </w:trPr>
        <w:tc>
          <w:tcPr>
            <w:tcW w:type="dxa" w:w="2661"/>
            <w:shd w:val="clear" w:color="auto" w:fill="F1F2F5"/>
          </w:tcPr>
          <w:p>
            <w:pPr>
              <w:pStyle w:val="Compact"/>
              <w:spacing w:after="0" w:before="0" w:line="240" w:lineRule="auto"/>
              <w:jc w:val="right"/>
            </w:pPr>
            <w:r>
              <w:rPr>
                <w:rFonts w:ascii="Arial" w:hAnsi="Arial"/>
                <w:sz w:val="15"/>
              </w:rPr>
              <w:t xml:space="preserve">14x (≈ Hologic, CIQ basis)</w:t>
            </w:r>
          </w:p>
        </w:tc>
        <w:tc>
          <w:tcPr>
            <w:tcW w:type="dxa" w:w="1058"/>
            <w:shd w:val="clear" w:color="auto" w:fill="F1F2F5"/>
          </w:tcPr>
          <w:p>
            <w:pPr>
              <w:pStyle w:val="Compact"/>
              <w:spacing w:after="0" w:before="0" w:line="240" w:lineRule="auto"/>
              <w:jc w:val="right"/>
            </w:pPr>
            <w:r>
              <w:rPr>
                <w:rFonts w:ascii="Arial" w:hAnsi="Arial"/>
                <w:sz w:val="15"/>
              </w:rPr>
              <w:t xml:space="preserve">3,024</w:t>
            </w:r>
          </w:p>
        </w:tc>
        <w:tc>
          <w:tcPr>
            <w:tcW w:type="dxa" w:w="1419"/>
            <w:shd w:val="clear" w:color="auto" w:fill="F1F2F5"/>
          </w:tcPr>
          <w:p>
            <w:pPr>
              <w:pStyle w:val="Compact"/>
              <w:spacing w:after="0" w:before="0" w:line="240" w:lineRule="auto"/>
              <w:jc w:val="right"/>
            </w:pPr>
            <w:r>
              <w:rPr>
                <w:rFonts w:ascii="Arial" w:hAnsi="Arial"/>
                <w:sz w:val="15"/>
              </w:rPr>
              <w:t xml:space="preserve">2.82x</w:t>
            </w:r>
          </w:p>
        </w:tc>
        <w:tc>
          <w:tcPr>
            <w:tcW w:type="dxa" w:w="1317"/>
            <w:shd w:val="clear" w:color="auto" w:fill="F1F2F5"/>
          </w:tcPr>
          <w:p>
            <w:pPr>
              <w:pStyle w:val="Compact"/>
              <w:spacing w:after="0" w:before="0" w:line="240" w:lineRule="auto"/>
              <w:jc w:val="right"/>
            </w:pPr>
            <w:r>
              <w:rPr>
                <w:rFonts w:ascii="Arial" w:hAnsi="Arial"/>
                <w:sz w:val="15"/>
              </w:rPr>
              <w:t xml:space="preserve">2,657</w:t>
            </w:r>
          </w:p>
        </w:tc>
        <w:tc>
          <w:tcPr>
            <w:tcW w:type="dxa" w:w="1505"/>
            <w:shd w:val="clear" w:color="auto" w:fill="F1F2F5"/>
          </w:tcPr>
          <w:p>
            <w:pPr>
              <w:pStyle w:val="Compact"/>
              <w:spacing w:after="0" w:before="0" w:line="240" w:lineRule="auto"/>
              <w:jc w:val="right"/>
            </w:pPr>
            <w:r>
              <w:rPr>
                <w:rFonts w:ascii="Arial" w:hAnsi="Arial"/>
                <w:sz w:val="15"/>
              </w:rPr>
              <w:t xml:space="preserve">+57%</w:t>
            </w:r>
          </w:p>
        </w:tc>
        <w:tc>
          <w:tcPr>
            <w:tcW w:type="dxa" w:w="2018"/>
            <w:shd w:val="clear" w:color="auto" w:fill="F1F2F5"/>
          </w:tcPr>
          <w:p>
            <w:pPr>
              <w:pStyle w:val="Compact"/>
              <w:spacing w:after="0" w:before="0" w:line="240" w:lineRule="auto"/>
              <w:jc w:val="right"/>
            </w:pPr>
            <w:r>
              <w:rPr>
                <w:rFonts w:ascii="Arial" w:hAnsi="Arial"/>
                <w:sz w:val="15"/>
              </w:rPr>
              <w:t xml:space="preserve">+31%</w:t>
            </w:r>
          </w:p>
        </w:tc>
      </w:tr>
      <w:tr>
        <w:trPr>
          <w:cantSplit/>
        </w:trPr>
        <w:tc>
          <w:tcPr>
            <w:tcW w:type="dxa" w:w="2661"/>
          </w:tcPr>
          <w:p>
            <w:pPr>
              <w:pStyle w:val="Compact"/>
              <w:spacing w:after="0" w:before="0" w:line="240" w:lineRule="auto"/>
              <w:jc w:val="right"/>
            </w:pPr>
            <w:r>
              <w:rPr>
                <w:bCs/>
                <w:rFonts w:ascii="Arial" w:hAnsi="Arial"/>
                <w:b/>
                <w:sz w:val="15"/>
              </w:rPr>
              <w:t xml:space="preserve">15x</w:t>
            </w:r>
          </w:p>
        </w:tc>
        <w:tc>
          <w:tcPr>
            <w:tcW w:type="dxa" w:w="1058"/>
          </w:tcPr>
          <w:p>
            <w:pPr>
              <w:pStyle w:val="Compact"/>
              <w:spacing w:after="0" w:before="0" w:line="240" w:lineRule="auto"/>
              <w:jc w:val="right"/>
            </w:pPr>
            <w:r>
              <w:rPr>
                <w:rFonts w:ascii="Arial" w:hAnsi="Arial"/>
                <w:sz w:val="15"/>
              </w:rPr>
              <w:t xml:space="preserve">3,240</w:t>
            </w:r>
          </w:p>
        </w:tc>
        <w:tc>
          <w:tcPr>
            <w:tcW w:type="dxa" w:w="1419"/>
          </w:tcPr>
          <w:p>
            <w:pPr>
              <w:pStyle w:val="Compact"/>
              <w:spacing w:after="0" w:before="0" w:line="240" w:lineRule="auto"/>
              <w:jc w:val="right"/>
            </w:pPr>
            <w:r>
              <w:rPr>
                <w:rFonts w:ascii="Arial" w:hAnsi="Arial"/>
                <w:sz w:val="15"/>
              </w:rPr>
              <w:t xml:space="preserve">3.02x</w:t>
            </w:r>
          </w:p>
        </w:tc>
        <w:tc>
          <w:tcPr>
            <w:tcW w:type="dxa" w:w="1317"/>
          </w:tcPr>
          <w:p>
            <w:pPr>
              <w:pStyle w:val="Compact"/>
              <w:spacing w:after="0" w:before="0" w:line="240" w:lineRule="auto"/>
              <w:jc w:val="right"/>
            </w:pPr>
            <w:r>
              <w:rPr>
                <w:bCs/>
                <w:rFonts w:ascii="Arial" w:hAnsi="Arial"/>
                <w:b/>
                <w:sz w:val="15"/>
              </w:rPr>
              <w:t xml:space="preserve">2,860</w:t>
            </w:r>
          </w:p>
        </w:tc>
        <w:tc>
          <w:tcPr>
            <w:tcW w:type="dxa" w:w="1505"/>
          </w:tcPr>
          <w:p>
            <w:pPr>
              <w:pStyle w:val="Compact"/>
              <w:spacing w:after="0" w:before="0" w:line="240" w:lineRule="auto"/>
              <w:jc w:val="right"/>
            </w:pPr>
            <w:r>
              <w:rPr>
                <w:rFonts w:ascii="Arial" w:hAnsi="Arial"/>
                <w:sz w:val="15"/>
              </w:rPr>
              <w:t xml:space="preserve">+69%</w:t>
            </w:r>
          </w:p>
        </w:tc>
        <w:tc>
          <w:tcPr>
            <w:tcW w:type="dxa" w:w="2018"/>
          </w:tcPr>
          <w:p>
            <w:pPr>
              <w:pStyle w:val="Compact"/>
              <w:spacing w:after="0" w:before="0" w:line="240" w:lineRule="auto"/>
              <w:jc w:val="right"/>
            </w:pPr>
            <w:r>
              <w:rPr>
                <w:rFonts w:ascii="Arial" w:hAnsi="Arial"/>
                <w:sz w:val="15"/>
              </w:rPr>
              <w:t xml:space="preserve">+41%</w:t>
            </w:r>
          </w:p>
        </w:tc>
      </w:tr>
      <w:tr>
        <w:trPr>
          <w:cantSplit/>
        </w:trPr>
        <w:tc>
          <w:tcPr>
            <w:tcW w:type="dxa" w:w="2661"/>
            <w:shd w:val="clear" w:color="auto" w:fill="F1F2F5"/>
          </w:tcPr>
          <w:p>
            <w:pPr>
              <w:pStyle w:val="Compact"/>
              <w:spacing w:after="0" w:before="0" w:line="240" w:lineRule="auto"/>
              <w:jc w:val="right"/>
            </w:pPr>
            <w:r>
              <w:rPr>
                <w:rFonts w:ascii="Arial" w:hAnsi="Arial"/>
                <w:sz w:val="15"/>
              </w:rPr>
              <w:t xml:space="preserve">16x</w:t>
            </w:r>
          </w:p>
        </w:tc>
        <w:tc>
          <w:tcPr>
            <w:tcW w:type="dxa" w:w="1058"/>
            <w:shd w:val="clear" w:color="auto" w:fill="F1F2F5"/>
          </w:tcPr>
          <w:p>
            <w:pPr>
              <w:pStyle w:val="Compact"/>
              <w:spacing w:after="0" w:before="0" w:line="240" w:lineRule="auto"/>
              <w:jc w:val="right"/>
            </w:pPr>
            <w:r>
              <w:rPr>
                <w:rFonts w:ascii="Arial" w:hAnsi="Arial"/>
                <w:sz w:val="15"/>
              </w:rPr>
              <w:t xml:space="preserve">3,456</w:t>
            </w:r>
          </w:p>
        </w:tc>
        <w:tc>
          <w:tcPr>
            <w:tcW w:type="dxa" w:w="1419"/>
            <w:shd w:val="clear" w:color="auto" w:fill="F1F2F5"/>
          </w:tcPr>
          <w:p>
            <w:pPr>
              <w:pStyle w:val="Compact"/>
              <w:spacing w:after="0" w:before="0" w:line="240" w:lineRule="auto"/>
              <w:jc w:val="right"/>
            </w:pPr>
            <w:r>
              <w:rPr>
                <w:rFonts w:ascii="Arial" w:hAnsi="Arial"/>
                <w:sz w:val="15"/>
              </w:rPr>
              <w:t xml:space="preserve">3.22x</w:t>
            </w:r>
          </w:p>
        </w:tc>
        <w:tc>
          <w:tcPr>
            <w:tcW w:type="dxa" w:w="1317"/>
            <w:shd w:val="clear" w:color="auto" w:fill="F1F2F5"/>
          </w:tcPr>
          <w:p>
            <w:pPr>
              <w:pStyle w:val="Compact"/>
              <w:spacing w:after="0" w:before="0" w:line="240" w:lineRule="auto"/>
              <w:jc w:val="right"/>
            </w:pPr>
            <w:r>
              <w:rPr>
                <w:rFonts w:ascii="Arial" w:hAnsi="Arial"/>
                <w:sz w:val="15"/>
              </w:rPr>
              <w:t xml:space="preserve">3,064</w:t>
            </w:r>
          </w:p>
        </w:tc>
        <w:tc>
          <w:tcPr>
            <w:tcW w:type="dxa" w:w="1505"/>
            <w:shd w:val="clear" w:color="auto" w:fill="F1F2F5"/>
          </w:tcPr>
          <w:p>
            <w:pPr>
              <w:pStyle w:val="Compact"/>
              <w:spacing w:after="0" w:before="0" w:line="240" w:lineRule="auto"/>
              <w:jc w:val="right"/>
            </w:pPr>
            <w:r>
              <w:rPr>
                <w:rFonts w:ascii="Arial" w:hAnsi="Arial"/>
                <w:sz w:val="15"/>
              </w:rPr>
              <w:t xml:space="preserve">+81%</w:t>
            </w:r>
          </w:p>
        </w:tc>
        <w:tc>
          <w:tcPr>
            <w:tcW w:type="dxa" w:w="2018"/>
            <w:shd w:val="clear" w:color="auto" w:fill="F1F2F5"/>
          </w:tcPr>
          <w:p>
            <w:pPr>
              <w:pStyle w:val="Compact"/>
              <w:spacing w:after="0" w:before="0" w:line="240" w:lineRule="auto"/>
              <w:jc w:val="right"/>
            </w:pPr>
            <w:r>
              <w:rPr>
                <w:rFonts w:ascii="Arial" w:hAnsi="Arial"/>
                <w:sz w:val="15"/>
              </w:rPr>
              <w:t xml:space="preserve">+51%</w:t>
            </w:r>
          </w:p>
        </w:tc>
      </w:tr>
      <w:tr>
        <w:trPr>
          <w:cantSplit/>
        </w:trPr>
        <w:tc>
          <w:tcPr>
            <w:tcW w:type="dxa" w:w="2661"/>
          </w:tcPr>
          <w:p>
            <w:pPr>
              <w:pStyle w:val="Compact"/>
              <w:spacing w:after="0" w:before="0" w:line="240" w:lineRule="auto"/>
              <w:jc w:val="right"/>
            </w:pPr>
            <w:r>
              <w:rPr>
                <w:bCs/>
                <w:rFonts w:ascii="Arial" w:hAnsi="Arial"/>
                <w:b/>
                <w:sz w:val="15"/>
              </w:rPr>
              <w:t xml:space="preserve">17x</w:t>
            </w:r>
            <w:r>
              <w:rPr>
                <w:rFonts w:ascii="Arial" w:hAnsi="Arial"/>
                <w:sz w:val="15"/>
              </w:rPr>
              <w:t xml:space="preserve"> </w:t>
            </w:r>
            <w:r>
              <w:rPr>
                <w:rFonts w:ascii="Arial" w:hAnsi="Arial"/>
                <w:sz w:val="15"/>
              </w:rPr>
              <w:t xml:space="preserve">(≈ Topcon / Evident / mature-deal median)</w:t>
            </w:r>
          </w:p>
        </w:tc>
        <w:tc>
          <w:tcPr>
            <w:tcW w:type="dxa" w:w="1058"/>
          </w:tcPr>
          <w:p>
            <w:pPr>
              <w:pStyle w:val="Compact"/>
              <w:spacing w:after="0" w:before="0" w:line="240" w:lineRule="auto"/>
              <w:jc w:val="right"/>
            </w:pPr>
            <w:r>
              <w:rPr>
                <w:rFonts w:ascii="Arial" w:hAnsi="Arial"/>
                <w:sz w:val="15"/>
              </w:rPr>
              <w:t xml:space="preserve">3,672</w:t>
            </w:r>
          </w:p>
        </w:tc>
        <w:tc>
          <w:tcPr>
            <w:tcW w:type="dxa" w:w="1419"/>
          </w:tcPr>
          <w:p>
            <w:pPr>
              <w:pStyle w:val="Compact"/>
              <w:spacing w:after="0" w:before="0" w:line="240" w:lineRule="auto"/>
              <w:jc w:val="right"/>
            </w:pPr>
            <w:r>
              <w:rPr>
                <w:rFonts w:ascii="Arial" w:hAnsi="Arial"/>
                <w:sz w:val="15"/>
              </w:rPr>
              <w:t xml:space="preserve">3.43x</w:t>
            </w:r>
          </w:p>
        </w:tc>
        <w:tc>
          <w:tcPr>
            <w:tcW w:type="dxa" w:w="1317"/>
          </w:tcPr>
          <w:p>
            <w:pPr>
              <w:pStyle w:val="Compact"/>
              <w:spacing w:after="0" w:before="0" w:line="240" w:lineRule="auto"/>
              <w:jc w:val="right"/>
            </w:pPr>
            <w:r>
              <w:rPr>
                <w:bCs/>
                <w:rFonts w:ascii="Arial" w:hAnsi="Arial"/>
                <w:b/>
                <w:sz w:val="15"/>
              </w:rPr>
              <w:t xml:space="preserve">3,267</w:t>
            </w:r>
          </w:p>
        </w:tc>
        <w:tc>
          <w:tcPr>
            <w:tcW w:type="dxa" w:w="1505"/>
          </w:tcPr>
          <w:p>
            <w:pPr>
              <w:pStyle w:val="Compact"/>
              <w:spacing w:after="0" w:before="0" w:line="240" w:lineRule="auto"/>
              <w:jc w:val="right"/>
            </w:pPr>
            <w:r>
              <w:rPr>
                <w:rFonts w:ascii="Arial" w:hAnsi="Arial"/>
                <w:sz w:val="15"/>
              </w:rPr>
              <w:t xml:space="preserve">+93%</w:t>
            </w:r>
          </w:p>
        </w:tc>
        <w:tc>
          <w:tcPr>
            <w:tcW w:type="dxa" w:w="2018"/>
          </w:tcPr>
          <w:p>
            <w:pPr>
              <w:pStyle w:val="Compact"/>
              <w:spacing w:after="0" w:before="0" w:line="240" w:lineRule="auto"/>
              <w:jc w:val="right"/>
            </w:pPr>
            <w:r>
              <w:rPr>
                <w:rFonts w:ascii="Arial" w:hAnsi="Arial"/>
                <w:sz w:val="15"/>
              </w:rPr>
              <w:t xml:space="preserve">+61%</w:t>
            </w:r>
          </w:p>
        </w:tc>
      </w:tr>
    </w:tbl>
    <w:p>
      <w:pPr>
        <w:pStyle w:val="BodyText"/>
      </w:pPr>
      <w:r>
        <w:rPr>
          <w:iCs/>
          <w:i/>
        </w:rPr>
        <w:t xml:space="preserve">Our FY3/27E EBITDA is JPY216bn (consensus JPY218bn). Net debt is JPY200bn; shares are 1,062.8m.</w:t>
      </w:r>
    </w:p>
    <w:p>
      <w:pPr>
        <w:pStyle w:val="BodyText"/>
      </w:pPr>
      <w:r>
        <w:rPr>
          <w:bCs/>
          <w:b/>
        </w:rPr>
        <w:t xml:space="preserve">Central takeout range: JPY2,500–3,000</w:t>
      </w:r>
      <w:r>
        <w:t xml:space="preserve"> </w:t>
      </w:r>
      <w:r>
        <w:t xml:space="preserve">(13.2–15.7x FY3/27E EBITDA, ~2.7–3.2x sales). A stretch case of ~JPY3,300 (17x) would need a strategic buyer or a credible cost-synergy case.</w:t>
      </w:r>
    </w:p>
    <w:p>
      <w:pPr>
        <w:pStyle w:val="BodyText"/>
      </w:pPr>
      <w:r>
        <w:t xml:space="preserve">The</w:t>
      </w:r>
      <w:r>
        <w:t xml:space="preserve"> </w:t>
      </w:r>
      <w:r>
        <w:t xml:space="preserve">“</w:t>
      </w:r>
      <w:r>
        <w:t xml:space="preserve">undisturbed</w:t>
      </w:r>
      <w:r>
        <w:t xml:space="preserve">”</w:t>
      </w:r>
      <w:r>
        <w:t xml:space="preserve"> </w:t>
      </w:r>
      <w:r>
        <w:t xml:space="preserve">price is contested. A bidder would anchor on the post-letter JPY1,690. Holders would anchor on the 3–6-month VWAP of ~JPY1,950–2,030.</w:t>
      </w:r>
    </w:p>
    <w:p>
      <w:pPr>
        <w:pStyle w:val="BodyText"/>
      </w:pPr>
      <w:r>
        <w:rPr>
          <w:bCs/>
          <w:b/>
        </w:rPr>
        <w:t xml:space="preserve">LBO sanity check [e].</w:t>
      </w:r>
    </w:p>
    <w:p>
      <w:pPr>
        <w:numPr>
          <w:ilvl w:val="0"/>
          <w:numId w:val="1033"/>
        </w:numPr>
        <w:pStyle w:val="Compact"/>
      </w:pPr>
      <w:r>
        <w:t xml:space="preserve">At EV JPY3.0tn, 5.5x LTM EBITDA of debt is ~JPY1.2tn, leaving ~JPY1.8tn (US$11.5bn) of equity. That is comparable to Hologic and the Toshiba consortium.</w:t>
      </w:r>
    </w:p>
    <w:p>
      <w:pPr>
        <w:numPr>
          <w:ilvl w:val="0"/>
          <w:numId w:val="1033"/>
        </w:numPr>
        <w:pStyle w:val="Compact"/>
      </w:pPr>
      <w:r>
        <w:t xml:space="preserve">It is feasible only as a club deal.</w:t>
      </w:r>
    </w:p>
    <w:bookmarkEnd w:id="103"/>
    <w:bookmarkStart w:id="104" w:name="X5c5a5c7f612c52310b051da8d0723e7c921503a"/>
    <w:p>
      <w:pPr>
        <w:pStyle w:val="Heading2"/>
      </w:pPr>
      <w:r>
        <w:t xml:space="preserve">Olympus’s own acquisitions and disposals (last 10 years)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595"/>
        <w:gridCol w:w="2607"/>
        <w:gridCol w:w="1399"/>
        <w:gridCol w:w="1683"/>
        <w:gridCol w:w="2692"/>
      </w:tblGrid>
      <w:tr>
        <w:trPr>
          <w:tblHeader w:val="true"/>
          <w:tblHeader w:val="true"/>
          <w:cantSplit/>
        </w:trPr>
        <w:tc>
          <w:tcPr>
            <w:tcW w:type="dxa" w:w="1595"/>
            <w:shd w:val="clear" w:color="auto" w:fill="13213F"/>
          </w:tcPr>
          <w:p>
            <w:pPr>
              <w:pStyle w:val="Compact"/>
              <w:spacing w:after="0" w:before="0" w:line="240" w:lineRule="auto"/>
              <w:jc w:val="left"/>
            </w:pPr>
            <w:r>
              <w:rPr>
                <w:rFonts w:ascii="Arial" w:hAnsi="Arial"/>
                <w:b/>
                <w:color w:val="FFFFFF"/>
                <w:sz w:val="15"/>
              </w:rPr>
              <w:t xml:space="preserve">Date</w:t>
            </w:r>
          </w:p>
        </w:tc>
        <w:tc>
          <w:tcPr>
            <w:tcW w:type="dxa" w:w="2607"/>
            <w:shd w:val="clear" w:color="auto" w:fill="13213F"/>
          </w:tcPr>
          <w:p>
            <w:pPr>
              <w:pStyle w:val="Compact"/>
              <w:spacing w:after="0" w:before="0" w:line="240" w:lineRule="auto"/>
              <w:jc w:val="left"/>
            </w:pPr>
            <w:r>
              <w:rPr>
                <w:rFonts w:ascii="Arial" w:hAnsi="Arial"/>
                <w:b/>
                <w:color w:val="FFFFFF"/>
                <w:sz w:val="15"/>
              </w:rPr>
              <w:t xml:space="preserve">Target / asset</w:t>
            </w:r>
          </w:p>
        </w:tc>
        <w:tc>
          <w:tcPr>
            <w:tcW w:type="dxa" w:w="1399"/>
            <w:shd w:val="clear" w:color="auto" w:fill="13213F"/>
          </w:tcPr>
          <w:p>
            <w:pPr>
              <w:pStyle w:val="Compact"/>
              <w:spacing w:after="0" w:before="0" w:line="240" w:lineRule="auto"/>
              <w:jc w:val="left"/>
            </w:pPr>
            <w:r>
              <w:rPr>
                <w:rFonts w:ascii="Arial" w:hAnsi="Arial"/>
                <w:b/>
                <w:color w:val="FFFFFF"/>
                <w:sz w:val="15"/>
              </w:rPr>
              <w:t xml:space="preserve">Direction</w:t>
            </w:r>
          </w:p>
        </w:tc>
        <w:tc>
          <w:tcPr>
            <w:tcW w:type="dxa" w:w="1684"/>
            <w:shd w:val="clear" w:color="auto" w:fill="13213F"/>
          </w:tcPr>
          <w:p>
            <w:pPr>
              <w:pStyle w:val="Compact"/>
              <w:spacing w:after="0" w:before="0" w:line="240" w:lineRule="auto"/>
              <w:jc w:val="right"/>
            </w:pPr>
            <w:r>
              <w:rPr>
                <w:rFonts w:ascii="Arial" w:hAnsi="Arial"/>
                <w:b/>
                <w:color w:val="FFFFFF"/>
                <w:sz w:val="15"/>
              </w:rPr>
              <w:t xml:space="preserve">Value</w:t>
            </w:r>
          </w:p>
        </w:tc>
        <w:tc>
          <w:tcPr>
            <w:tcW w:type="dxa" w:w="2692"/>
            <w:shd w:val="clear" w:color="auto" w:fill="13213F"/>
          </w:tcPr>
          <w:p>
            <w:pPr>
              <w:pStyle w:val="Compact"/>
              <w:spacing w:after="0" w:before="0" w:line="240" w:lineRule="auto"/>
              <w:jc w:val="left"/>
            </w:pPr>
            <w:r>
              <w:rPr>
                <w:rFonts w:ascii="Arial" w:hAnsi="Arial"/>
                <w:b/>
                <w:color w:val="FFFFFF"/>
                <w:sz w:val="15"/>
              </w:rPr>
              <w:t xml:space="preserve">Outcome</w:t>
            </w:r>
          </w:p>
        </w:tc>
      </w:tr>
      <w:tr>
        <w:trPr>
          <w:cantSplit/>
        </w:trPr>
        <w:tc>
          <w:tcPr>
            <w:tcW w:type="dxa" w:w="1595"/>
          </w:tcPr>
          <w:p>
            <w:pPr>
              <w:pStyle w:val="Compact"/>
              <w:spacing w:after="0" w:before="0" w:line="240" w:lineRule="auto"/>
              <w:jc w:val="left"/>
            </w:pPr>
            <w:r>
              <w:rPr>
                <w:rFonts w:ascii="Arial" w:hAnsi="Arial"/>
                <w:sz w:val="15"/>
              </w:rPr>
              <w:t xml:space="preserve">2017</w:t>
            </w:r>
          </w:p>
        </w:tc>
        <w:tc>
          <w:tcPr>
            <w:tcW w:type="dxa" w:w="2607"/>
          </w:tcPr>
          <w:p>
            <w:pPr>
              <w:pStyle w:val="Compact"/>
              <w:spacing w:after="0" w:before="0" w:line="240" w:lineRule="auto"/>
              <w:jc w:val="left"/>
            </w:pPr>
            <w:r>
              <w:rPr>
                <w:rFonts w:ascii="Arial" w:hAnsi="Arial"/>
                <w:sz w:val="15"/>
              </w:rPr>
              <w:t xml:space="preserve">Image Stream Medical (OR video integration, US)</w:t>
            </w:r>
          </w:p>
        </w:tc>
        <w:tc>
          <w:tcPr>
            <w:tcW w:type="dxa" w:w="1399"/>
          </w:tcPr>
          <w:p>
            <w:pPr>
              <w:pStyle w:val="Compact"/>
              <w:spacing w:after="0" w:before="0" w:line="240" w:lineRule="auto"/>
              <w:jc w:val="left"/>
            </w:pPr>
            <w:r>
              <w:rPr>
                <w:rFonts w:ascii="Arial" w:hAnsi="Arial"/>
                <w:sz w:val="15"/>
              </w:rPr>
              <w:t xml:space="preserve">Buy</w:t>
            </w:r>
          </w:p>
        </w:tc>
        <w:tc>
          <w:tcPr>
            <w:tcW w:type="dxa" w:w="1684"/>
          </w:tcPr>
          <w:p>
            <w:pPr>
              <w:pStyle w:val="Compact"/>
              <w:spacing w:after="0" w:before="0" w:line="240" w:lineRule="auto"/>
              <w:jc w:val="right"/>
            </w:pPr>
            <w:r>
              <w:rPr>
                <w:rFonts w:ascii="Arial" w:hAnsi="Arial"/>
                <w:sz w:val="15"/>
              </w:rPr>
              <w:t xml:space="preserve">n/d</w:t>
            </w:r>
          </w:p>
        </w:tc>
        <w:tc>
          <w:tcPr>
            <w:tcW w:type="dxa" w:w="2692"/>
          </w:tcPr>
          <w:p>
            <w:pPr>
              <w:pStyle w:val="Compact"/>
              <w:spacing w:after="0" w:before="0" w:line="240" w:lineRule="auto"/>
              <w:jc w:val="left"/>
            </w:pPr>
            <w:r>
              <w:rPr>
                <w:rFonts w:ascii="Arial" w:hAnsi="Arial"/>
                <w:sz w:val="15"/>
              </w:rPr>
              <w:t xml:space="preserve">Integrated [u]</w:t>
            </w:r>
          </w:p>
        </w:tc>
      </w:tr>
      <w:tr>
        <w:trPr>
          <w:cantSplit/>
        </w:trPr>
        <w:tc>
          <w:tcPr>
            <w:tcW w:type="dxa" w:w="1595"/>
            <w:shd w:val="clear" w:color="auto" w:fill="F1F2F5"/>
          </w:tcPr>
          <w:p>
            <w:pPr>
              <w:pStyle w:val="Compact"/>
              <w:spacing w:after="0" w:before="0" w:line="240" w:lineRule="auto"/>
              <w:jc w:val="left"/>
            </w:pPr>
            <w:r>
              <w:rPr>
                <w:rFonts w:ascii="Arial" w:hAnsi="Arial"/>
                <w:sz w:val="15"/>
              </w:rPr>
              <w:t xml:space="preserve">Aug-2020</w:t>
            </w:r>
          </w:p>
        </w:tc>
        <w:tc>
          <w:tcPr>
            <w:tcW w:type="dxa" w:w="2607"/>
            <w:shd w:val="clear" w:color="auto" w:fill="F1F2F5"/>
          </w:tcPr>
          <w:p>
            <w:pPr>
              <w:pStyle w:val="Compact"/>
              <w:spacing w:after="0" w:before="0" w:line="240" w:lineRule="auto"/>
              <w:jc w:val="left"/>
            </w:pPr>
            <w:r>
              <w:rPr>
                <w:rFonts w:ascii="Arial" w:hAnsi="Arial"/>
                <w:sz w:val="15"/>
              </w:rPr>
              <w:t xml:space="preserve">Arc Medical Design (Endocuff Vision)</w:t>
            </w:r>
          </w:p>
        </w:tc>
        <w:tc>
          <w:tcPr>
            <w:tcW w:type="dxa" w:w="1399"/>
            <w:shd w:val="clear" w:color="auto" w:fill="F1F2F5"/>
          </w:tcPr>
          <w:p>
            <w:pPr>
              <w:pStyle w:val="Compact"/>
              <w:spacing w:after="0" w:before="0" w:line="240" w:lineRule="auto"/>
              <w:jc w:val="left"/>
            </w:pPr>
            <w:r>
              <w:rPr>
                <w:rFonts w:ascii="Arial" w:hAnsi="Arial"/>
                <w:sz w:val="15"/>
              </w:rPr>
              <w:t xml:space="preserve">Buy 100%</w:t>
            </w:r>
          </w:p>
        </w:tc>
        <w:tc>
          <w:tcPr>
            <w:tcW w:type="dxa" w:w="1684"/>
            <w:shd w:val="clear" w:color="auto" w:fill="F1F2F5"/>
          </w:tcPr>
          <w:p>
            <w:pPr>
              <w:pStyle w:val="Compact"/>
              <w:spacing w:after="0" w:before="0" w:line="240" w:lineRule="auto"/>
              <w:jc w:val="right"/>
            </w:pPr>
            <w:r>
              <w:rPr>
                <w:rFonts w:ascii="Arial" w:hAnsi="Arial"/>
                <w:sz w:val="15"/>
              </w:rPr>
              <w:t xml:space="preserve">JPY3.5bn</w:t>
            </w:r>
          </w:p>
        </w:tc>
        <w:tc>
          <w:tcPr>
            <w:tcW w:type="dxa" w:w="2692"/>
            <w:shd w:val="clear" w:color="auto" w:fill="F1F2F5"/>
          </w:tcPr>
          <w:p>
            <w:pPr>
              <w:pStyle w:val="Compact"/>
              <w:spacing w:after="0" w:before="0" w:line="240" w:lineRule="auto"/>
              <w:jc w:val="left"/>
            </w:pPr>
            <w:r>
              <w:rPr>
                <w:rFonts w:ascii="Arial" w:hAnsi="Arial"/>
                <w:sz w:val="15"/>
              </w:rPr>
              <w:t xml:space="preserve">Retained in the adenoma-detection portfolio</w:t>
            </w:r>
          </w:p>
        </w:tc>
      </w:tr>
      <w:tr>
        <w:trPr>
          <w:cantSplit/>
        </w:trPr>
        <w:tc>
          <w:tcPr>
            <w:tcW w:type="dxa" w:w="1595"/>
          </w:tcPr>
          <w:p>
            <w:pPr>
              <w:pStyle w:val="Compact"/>
              <w:spacing w:after="0" w:before="0" w:line="240" w:lineRule="auto"/>
              <w:jc w:val="left"/>
            </w:pPr>
            <w:r>
              <w:rPr>
                <w:rFonts w:ascii="Arial" w:hAnsi="Arial"/>
                <w:sz w:val="15"/>
              </w:rPr>
              <w:t xml:space="preserve">Jan-2021</w:t>
            </w:r>
          </w:p>
        </w:tc>
        <w:tc>
          <w:tcPr>
            <w:tcW w:type="dxa" w:w="2607"/>
          </w:tcPr>
          <w:p>
            <w:pPr>
              <w:pStyle w:val="Compact"/>
              <w:spacing w:after="0" w:before="0" w:line="240" w:lineRule="auto"/>
              <w:jc w:val="left"/>
            </w:pPr>
            <w:r>
              <w:rPr>
                <w:bCs/>
                <w:rFonts w:ascii="Arial" w:hAnsi="Arial"/>
                <w:b/>
                <w:sz w:val="15"/>
              </w:rPr>
              <w:t xml:space="preserve">Imaging (cameras) → OM Digital Solutions (JIP)</w:t>
            </w:r>
          </w:p>
        </w:tc>
        <w:tc>
          <w:tcPr>
            <w:tcW w:type="dxa" w:w="1399"/>
          </w:tcPr>
          <w:p>
            <w:pPr>
              <w:pStyle w:val="Compact"/>
              <w:spacing w:after="0" w:before="0" w:line="240" w:lineRule="auto"/>
              <w:jc w:val="left"/>
            </w:pPr>
            <w:r>
              <w:rPr>
                <w:rFonts w:ascii="Arial" w:hAnsi="Arial"/>
                <w:sz w:val="15"/>
              </w:rPr>
              <w:t xml:space="preserve">Sell 95%</w:t>
            </w:r>
          </w:p>
        </w:tc>
        <w:tc>
          <w:tcPr>
            <w:tcW w:type="dxa" w:w="1684"/>
          </w:tcPr>
          <w:p>
            <w:pPr>
              <w:pStyle w:val="Compact"/>
              <w:spacing w:after="0" w:before="0" w:line="240" w:lineRule="auto"/>
              <w:jc w:val="right"/>
            </w:pPr>
            <w:r>
              <w:rPr>
                <w:rFonts w:ascii="Arial" w:hAnsi="Arial"/>
                <w:sz w:val="15"/>
              </w:rPr>
              <w:t xml:space="preserve">~JPY47bn loss on transfer</w:t>
            </w:r>
          </w:p>
        </w:tc>
        <w:tc>
          <w:tcPr>
            <w:tcW w:type="dxa" w:w="2692"/>
          </w:tcPr>
          <w:p>
            <w:pPr>
              <w:pStyle w:val="Compact"/>
              <w:spacing w:after="0" w:before="0" w:line="240" w:lineRule="auto"/>
              <w:jc w:val="left"/>
            </w:pPr>
            <w:r>
              <w:rPr>
                <w:rFonts w:ascii="Arial" w:hAnsi="Arial"/>
                <w:sz w:val="15"/>
              </w:rPr>
              <w:t xml:space="preserve">Strategic success (exit)</w:t>
            </w:r>
          </w:p>
        </w:tc>
      </w:tr>
      <w:tr>
        <w:trPr>
          <w:cantSplit/>
        </w:trPr>
        <w:tc>
          <w:tcPr>
            <w:tcW w:type="dxa" w:w="1595"/>
            <w:shd w:val="clear" w:color="auto" w:fill="F1F2F5"/>
          </w:tcPr>
          <w:p>
            <w:pPr>
              <w:pStyle w:val="Compact"/>
              <w:spacing w:after="0" w:before="0" w:line="240" w:lineRule="auto"/>
              <w:jc w:val="left"/>
            </w:pPr>
            <w:r>
              <w:rPr>
                <w:rFonts w:ascii="Arial" w:hAnsi="Arial"/>
                <w:sz w:val="15"/>
              </w:rPr>
              <w:t xml:space="preserve">Nov-2020</w:t>
            </w:r>
          </w:p>
        </w:tc>
        <w:tc>
          <w:tcPr>
            <w:tcW w:type="dxa" w:w="2607"/>
            <w:shd w:val="clear" w:color="auto" w:fill="F1F2F5"/>
          </w:tcPr>
          <w:p>
            <w:pPr>
              <w:pStyle w:val="Compact"/>
              <w:spacing w:after="0" w:before="0" w:line="240" w:lineRule="auto"/>
              <w:jc w:val="left"/>
            </w:pPr>
            <w:r>
              <w:rPr>
                <w:rFonts w:ascii="Arial" w:hAnsi="Arial"/>
                <w:sz w:val="15"/>
              </w:rPr>
              <w:t xml:space="preserve">FH Ortho (France)</w:t>
            </w:r>
          </w:p>
        </w:tc>
        <w:tc>
          <w:tcPr>
            <w:tcW w:type="dxa" w:w="1399"/>
            <w:shd w:val="clear" w:color="auto" w:fill="F1F2F5"/>
          </w:tcPr>
          <w:p>
            <w:pPr>
              <w:pStyle w:val="Compact"/>
              <w:spacing w:after="0" w:before="0" w:line="240" w:lineRule="auto"/>
              <w:jc w:val="left"/>
            </w:pPr>
            <w:r>
              <w:rPr>
                <w:rFonts w:ascii="Arial" w:hAnsi="Arial"/>
                <w:sz w:val="15"/>
              </w:rPr>
              <w:t xml:space="preserve">Buy</w:t>
            </w:r>
          </w:p>
        </w:tc>
        <w:tc>
          <w:tcPr>
            <w:tcW w:type="dxa" w:w="1684"/>
            <w:shd w:val="clear" w:color="auto" w:fill="F1F2F5"/>
          </w:tcPr>
          <w:p>
            <w:pPr>
              <w:pStyle w:val="Compact"/>
              <w:spacing w:after="0" w:before="0" w:line="240" w:lineRule="auto"/>
              <w:jc w:val="right"/>
            </w:pPr>
            <w:r>
              <w:rPr>
                <w:rFonts w:ascii="Arial" w:hAnsi="Arial"/>
                <w:sz w:val="15"/>
              </w:rPr>
              <w:t xml:space="preserve">n/d</w:t>
            </w:r>
          </w:p>
        </w:tc>
        <w:tc>
          <w:tcPr>
            <w:tcW w:type="dxa" w:w="2692"/>
            <w:shd w:val="clear" w:color="auto" w:fill="F1F2F5"/>
          </w:tcPr>
          <w:p>
            <w:pPr>
              <w:pStyle w:val="Compact"/>
              <w:spacing w:after="0" w:before="0" w:line="240" w:lineRule="auto"/>
              <w:jc w:val="left"/>
            </w:pPr>
            <w:r>
              <w:rPr>
                <w:bCs/>
                <w:rFonts w:ascii="Arial" w:hAnsi="Arial"/>
                <w:b/>
                <w:sz w:val="15"/>
              </w:rPr>
              <w:t xml:space="preserve">Failed:</w:t>
            </w:r>
            <w:r>
              <w:rPr>
                <w:rFonts w:ascii="Arial" w:hAnsi="Arial"/>
                <w:sz w:val="15"/>
              </w:rPr>
              <w:t xml:space="preserve"> </w:t>
            </w:r>
            <w:r>
              <w:rPr>
                <w:rFonts w:ascii="Arial" w:hAnsi="Arial"/>
                <w:sz w:val="15"/>
              </w:rPr>
              <w:t xml:space="preserve">impaired JPY8.6bn; sold in 2024</w:t>
            </w:r>
          </w:p>
        </w:tc>
      </w:tr>
      <w:tr>
        <w:trPr>
          <w:cantSplit/>
        </w:trPr>
        <w:tc>
          <w:tcPr>
            <w:tcW w:type="dxa" w:w="1595"/>
          </w:tcPr>
          <w:p>
            <w:pPr>
              <w:pStyle w:val="Compact"/>
              <w:spacing w:after="0" w:before="0" w:line="240" w:lineRule="auto"/>
              <w:jc w:val="left"/>
            </w:pPr>
            <w:r>
              <w:rPr>
                <w:rFonts w:ascii="Arial" w:hAnsi="Arial"/>
                <w:sz w:val="15"/>
              </w:rPr>
              <w:t xml:space="preserve">Dec-2020</w:t>
            </w:r>
          </w:p>
        </w:tc>
        <w:tc>
          <w:tcPr>
            <w:tcW w:type="dxa" w:w="2607"/>
          </w:tcPr>
          <w:p>
            <w:pPr>
              <w:pStyle w:val="Compact"/>
              <w:spacing w:after="0" w:before="0" w:line="240" w:lineRule="auto"/>
              <w:jc w:val="left"/>
            </w:pPr>
            <w:r>
              <w:rPr>
                <w:bCs/>
                <w:rFonts w:ascii="Arial" w:hAnsi="Arial"/>
                <w:b/>
                <w:sz w:val="15"/>
              </w:rPr>
              <w:t xml:space="preserve">Veran Medical</w:t>
            </w:r>
            <w:r>
              <w:rPr>
                <w:rFonts w:ascii="Arial" w:hAnsi="Arial"/>
                <w:sz w:val="15"/>
              </w:rPr>
              <w:t xml:space="preserve"> </w:t>
            </w:r>
            <w:r>
              <w:rPr>
                <w:rFonts w:ascii="Arial" w:hAnsi="Arial"/>
                <w:sz w:val="15"/>
              </w:rPr>
              <w:t xml:space="preserve">(EM-navigation bronchoscopy, US)</w:t>
            </w:r>
          </w:p>
        </w:tc>
        <w:tc>
          <w:tcPr>
            <w:tcW w:type="dxa" w:w="1399"/>
          </w:tcPr>
          <w:p>
            <w:pPr>
              <w:pStyle w:val="Compact"/>
              <w:spacing w:after="0" w:before="0" w:line="240" w:lineRule="auto"/>
              <w:jc w:val="left"/>
            </w:pPr>
            <w:r>
              <w:rPr>
                <w:rFonts w:ascii="Arial" w:hAnsi="Arial"/>
                <w:sz w:val="15"/>
              </w:rPr>
              <w:t xml:space="preserve">Buy</w:t>
            </w:r>
          </w:p>
        </w:tc>
        <w:tc>
          <w:tcPr>
            <w:tcW w:type="dxa" w:w="1684"/>
          </w:tcPr>
          <w:p>
            <w:pPr>
              <w:pStyle w:val="Compact"/>
              <w:spacing w:after="0" w:before="0" w:line="240" w:lineRule="auto"/>
              <w:jc w:val="right"/>
            </w:pPr>
            <w:r>
              <w:rPr>
                <w:rFonts w:ascii="Arial" w:hAnsi="Arial"/>
                <w:sz w:val="15"/>
              </w:rPr>
              <w:t xml:space="preserve">US$340m (~12x sales)</w:t>
            </w:r>
          </w:p>
        </w:tc>
        <w:tc>
          <w:tcPr>
            <w:tcW w:type="dxa" w:w="2692"/>
          </w:tcPr>
          <w:p>
            <w:pPr>
              <w:pStyle w:val="Compact"/>
              <w:spacing w:after="0" w:before="0" w:line="240" w:lineRule="auto"/>
              <w:jc w:val="left"/>
            </w:pPr>
            <w:r>
              <w:rPr>
                <w:bCs/>
                <w:rFonts w:ascii="Arial" w:hAnsi="Arial"/>
                <w:b/>
                <w:sz w:val="15"/>
              </w:rPr>
              <w:t xml:space="preserve">Failed:</w:t>
            </w:r>
            <w:r>
              <w:rPr>
                <w:rFonts w:ascii="Arial" w:hAnsi="Arial"/>
                <w:sz w:val="15"/>
              </w:rPr>
              <w:t xml:space="preserve"> </w:t>
            </w:r>
            <w:r>
              <w:rPr>
                <w:rFonts w:ascii="Arial" w:hAnsi="Arial"/>
                <w:sz w:val="15"/>
              </w:rPr>
              <w:t xml:space="preserve">shipments stopped 2023; JPY51.9bn loss</w:t>
            </w:r>
          </w:p>
        </w:tc>
      </w:tr>
      <w:tr>
        <w:trPr>
          <w:cantSplit/>
        </w:trPr>
        <w:tc>
          <w:tcPr>
            <w:tcW w:type="dxa" w:w="1595"/>
            <w:shd w:val="clear" w:color="auto" w:fill="F1F2F5"/>
          </w:tcPr>
          <w:p>
            <w:pPr>
              <w:pStyle w:val="Compact"/>
              <w:spacing w:after="0" w:before="0" w:line="240" w:lineRule="auto"/>
              <w:jc w:val="left"/>
            </w:pPr>
            <w:r>
              <w:rPr>
                <w:rFonts w:ascii="Arial" w:hAnsi="Arial"/>
                <w:sz w:val="15"/>
              </w:rPr>
              <w:t xml:space="preserve">2021</w:t>
            </w:r>
          </w:p>
        </w:tc>
        <w:tc>
          <w:tcPr>
            <w:tcW w:type="dxa" w:w="2607"/>
            <w:shd w:val="clear" w:color="auto" w:fill="F1F2F5"/>
          </w:tcPr>
          <w:p>
            <w:pPr>
              <w:pStyle w:val="Compact"/>
              <w:spacing w:after="0" w:before="0" w:line="240" w:lineRule="auto"/>
              <w:jc w:val="left"/>
            </w:pPr>
            <w:r>
              <w:rPr>
                <w:rFonts w:ascii="Arial" w:hAnsi="Arial"/>
                <w:sz w:val="15"/>
              </w:rPr>
              <w:t xml:space="preserve">Quest Photonic Devices (fluorescence imaging, NL)</w:t>
            </w:r>
          </w:p>
        </w:tc>
        <w:tc>
          <w:tcPr>
            <w:tcW w:type="dxa" w:w="1399"/>
            <w:shd w:val="clear" w:color="auto" w:fill="F1F2F5"/>
          </w:tcPr>
          <w:p>
            <w:pPr>
              <w:pStyle w:val="Compact"/>
              <w:spacing w:after="0" w:before="0" w:line="240" w:lineRule="auto"/>
              <w:jc w:val="left"/>
            </w:pPr>
            <w:r>
              <w:rPr>
                <w:rFonts w:ascii="Arial" w:hAnsi="Arial"/>
                <w:sz w:val="15"/>
              </w:rPr>
              <w:t xml:space="preserve">Buy</w:t>
            </w:r>
          </w:p>
        </w:tc>
        <w:tc>
          <w:tcPr>
            <w:tcW w:type="dxa" w:w="1684"/>
            <w:shd w:val="clear" w:color="auto" w:fill="F1F2F5"/>
          </w:tcPr>
          <w:p>
            <w:pPr>
              <w:pStyle w:val="Compact"/>
              <w:spacing w:after="0" w:before="0" w:line="240" w:lineRule="auto"/>
              <w:jc w:val="right"/>
            </w:pPr>
            <w:r>
              <w:rPr>
                <w:rFonts w:ascii="Arial" w:hAnsi="Arial"/>
                <w:sz w:val="15"/>
              </w:rPr>
              <w:t xml:space="preserve">€50m</w:t>
            </w:r>
          </w:p>
        </w:tc>
        <w:tc>
          <w:tcPr>
            <w:tcW w:type="dxa" w:w="2692"/>
            <w:shd w:val="clear" w:color="auto" w:fill="F1F2F5"/>
          </w:tcPr>
          <w:p>
            <w:pPr>
              <w:pStyle w:val="Compact"/>
              <w:spacing w:after="0" w:before="0" w:line="240" w:lineRule="auto"/>
              <w:jc w:val="left"/>
            </w:pPr>
            <w:r>
              <w:rPr>
                <w:rFonts w:ascii="Arial" w:hAnsi="Arial"/>
                <w:sz w:val="15"/>
              </w:rPr>
              <w:t xml:space="preserve">Capability in VISERA ELITE III [u]</w:t>
            </w:r>
          </w:p>
        </w:tc>
      </w:tr>
      <w:tr>
        <w:trPr>
          <w:cantSplit/>
        </w:trPr>
        <w:tc>
          <w:tcPr>
            <w:tcW w:type="dxa" w:w="1595"/>
          </w:tcPr>
          <w:p>
            <w:pPr>
              <w:pStyle w:val="Compact"/>
              <w:spacing w:after="0" w:before="0" w:line="240" w:lineRule="auto"/>
              <w:jc w:val="left"/>
            </w:pPr>
            <w:r>
              <w:rPr>
                <w:rFonts w:ascii="Arial" w:hAnsi="Arial"/>
                <w:sz w:val="15"/>
              </w:rPr>
              <w:t xml:space="preserve">2021</w:t>
            </w:r>
          </w:p>
        </w:tc>
        <w:tc>
          <w:tcPr>
            <w:tcW w:type="dxa" w:w="2607"/>
          </w:tcPr>
          <w:p>
            <w:pPr>
              <w:pStyle w:val="Compact"/>
              <w:spacing w:after="0" w:before="0" w:line="240" w:lineRule="auto"/>
              <w:jc w:val="left"/>
            </w:pPr>
            <w:r>
              <w:rPr>
                <w:rFonts w:ascii="Arial" w:hAnsi="Arial"/>
                <w:sz w:val="15"/>
              </w:rPr>
              <w:t xml:space="preserve">Medi-Tate (iTind, Israel)</w:t>
            </w:r>
          </w:p>
        </w:tc>
        <w:tc>
          <w:tcPr>
            <w:tcW w:type="dxa" w:w="1399"/>
          </w:tcPr>
          <w:p>
            <w:pPr>
              <w:pStyle w:val="Compact"/>
              <w:spacing w:after="0" w:before="0" w:line="240" w:lineRule="auto"/>
              <w:jc w:val="left"/>
            </w:pPr>
            <w:r>
              <w:rPr>
                <w:rFonts w:ascii="Arial" w:hAnsi="Arial"/>
                <w:sz w:val="15"/>
              </w:rPr>
              <w:t xml:space="preserve">Buy remaining 81.5%</w:t>
            </w:r>
          </w:p>
        </w:tc>
        <w:tc>
          <w:tcPr>
            <w:tcW w:type="dxa" w:w="1684"/>
          </w:tcPr>
          <w:p>
            <w:pPr>
              <w:pStyle w:val="Compact"/>
              <w:spacing w:after="0" w:before="0" w:line="240" w:lineRule="auto"/>
              <w:jc w:val="right"/>
            </w:pPr>
            <w:r>
              <w:rPr>
                <w:rFonts w:ascii="Arial" w:hAnsi="Arial"/>
                <w:sz w:val="15"/>
              </w:rPr>
              <w:t xml:space="preserve">~US$310m implied EV</w:t>
            </w:r>
          </w:p>
        </w:tc>
        <w:tc>
          <w:tcPr>
            <w:tcW w:type="dxa" w:w="2692"/>
          </w:tcPr>
          <w:p>
            <w:pPr>
              <w:pStyle w:val="Compact"/>
              <w:spacing w:after="0" w:before="0" w:line="240" w:lineRule="auto"/>
              <w:jc w:val="left"/>
            </w:pPr>
            <w:r>
              <w:rPr>
                <w:rFonts w:ascii="Arial" w:hAnsi="Arial"/>
                <w:sz w:val="15"/>
              </w:rPr>
              <w:t xml:space="preserve">Mixed: approval delays; CPT codes from 2025</w:t>
            </w:r>
          </w:p>
        </w:tc>
      </w:tr>
      <w:tr>
        <w:trPr>
          <w:cantSplit/>
        </w:trPr>
        <w:tc>
          <w:tcPr>
            <w:tcW w:type="dxa" w:w="1595"/>
            <w:shd w:val="clear" w:color="auto" w:fill="F1F2F5"/>
          </w:tcPr>
          <w:p>
            <w:pPr>
              <w:pStyle w:val="Compact"/>
              <w:spacing w:after="0" w:before="0" w:line="240" w:lineRule="auto"/>
              <w:jc w:val="left"/>
            </w:pPr>
            <w:r>
              <w:rPr>
                <w:rFonts w:ascii="Arial" w:hAnsi="Arial"/>
                <w:sz w:val="15"/>
              </w:rPr>
              <w:t xml:space="preserve">Aug-2022 / Apr-2023</w:t>
            </w:r>
          </w:p>
        </w:tc>
        <w:tc>
          <w:tcPr>
            <w:tcW w:type="dxa" w:w="2607"/>
            <w:shd w:val="clear" w:color="auto" w:fill="F1F2F5"/>
          </w:tcPr>
          <w:p>
            <w:pPr>
              <w:pStyle w:val="Compact"/>
              <w:spacing w:after="0" w:before="0" w:line="240" w:lineRule="auto"/>
              <w:jc w:val="left"/>
            </w:pPr>
            <w:r>
              <w:rPr>
                <w:bCs/>
                <w:rFonts w:ascii="Arial" w:hAnsi="Arial"/>
                <w:b/>
                <w:sz w:val="15"/>
              </w:rPr>
              <w:t xml:space="preserve">Evident (Scientific Solutions)</w:t>
            </w:r>
          </w:p>
        </w:tc>
        <w:tc>
          <w:tcPr>
            <w:tcW w:type="dxa" w:w="1399"/>
            <w:shd w:val="clear" w:color="auto" w:fill="F1F2F5"/>
          </w:tcPr>
          <w:p>
            <w:pPr>
              <w:pStyle w:val="Compact"/>
              <w:spacing w:after="0" w:before="0" w:line="240" w:lineRule="auto"/>
              <w:jc w:val="left"/>
            </w:pPr>
            <w:r>
              <w:rPr>
                <w:rFonts w:ascii="Arial" w:hAnsi="Arial"/>
                <w:sz w:val="15"/>
              </w:rPr>
              <w:t xml:space="preserve">Sell to Bain</w:t>
            </w:r>
          </w:p>
        </w:tc>
        <w:tc>
          <w:tcPr>
            <w:tcW w:type="dxa" w:w="1684"/>
            <w:shd w:val="clear" w:color="auto" w:fill="F1F2F5"/>
          </w:tcPr>
          <w:p>
            <w:pPr>
              <w:pStyle w:val="Compact"/>
              <w:spacing w:after="0" w:before="0" w:line="240" w:lineRule="auto"/>
              <w:jc w:val="right"/>
            </w:pPr>
            <w:r>
              <w:rPr>
                <w:bCs/>
                <w:rFonts w:ascii="Arial" w:hAnsi="Arial"/>
                <w:b/>
                <w:sz w:val="15"/>
              </w:rPr>
              <w:t xml:space="preserve">JPY427.7bn (3.6x sales, ~17x EBITDA)</w:t>
            </w:r>
          </w:p>
        </w:tc>
        <w:tc>
          <w:tcPr>
            <w:tcW w:type="dxa" w:w="2692"/>
            <w:shd w:val="clear" w:color="auto" w:fill="F1F2F5"/>
          </w:tcPr>
          <w:p>
            <w:pPr>
              <w:pStyle w:val="Compact"/>
              <w:spacing w:after="0" w:before="0" w:line="240" w:lineRule="auto"/>
              <w:jc w:val="left"/>
            </w:pPr>
            <w:r>
              <w:rPr>
                <w:bCs/>
                <w:rFonts w:ascii="Arial" w:hAnsi="Arial"/>
                <w:b/>
                <w:sz w:val="15"/>
              </w:rPr>
              <w:t xml:space="preserve">Success:</w:t>
            </w:r>
            <w:r>
              <w:rPr>
                <w:rFonts w:ascii="Arial" w:hAnsi="Arial"/>
                <w:sz w:val="15"/>
              </w:rPr>
              <w:t xml:space="preserve"> </w:t>
            </w:r>
            <w:r>
              <w:rPr>
                <w:rFonts w:ascii="Arial" w:hAnsi="Arial"/>
                <w:sz w:val="15"/>
              </w:rPr>
              <w:t xml:space="preserve">funded the JPY180bn FY3/24 buyback</w:t>
            </w:r>
          </w:p>
        </w:tc>
      </w:tr>
      <w:tr>
        <w:trPr>
          <w:cantSplit/>
        </w:trPr>
        <w:tc>
          <w:tcPr>
            <w:tcW w:type="dxa" w:w="1595"/>
          </w:tcPr>
          <w:p>
            <w:pPr>
              <w:pStyle w:val="Compact"/>
              <w:spacing w:after="0" w:before="0" w:line="240" w:lineRule="auto"/>
              <w:jc w:val="left"/>
            </w:pPr>
            <w:r>
              <w:rPr>
                <w:rFonts w:ascii="Arial" w:hAnsi="Arial"/>
                <w:sz w:val="15"/>
              </w:rPr>
              <w:t xml:space="preserve">Dec-2022</w:t>
            </w:r>
          </w:p>
        </w:tc>
        <w:tc>
          <w:tcPr>
            <w:tcW w:type="dxa" w:w="2607"/>
          </w:tcPr>
          <w:p>
            <w:pPr>
              <w:pStyle w:val="Compact"/>
              <w:spacing w:after="0" w:before="0" w:line="240" w:lineRule="auto"/>
              <w:jc w:val="left"/>
            </w:pPr>
            <w:r>
              <w:rPr>
                <w:rFonts w:ascii="Arial" w:hAnsi="Arial"/>
                <w:sz w:val="15"/>
              </w:rPr>
              <w:t xml:space="preserve">Odin Medical (AI for endoscopy, UK)</w:t>
            </w:r>
          </w:p>
        </w:tc>
        <w:tc>
          <w:tcPr>
            <w:tcW w:type="dxa" w:w="1399"/>
          </w:tcPr>
          <w:p>
            <w:pPr>
              <w:pStyle w:val="Compact"/>
              <w:spacing w:after="0" w:before="0" w:line="240" w:lineRule="auto"/>
              <w:jc w:val="left"/>
            </w:pPr>
            <w:r>
              <w:rPr>
                <w:rFonts w:ascii="Arial" w:hAnsi="Arial"/>
                <w:sz w:val="15"/>
              </w:rPr>
              <w:t xml:space="preserve">Buy</w:t>
            </w:r>
          </w:p>
        </w:tc>
        <w:tc>
          <w:tcPr>
            <w:tcW w:type="dxa" w:w="1684"/>
          </w:tcPr>
          <w:p>
            <w:pPr>
              <w:pStyle w:val="Compact"/>
              <w:spacing w:after="0" w:before="0" w:line="240" w:lineRule="auto"/>
              <w:jc w:val="right"/>
            </w:pPr>
            <w:r>
              <w:rPr>
                <w:rFonts w:ascii="Arial" w:hAnsi="Arial"/>
                <w:sz w:val="15"/>
              </w:rPr>
              <w:t xml:space="preserve">£66m incl. earn-outs</w:t>
            </w:r>
          </w:p>
        </w:tc>
        <w:tc>
          <w:tcPr>
            <w:tcW w:type="dxa" w:w="2692"/>
          </w:tcPr>
          <w:p>
            <w:pPr>
              <w:pStyle w:val="Compact"/>
              <w:spacing w:after="0" w:before="0" w:line="240" w:lineRule="auto"/>
              <w:jc w:val="left"/>
            </w:pPr>
            <w:r>
              <w:rPr>
                <w:rFonts w:ascii="Arial" w:hAnsi="Arial"/>
                <w:sz w:val="15"/>
              </w:rPr>
              <w:t xml:space="preserve">CADDIE on OLYSENSE; ongoing</w:t>
            </w:r>
          </w:p>
        </w:tc>
      </w:tr>
      <w:tr>
        <w:trPr>
          <w:cantSplit/>
        </w:trPr>
        <w:tc>
          <w:tcPr>
            <w:tcW w:type="dxa" w:w="1595"/>
            <w:shd w:val="clear" w:color="auto" w:fill="F1F2F5"/>
          </w:tcPr>
          <w:p>
            <w:pPr>
              <w:pStyle w:val="Compact"/>
              <w:spacing w:after="0" w:before="0" w:line="240" w:lineRule="auto"/>
              <w:jc w:val="left"/>
            </w:pPr>
            <w:r>
              <w:rPr>
                <w:rFonts w:ascii="Arial" w:hAnsi="Arial"/>
                <w:sz w:val="15"/>
              </w:rPr>
              <w:t xml:space="preserve">Feb-2023 / Jan-2024</w:t>
            </w:r>
          </w:p>
        </w:tc>
        <w:tc>
          <w:tcPr>
            <w:tcW w:type="dxa" w:w="2607"/>
            <w:shd w:val="clear" w:color="auto" w:fill="F1F2F5"/>
          </w:tcPr>
          <w:p>
            <w:pPr>
              <w:pStyle w:val="Compact"/>
              <w:spacing w:after="0" w:before="0" w:line="240" w:lineRule="auto"/>
              <w:jc w:val="left"/>
            </w:pPr>
            <w:r>
              <w:rPr>
                <w:bCs/>
                <w:rFonts w:ascii="Arial" w:hAnsi="Arial"/>
                <w:b/>
                <w:sz w:val="15"/>
              </w:rPr>
              <w:t xml:space="preserve">Taewoong Medical</w:t>
            </w:r>
            <w:r>
              <w:rPr>
                <w:rFonts w:ascii="Arial" w:hAnsi="Arial"/>
                <w:sz w:val="15"/>
              </w:rPr>
              <w:t xml:space="preserve"> </w:t>
            </w:r>
            <w:r>
              <w:rPr>
                <w:rFonts w:ascii="Arial" w:hAnsi="Arial"/>
                <w:sz w:val="15"/>
              </w:rPr>
              <w:t xml:space="preserve">(GI stents, Korea)</w:t>
            </w:r>
          </w:p>
        </w:tc>
        <w:tc>
          <w:tcPr>
            <w:tcW w:type="dxa" w:w="1399"/>
            <w:shd w:val="clear" w:color="auto" w:fill="F1F2F5"/>
          </w:tcPr>
          <w:p>
            <w:pPr>
              <w:pStyle w:val="Compact"/>
              <w:spacing w:after="0" w:before="0" w:line="240" w:lineRule="auto"/>
              <w:jc w:val="left"/>
            </w:pPr>
            <w:r>
              <w:rPr>
                <w:rFonts w:ascii="Arial" w:hAnsi="Arial"/>
                <w:sz w:val="15"/>
              </w:rPr>
              <w:t xml:space="preserve">Buy →</w:t>
            </w:r>
            <w:r>
              <w:rPr>
                <w:rFonts w:ascii="Arial" w:hAnsi="Arial"/>
                <w:sz w:val="15"/>
              </w:rPr>
              <w:t xml:space="preserve"> </w:t>
            </w:r>
            <w:r>
              <w:rPr>
                <w:bCs/>
                <w:rFonts w:ascii="Arial" w:hAnsi="Arial"/>
                <w:b/>
                <w:sz w:val="15"/>
              </w:rPr>
              <w:t xml:space="preserve">rescinded Mar-2024</w:t>
            </w:r>
          </w:p>
        </w:tc>
        <w:tc>
          <w:tcPr>
            <w:tcW w:type="dxa" w:w="1684"/>
            <w:shd w:val="clear" w:color="auto" w:fill="F1F2F5"/>
          </w:tcPr>
          <w:p>
            <w:pPr>
              <w:pStyle w:val="Compact"/>
              <w:spacing w:after="0" w:before="0" w:line="240" w:lineRule="auto"/>
              <w:jc w:val="right"/>
            </w:pPr>
            <w:r>
              <w:rPr>
                <w:rFonts w:ascii="Arial" w:hAnsi="Arial"/>
                <w:sz w:val="15"/>
              </w:rPr>
              <w:t xml:space="preserve">US$370m</w:t>
            </w:r>
          </w:p>
        </w:tc>
        <w:tc>
          <w:tcPr>
            <w:tcW w:type="dxa" w:w="2692"/>
            <w:shd w:val="clear" w:color="auto" w:fill="F1F2F5"/>
          </w:tcPr>
          <w:p>
            <w:pPr>
              <w:pStyle w:val="Compact"/>
              <w:spacing w:after="0" w:before="0" w:line="240" w:lineRule="auto"/>
              <w:jc w:val="left"/>
            </w:pPr>
            <w:r>
              <w:rPr>
                <w:bCs/>
                <w:rFonts w:ascii="Arial" w:hAnsi="Arial"/>
                <w:b/>
                <w:sz w:val="15"/>
              </w:rPr>
              <w:t xml:space="preserve">Failed:</w:t>
            </w:r>
            <w:r>
              <w:rPr>
                <w:rFonts w:ascii="Arial" w:hAnsi="Arial"/>
                <w:sz w:val="15"/>
              </w:rPr>
              <w:t xml:space="preserve"> </w:t>
            </w:r>
            <w:r>
              <w:rPr>
                <w:rFonts w:ascii="Arial" w:hAnsi="Arial"/>
                <w:sz w:val="15"/>
              </w:rPr>
              <w:t xml:space="preserve">JPY43.6bn paid, JPY31.1bn recovered</w:t>
            </w:r>
          </w:p>
        </w:tc>
      </w:tr>
      <w:tr>
        <w:trPr>
          <w:cantSplit/>
        </w:trPr>
        <w:tc>
          <w:tcPr>
            <w:tcW w:type="dxa" w:w="1595"/>
          </w:tcPr>
          <w:p>
            <w:pPr>
              <w:pStyle w:val="Compact"/>
              <w:spacing w:after="0" w:before="0" w:line="240" w:lineRule="auto"/>
              <w:jc w:val="left"/>
            </w:pPr>
            <w:r>
              <w:rPr>
                <w:rFonts w:ascii="Arial" w:hAnsi="Arial"/>
                <w:sz w:val="15"/>
              </w:rPr>
              <w:t xml:space="preserve">Jul-2024</w:t>
            </w:r>
          </w:p>
        </w:tc>
        <w:tc>
          <w:tcPr>
            <w:tcW w:type="dxa" w:w="2607"/>
          </w:tcPr>
          <w:p>
            <w:pPr>
              <w:pStyle w:val="Compact"/>
              <w:spacing w:after="0" w:before="0" w:line="240" w:lineRule="auto"/>
              <w:jc w:val="left"/>
            </w:pPr>
            <w:r>
              <w:rPr>
                <w:rFonts w:ascii="Arial" w:hAnsi="Arial"/>
                <w:sz w:val="15"/>
              </w:rPr>
              <w:t xml:space="preserve">Olympus Terumo Biomaterials + FH Ortho</w:t>
            </w:r>
          </w:p>
        </w:tc>
        <w:tc>
          <w:tcPr>
            <w:tcW w:type="dxa" w:w="1399"/>
          </w:tcPr>
          <w:p>
            <w:pPr>
              <w:pStyle w:val="Compact"/>
              <w:spacing w:after="0" w:before="0" w:line="240" w:lineRule="auto"/>
              <w:jc w:val="left"/>
            </w:pPr>
            <w:r>
              <w:rPr>
                <w:rFonts w:ascii="Arial" w:hAnsi="Arial"/>
                <w:sz w:val="15"/>
              </w:rPr>
              <w:t xml:space="preserve">Sell to Polaris</w:t>
            </w:r>
          </w:p>
        </w:tc>
        <w:tc>
          <w:tcPr>
            <w:tcW w:type="dxa" w:w="1684"/>
          </w:tcPr>
          <w:p>
            <w:pPr>
              <w:pStyle w:val="Compact"/>
              <w:spacing w:after="0" w:before="0" w:line="240" w:lineRule="auto"/>
              <w:jc w:val="right"/>
            </w:pPr>
            <w:r>
              <w:rPr>
                <w:rFonts w:ascii="Arial" w:hAnsi="Arial"/>
                <w:sz w:val="15"/>
              </w:rPr>
              <w:t xml:space="preserve">JPY3.7bn</w:t>
            </w:r>
          </w:p>
        </w:tc>
        <w:tc>
          <w:tcPr>
            <w:tcW w:type="dxa" w:w="2692"/>
          </w:tcPr>
          <w:p>
            <w:pPr>
              <w:pStyle w:val="Compact"/>
              <w:spacing w:after="0" w:before="0" w:line="240" w:lineRule="auto"/>
              <w:jc w:val="left"/>
            </w:pPr>
            <w:r>
              <w:rPr>
                <w:rFonts w:ascii="Arial" w:hAnsi="Arial"/>
                <w:sz w:val="15"/>
              </w:rPr>
              <w:t xml:space="preserve">Ortho exit</w:t>
            </w:r>
          </w:p>
        </w:tc>
      </w:tr>
      <w:tr>
        <w:trPr>
          <w:cantSplit/>
        </w:trPr>
        <w:tc>
          <w:tcPr>
            <w:tcW w:type="dxa" w:w="1595"/>
            <w:shd w:val="clear" w:color="auto" w:fill="F1F2F5"/>
          </w:tcPr>
          <w:p>
            <w:pPr>
              <w:pStyle w:val="Compact"/>
              <w:spacing w:after="0" w:before="0" w:line="240" w:lineRule="auto"/>
              <w:jc w:val="left"/>
            </w:pPr>
            <w:r>
              <w:rPr>
                <w:rFonts w:ascii="Arial" w:hAnsi="Arial"/>
                <w:sz w:val="15"/>
              </w:rPr>
              <w:t xml:space="preserve">Jul-2025</w:t>
            </w:r>
          </w:p>
        </w:tc>
        <w:tc>
          <w:tcPr>
            <w:tcW w:type="dxa" w:w="2607"/>
            <w:shd w:val="clear" w:color="auto" w:fill="F1F2F5"/>
          </w:tcPr>
          <w:p>
            <w:pPr>
              <w:pStyle w:val="Compact"/>
              <w:spacing w:after="0" w:before="0" w:line="240" w:lineRule="auto"/>
              <w:jc w:val="left"/>
            </w:pPr>
            <w:r>
              <w:rPr>
                <w:bCs/>
                <w:rFonts w:ascii="Arial" w:hAnsi="Arial"/>
                <w:b/>
                <w:sz w:val="15"/>
              </w:rPr>
              <w:t xml:space="preserve">Swan EndoSurgical JV</w:t>
            </w:r>
            <w:r>
              <w:rPr>
                <w:rFonts w:ascii="Arial" w:hAnsi="Arial"/>
                <w:sz w:val="15"/>
              </w:rPr>
              <w:t xml:space="preserve"> </w:t>
            </w:r>
            <w:r>
              <w:rPr>
                <w:rFonts w:ascii="Arial" w:hAnsi="Arial"/>
                <w:sz w:val="15"/>
              </w:rPr>
              <w:t xml:space="preserve">(endoluminal robotics) with Revival</w:t>
            </w:r>
          </w:p>
        </w:tc>
        <w:tc>
          <w:tcPr>
            <w:tcW w:type="dxa" w:w="1399"/>
            <w:shd w:val="clear" w:color="auto" w:fill="F1F2F5"/>
          </w:tcPr>
          <w:p>
            <w:pPr>
              <w:pStyle w:val="Compact"/>
              <w:spacing w:after="0" w:before="0" w:line="240" w:lineRule="auto"/>
              <w:jc w:val="left"/>
            </w:pPr>
            <w:r>
              <w:rPr>
                <w:rFonts w:ascii="Arial" w:hAnsi="Arial"/>
                <w:sz w:val="15"/>
              </w:rPr>
              <w:t xml:space="preserve">Minority + call option</w:t>
            </w:r>
          </w:p>
        </w:tc>
        <w:tc>
          <w:tcPr>
            <w:tcW w:type="dxa" w:w="1684"/>
            <w:shd w:val="clear" w:color="auto" w:fill="F1F2F5"/>
          </w:tcPr>
          <w:p>
            <w:pPr>
              <w:pStyle w:val="Compact"/>
              <w:spacing w:after="0" w:before="0" w:line="240" w:lineRule="auto"/>
              <w:jc w:val="right"/>
            </w:pPr>
            <w:r>
              <w:rPr>
                <w:rFonts w:ascii="Arial" w:hAnsi="Arial"/>
                <w:sz w:val="15"/>
              </w:rPr>
              <w:t xml:space="preserve">Up to US$458m jointly</w:t>
            </w:r>
          </w:p>
        </w:tc>
        <w:tc>
          <w:tcPr>
            <w:tcW w:type="dxa" w:w="2692"/>
            <w:shd w:val="clear" w:color="auto" w:fill="F1F2F5"/>
          </w:tcPr>
          <w:p>
            <w:pPr>
              <w:pStyle w:val="Compact"/>
              <w:spacing w:after="0" w:before="0" w:line="240" w:lineRule="auto"/>
              <w:jc w:val="left"/>
            </w:pPr>
            <w:r>
              <w:rPr>
                <w:rFonts w:ascii="Arial" w:hAnsi="Arial"/>
                <w:sz w:val="15"/>
              </w:rPr>
              <w:t xml:space="preserve">Early stage; ~JPY4.4bn equity loss FY3/26</w:t>
            </w:r>
          </w:p>
        </w:tc>
      </w:tr>
      <w:tr>
        <w:trPr>
          <w:cantSplit/>
        </w:trPr>
        <w:tc>
          <w:tcPr>
            <w:tcW w:type="dxa" w:w="1595"/>
          </w:tcPr>
          <w:p>
            <w:pPr>
              <w:pStyle w:val="Compact"/>
              <w:spacing w:after="0" w:before="0" w:line="240" w:lineRule="auto"/>
              <w:jc w:val="left"/>
            </w:pPr>
            <w:r>
              <w:rPr>
                <w:rFonts w:ascii="Arial" w:hAnsi="Arial"/>
                <w:sz w:val="15"/>
              </w:rPr>
              <w:t xml:space="preserve">May/Jun-2026</w:t>
            </w:r>
          </w:p>
        </w:tc>
        <w:tc>
          <w:tcPr>
            <w:tcW w:type="dxa" w:w="2607"/>
          </w:tcPr>
          <w:p>
            <w:pPr>
              <w:pStyle w:val="Compact"/>
              <w:spacing w:after="0" w:before="0" w:line="240" w:lineRule="auto"/>
              <w:jc w:val="left"/>
            </w:pPr>
            <w:r>
              <w:rPr>
                <w:bCs/>
                <w:rFonts w:ascii="Arial" w:hAnsi="Arial"/>
                <w:b/>
                <w:sz w:val="15"/>
              </w:rPr>
              <w:t xml:space="preserve">BioProtect</w:t>
            </w:r>
            <w:r>
              <w:rPr>
                <w:rFonts w:ascii="Arial" w:hAnsi="Arial"/>
                <w:sz w:val="15"/>
              </w:rPr>
              <w:t xml:space="preserve"> </w:t>
            </w:r>
            <w:r>
              <w:rPr>
                <w:rFonts w:ascii="Arial" w:hAnsi="Arial"/>
                <w:sz w:val="15"/>
              </w:rPr>
              <w:t xml:space="preserve">(prostate RT spacer, Israel)</w:t>
            </w:r>
          </w:p>
        </w:tc>
        <w:tc>
          <w:tcPr>
            <w:tcW w:type="dxa" w:w="1399"/>
          </w:tcPr>
          <w:p>
            <w:pPr>
              <w:pStyle w:val="Compact"/>
              <w:spacing w:after="0" w:before="0" w:line="240" w:lineRule="auto"/>
              <w:jc w:val="left"/>
            </w:pPr>
            <w:r>
              <w:rPr>
                <w:rFonts w:ascii="Arial" w:hAnsi="Arial"/>
                <w:sz w:val="15"/>
              </w:rPr>
              <w:t xml:space="preserve">Buy 100%</w:t>
            </w:r>
          </w:p>
        </w:tc>
        <w:tc>
          <w:tcPr>
            <w:tcW w:type="dxa" w:w="1684"/>
          </w:tcPr>
          <w:p>
            <w:pPr>
              <w:pStyle w:val="Compact"/>
              <w:spacing w:after="0" w:before="0" w:line="240" w:lineRule="auto"/>
              <w:jc w:val="right"/>
            </w:pPr>
            <w:r>
              <w:rPr>
                <w:rFonts w:ascii="Arial" w:hAnsi="Arial"/>
                <w:sz w:val="15"/>
              </w:rPr>
              <w:t xml:space="preserve">US$270m (18.6x sales)</w:t>
            </w:r>
          </w:p>
        </w:tc>
        <w:tc>
          <w:tcPr>
            <w:tcW w:type="dxa" w:w="2692"/>
          </w:tcPr>
          <w:p>
            <w:pPr>
              <w:pStyle w:val="Compact"/>
              <w:spacing w:after="0" w:before="0" w:line="240" w:lineRule="auto"/>
              <w:jc w:val="left"/>
            </w:pPr>
            <w:r>
              <w:rPr>
                <w:rFonts w:ascii="Arial" w:hAnsi="Arial"/>
                <w:sz w:val="15"/>
              </w:rPr>
              <w:t xml:space="preserve">Just closed; goodwill +JPY46bn</w:t>
            </w:r>
          </w:p>
        </w:tc>
      </w:tr>
    </w:tbl>
    <w:p>
      <w:pPr>
        <w:pStyle w:val="BodyText"/>
      </w:pPr>
      <w:r>
        <w:rPr>
          <w:bCs/>
          <w:b/>
        </w:rPr>
        <w:t xml:space="preserve">Scorecard.</w:t>
      </w:r>
      <w:r>
        <w:t xml:space="preserve"> </w:t>
      </w:r>
      <w:r>
        <w:t xml:space="preserve">On the buy side, ~JPY62bn of losses and impairments (Veran, ortho, Taewoong) came on ~US$1.5bn of medical acquisitions since 2020. Disposals (Evident, cameras, ortho) were executed cleanly and at good prices.</w:t>
      </w:r>
      <w:r>
        <w:t xml:space="preserve"> </w:t>
      </w:r>
      <w:r>
        <w:rPr>
          <w:bCs/>
          <w:b/>
        </w:rPr>
        <w:t xml:space="preserve">Olympus is a better seller than buyer.</w:t>
      </w:r>
      <w:r>
        <w:t xml:space="preserve"> </w:t>
      </w:r>
      <w:r>
        <w:t xml:space="preserve">For the SIS review, we read that as encouraging, and it is also why the</w:t>
      </w:r>
      <w:r>
        <w:t xml:space="preserve"> </w:t>
      </w:r>
      <w:r>
        <w:t xml:space="preserve">“</w:t>
      </w:r>
      <w:r>
        <w:t xml:space="preserve">M&amp;A machine</w:t>
      </w:r>
      <w:r>
        <w:t xml:space="preserve">”</w:t>
      </w:r>
      <w:r>
        <w:t xml:space="preserve"> </w:t>
      </w:r>
      <w:r>
        <w:t xml:space="preserve">rhetoric deserves scepticism.</w:t>
      </w:r>
    </w:p>
    <w:bookmarkEnd w:id="104"/>
    <w:bookmarkEnd w:id="105"/>
    <w:bookmarkStart w:id="112" w:name="management-assessment"/>
    <w:p>
      <w:pPr>
        <w:pStyle w:val="Heading1"/>
      </w:pPr>
      <w:r>
        <w:t xml:space="preserve">Management assessment</w:t>
      </w:r>
    </w:p>
    <w:bookmarkStart w:id="106" w:name="key-executives"/>
    <w:p>
      <w:pPr>
        <w:pStyle w:val="Heading2"/>
      </w:pPr>
      <w:r>
        <w:t xml:space="preserve">Key executives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223"/>
        <w:gridCol w:w="2074"/>
        <w:gridCol w:w="1508"/>
        <w:gridCol w:w="2580"/>
        <w:gridCol w:w="2591"/>
      </w:tblGrid>
      <w:tr>
        <w:trPr>
          <w:tblHeader w:val="true"/>
          <w:tblHeader w:val="true"/>
          <w:cantSplit/>
        </w:trPr>
        <w:tc>
          <w:tcPr>
            <w:tcW w:type="dxa" w:w="1224"/>
            <w:shd w:val="clear" w:color="auto" w:fill="13213F"/>
          </w:tcPr>
          <w:p>
            <w:pPr>
              <w:pStyle w:val="Compact"/>
              <w:spacing w:after="0" w:before="0" w:line="240" w:lineRule="auto"/>
              <w:jc w:val="left"/>
            </w:pPr>
            <w:r>
              <w:rPr>
                <w:rFonts w:ascii="Arial" w:hAnsi="Arial"/>
                <w:b/>
                <w:color w:val="FFFFFF"/>
                <w:sz w:val="15"/>
              </w:rPr>
              <w:t xml:space="preserve">Name</w:t>
            </w:r>
          </w:p>
        </w:tc>
        <w:tc>
          <w:tcPr>
            <w:tcW w:type="dxa" w:w="2074"/>
            <w:shd w:val="clear" w:color="auto" w:fill="13213F"/>
          </w:tcPr>
          <w:p>
            <w:pPr>
              <w:pStyle w:val="Compact"/>
              <w:spacing w:after="0" w:before="0" w:line="240" w:lineRule="auto"/>
              <w:jc w:val="left"/>
            </w:pPr>
            <w:r>
              <w:rPr>
                <w:rFonts w:ascii="Arial" w:hAnsi="Arial"/>
                <w:b/>
                <w:color w:val="FFFFFF"/>
                <w:sz w:val="15"/>
              </w:rPr>
              <w:t xml:space="preserve">Role</w:t>
            </w:r>
          </w:p>
        </w:tc>
        <w:tc>
          <w:tcPr>
            <w:tcW w:type="dxa" w:w="1508"/>
            <w:shd w:val="clear" w:color="auto" w:fill="13213F"/>
          </w:tcPr>
          <w:p>
            <w:pPr>
              <w:pStyle w:val="Compact"/>
              <w:spacing w:after="0" w:before="0" w:line="240" w:lineRule="auto"/>
              <w:jc w:val="left"/>
            </w:pPr>
            <w:r>
              <w:rPr>
                <w:rFonts w:ascii="Arial" w:hAnsi="Arial"/>
                <w:b/>
                <w:color w:val="FFFFFF"/>
                <w:sz w:val="15"/>
              </w:rPr>
              <w:t xml:space="preserve">Since</w:t>
            </w:r>
          </w:p>
        </w:tc>
        <w:tc>
          <w:tcPr>
            <w:tcW w:type="dxa" w:w="2580"/>
            <w:shd w:val="clear" w:color="auto" w:fill="13213F"/>
          </w:tcPr>
          <w:p>
            <w:pPr>
              <w:pStyle w:val="Compact"/>
              <w:spacing w:after="0" w:before="0" w:line="240" w:lineRule="auto"/>
              <w:jc w:val="left"/>
            </w:pPr>
            <w:r>
              <w:rPr>
                <w:rFonts w:ascii="Arial" w:hAnsi="Arial"/>
                <w:b/>
                <w:color w:val="FFFFFF"/>
                <w:sz w:val="15"/>
              </w:rPr>
              <w:t xml:space="preserve">Background</w:t>
            </w:r>
          </w:p>
        </w:tc>
        <w:tc>
          <w:tcPr>
            <w:tcW w:type="dxa" w:w="2591"/>
            <w:shd w:val="clear" w:color="auto" w:fill="13213F"/>
          </w:tcPr>
          <w:p>
            <w:pPr>
              <w:pStyle w:val="Compact"/>
              <w:spacing w:after="0" w:before="0" w:line="240" w:lineRule="auto"/>
              <w:jc w:val="left"/>
            </w:pPr>
            <w:r>
              <w:rPr>
                <w:rFonts w:ascii="Arial" w:hAnsi="Arial"/>
                <w:b/>
                <w:color w:val="FFFFFF"/>
                <w:sz w:val="15"/>
              </w:rPr>
              <w:t xml:space="preserve">Assessment</w:t>
            </w:r>
          </w:p>
        </w:tc>
      </w:tr>
      <w:tr>
        <w:trPr>
          <w:cantSplit/>
        </w:trPr>
        <w:tc>
          <w:tcPr>
            <w:tcW w:type="dxa" w:w="1224"/>
          </w:tcPr>
          <w:p>
            <w:pPr>
              <w:pStyle w:val="Compact"/>
              <w:spacing w:after="0" w:before="0" w:line="240" w:lineRule="auto"/>
              <w:jc w:val="left"/>
            </w:pPr>
            <w:r>
              <w:rPr>
                <w:bCs/>
                <w:rFonts w:ascii="Arial" w:hAnsi="Arial"/>
                <w:b/>
                <w:sz w:val="15"/>
              </w:rPr>
              <w:t xml:space="preserve">Robert J.</w:t>
            </w:r>
            <w:r>
              <w:rPr>
                <w:bCs/>
                <w:rFonts w:ascii="Arial" w:hAnsi="Arial"/>
                <w:b/>
                <w:sz w:val="15"/>
              </w:rPr>
              <w:t xml:space="preserve"> </w:t>
            </w:r>
            <w:r>
              <w:rPr>
                <w:bCs/>
                <w:rFonts w:ascii="Arial" w:hAnsi="Arial"/>
                <w:b/>
                <w:sz w:val="15"/>
              </w:rPr>
              <w:t xml:space="preserve">“</w:t>
            </w:r>
            <w:r>
              <w:rPr>
                <w:bCs/>
                <w:rFonts w:ascii="Arial" w:hAnsi="Arial"/>
                <w:b/>
                <w:sz w:val="15"/>
              </w:rPr>
              <w:t xml:space="preserve">Bob</w:t>
            </w:r>
            <w:r>
              <w:rPr>
                <w:bCs/>
                <w:rFonts w:ascii="Arial" w:hAnsi="Arial"/>
                <w:b/>
                <w:sz w:val="15"/>
              </w:rPr>
              <w:t xml:space="preserve">”</w:t>
            </w:r>
            <w:r>
              <w:rPr>
                <w:bCs/>
                <w:rFonts w:ascii="Arial" w:hAnsi="Arial"/>
                <w:b/>
                <w:sz w:val="15"/>
              </w:rPr>
              <w:t xml:space="preserve"> </w:t>
            </w:r>
            <w:r>
              <w:rPr>
                <w:bCs/>
                <w:rFonts w:ascii="Arial" w:hAnsi="Arial"/>
                <w:b/>
                <w:sz w:val="15"/>
              </w:rPr>
              <w:t xml:space="preserve">White</w:t>
            </w:r>
          </w:p>
        </w:tc>
        <w:tc>
          <w:tcPr>
            <w:tcW w:type="dxa" w:w="2074"/>
          </w:tcPr>
          <w:p>
            <w:pPr>
              <w:pStyle w:val="Compact"/>
              <w:spacing w:after="0" w:before="0" w:line="240" w:lineRule="auto"/>
              <w:jc w:val="left"/>
            </w:pPr>
            <w:r>
              <w:rPr>
                <w:rFonts w:ascii="Arial" w:hAnsi="Arial"/>
                <w:sz w:val="15"/>
              </w:rPr>
              <w:t xml:space="preserve">Director, Representative Executive Officer, President &amp; CEO</w:t>
            </w:r>
          </w:p>
        </w:tc>
        <w:tc>
          <w:tcPr>
            <w:tcW w:type="dxa" w:w="1508"/>
          </w:tcPr>
          <w:p>
            <w:pPr>
              <w:pStyle w:val="Compact"/>
              <w:spacing w:after="0" w:before="0" w:line="240" w:lineRule="auto"/>
              <w:jc w:val="left"/>
            </w:pPr>
            <w:r>
              <w:rPr>
                <w:rFonts w:ascii="Arial" w:hAnsi="Arial"/>
                <w:sz w:val="15"/>
              </w:rPr>
              <w:t xml:space="preserve">CEO 1-Jun-2025; director 26-Jun-2025</w:t>
            </w:r>
          </w:p>
        </w:tc>
        <w:tc>
          <w:tcPr>
            <w:tcW w:type="dxa" w:w="2580"/>
          </w:tcPr>
          <w:p>
            <w:pPr>
              <w:pStyle w:val="Compact"/>
              <w:spacing w:after="0" w:before="0" w:line="240" w:lineRule="auto"/>
              <w:jc w:val="left"/>
            </w:pPr>
            <w:r>
              <w:rPr>
                <w:rFonts w:ascii="Arial" w:hAnsi="Arial"/>
                <w:sz w:val="15"/>
              </w:rPr>
              <w:t xml:space="preserve">Medtronic EVP and President, Medical Surgical Portfolio (2020–24); President, Minimally Invasive Therapies; SVP Asia-Pacific. Earlier Covidien, GE Healthcare, IBM. Philips Supervisory Board (since May-2025).</w:t>
            </w:r>
          </w:p>
        </w:tc>
        <w:tc>
          <w:tcPr>
            <w:tcW w:type="dxa" w:w="2591"/>
          </w:tcPr>
          <w:p>
            <w:pPr>
              <w:pStyle w:val="Compact"/>
              <w:spacing w:after="0" w:before="0" w:line="240" w:lineRule="auto"/>
              <w:jc w:val="left"/>
            </w:pPr>
            <w:r>
              <w:rPr>
                <w:rFonts w:ascii="Arial" w:hAnsi="Arial"/>
                <w:sz w:val="15"/>
              </w:rPr>
              <w:t xml:space="preserve">Credible medtech operator. In 16 months: candid reset; ~2,000 job cuts; 3-4-5 plan; Surgical review; JPY60bn buyback. But also two guidance cuts in his first FY and an FDA Warning Letter on his watch. Professional manager, not a founder.</w:t>
            </w:r>
          </w:p>
        </w:tc>
      </w:tr>
      <w:tr>
        <w:trPr>
          <w:cantSplit/>
        </w:trPr>
        <w:tc>
          <w:tcPr>
            <w:tcW w:type="dxa" w:w="1224"/>
            <w:shd w:val="clear" w:color="auto" w:fill="F1F2F5"/>
          </w:tcPr>
          <w:p>
            <w:pPr>
              <w:pStyle w:val="Compact"/>
              <w:spacing w:after="0" w:before="0" w:line="240" w:lineRule="auto"/>
              <w:jc w:val="left"/>
            </w:pPr>
            <w:r>
              <w:rPr>
                <w:bCs/>
                <w:rFonts w:ascii="Arial" w:hAnsi="Arial"/>
                <w:b/>
                <w:sz w:val="15"/>
              </w:rPr>
              <w:t xml:space="preserve">Michael A. Parenti</w:t>
            </w:r>
          </w:p>
        </w:tc>
        <w:tc>
          <w:tcPr>
            <w:tcW w:type="dxa" w:w="2074"/>
            <w:shd w:val="clear" w:color="auto" w:fill="F1F2F5"/>
          </w:tcPr>
          <w:p>
            <w:pPr>
              <w:pStyle w:val="Compact"/>
              <w:spacing w:after="0" w:before="0" w:line="240" w:lineRule="auto"/>
              <w:jc w:val="left"/>
            </w:pPr>
            <w:r>
              <w:rPr>
                <w:rFonts w:ascii="Arial" w:hAnsi="Arial"/>
                <w:sz w:val="15"/>
              </w:rPr>
              <w:t xml:space="preserve">Executive Officer &amp; CFO</w:t>
            </w:r>
          </w:p>
        </w:tc>
        <w:tc>
          <w:tcPr>
            <w:tcW w:type="dxa" w:w="1508"/>
            <w:shd w:val="clear" w:color="auto" w:fill="F1F2F5"/>
          </w:tcPr>
          <w:p>
            <w:pPr>
              <w:pStyle w:val="Compact"/>
              <w:spacing w:after="0" w:before="0" w:line="240" w:lineRule="auto"/>
              <w:jc w:val="left"/>
            </w:pPr>
            <w:r>
              <w:rPr>
                <w:rFonts w:ascii="Arial" w:hAnsi="Arial"/>
                <w:sz w:val="15"/>
              </w:rPr>
              <w:t xml:space="preserve">1-Apr-2026</w:t>
            </w:r>
          </w:p>
        </w:tc>
        <w:tc>
          <w:tcPr>
            <w:tcW w:type="dxa" w:w="2580"/>
            <w:shd w:val="clear" w:color="auto" w:fill="F1F2F5"/>
          </w:tcPr>
          <w:p>
            <w:pPr>
              <w:pStyle w:val="Compact"/>
              <w:spacing w:after="0" w:before="0" w:line="240" w:lineRule="auto"/>
              <w:jc w:val="left"/>
            </w:pPr>
            <w:r>
              <w:rPr>
                <w:rFonts w:ascii="Arial" w:hAnsi="Arial"/>
                <w:sz w:val="15"/>
              </w:rPr>
              <w:t xml:space="preserve">J&amp;J 2001–21 (Ethicon Endo-Surgery, DePuy, M&amp;A finance; CFO J&amp;J China; CFO J&amp;J K.K. Japan); Stryker VP and Group CFO, MedSurg &amp; NeuroTech (2021–26)</w:t>
            </w:r>
          </w:p>
        </w:tc>
        <w:tc>
          <w:tcPr>
            <w:tcW w:type="dxa" w:w="2591"/>
            <w:shd w:val="clear" w:color="auto" w:fill="F1F2F5"/>
          </w:tcPr>
          <w:p>
            <w:pPr>
              <w:pStyle w:val="Compact"/>
              <w:spacing w:after="0" w:before="0" w:line="240" w:lineRule="auto"/>
              <w:jc w:val="left"/>
            </w:pPr>
            <w:r>
              <w:rPr>
                <w:rFonts w:ascii="Arial" w:hAnsi="Arial"/>
                <w:sz w:val="15"/>
              </w:rPr>
              <w:t xml:space="preserve">Strong fit: Japan experience plus US medtech M&amp;A and portfolio finance. He is the right CFO for a carve-out. The third CFO since 2020 (Takeda to Mar-24; Izumi Apr-24 to Mar-26).</w:t>
            </w:r>
          </w:p>
        </w:tc>
      </w:tr>
      <w:tr>
        <w:trPr>
          <w:cantSplit/>
        </w:trPr>
        <w:tc>
          <w:tcPr>
            <w:tcW w:type="dxa" w:w="1224"/>
          </w:tcPr>
          <w:p>
            <w:pPr>
              <w:pStyle w:val="Compact"/>
              <w:spacing w:after="0" w:before="0" w:line="240" w:lineRule="auto"/>
              <w:jc w:val="left"/>
            </w:pPr>
            <w:r>
              <w:rPr>
                <w:rFonts w:ascii="Arial" w:hAnsi="Arial"/>
                <w:sz w:val="15"/>
              </w:rPr>
              <w:t xml:space="preserve">Brian R. Barry</w:t>
            </w:r>
          </w:p>
        </w:tc>
        <w:tc>
          <w:tcPr>
            <w:tcW w:type="dxa" w:w="2074"/>
          </w:tcPr>
          <w:p>
            <w:pPr>
              <w:pStyle w:val="Compact"/>
              <w:spacing w:after="0" w:before="0" w:line="240" w:lineRule="auto"/>
              <w:jc w:val="left"/>
            </w:pPr>
            <w:r>
              <w:rPr>
                <w:rFonts w:ascii="Arial" w:hAnsi="Arial"/>
                <w:sz w:val="15"/>
              </w:rPr>
              <w:t xml:space="preserve">Executive Officer &amp; Chief Quality Officer</w:t>
            </w:r>
          </w:p>
        </w:tc>
        <w:tc>
          <w:tcPr>
            <w:tcW w:type="dxa" w:w="1508"/>
          </w:tcPr>
          <w:p>
            <w:pPr>
              <w:pStyle w:val="Compact"/>
              <w:spacing w:after="0" w:before="0" w:line="240" w:lineRule="auto"/>
              <w:jc w:val="left"/>
            </w:pPr>
            <w:r>
              <w:rPr>
                <w:rFonts w:ascii="Arial" w:hAnsi="Arial"/>
                <w:sz w:val="15"/>
              </w:rPr>
              <w:t xml:space="preserve">1-Aug-2026</w:t>
            </w:r>
          </w:p>
        </w:tc>
        <w:tc>
          <w:tcPr>
            <w:tcW w:type="dxa" w:w="2580"/>
          </w:tcPr>
          <w:p>
            <w:pPr>
              <w:pStyle w:val="Compact"/>
              <w:spacing w:after="0" w:before="0" w:line="240" w:lineRule="auto"/>
              <w:jc w:val="left"/>
            </w:pPr>
            <w:r>
              <w:rPr>
                <w:rFonts w:ascii="Arial" w:hAnsi="Arial"/>
                <w:sz w:val="15"/>
              </w:rPr>
              <w:t xml:space="preserve">40+ years in quality and regulatory: C.R. Bard, Covidien, Medtronic Group VP Quality &amp; Regulatory</w:t>
            </w:r>
          </w:p>
        </w:tc>
        <w:tc>
          <w:tcPr>
            <w:tcW w:type="dxa" w:w="2591"/>
          </w:tcPr>
          <w:p>
            <w:pPr>
              <w:pStyle w:val="Compact"/>
              <w:spacing w:after="0" w:before="0" w:line="240" w:lineRule="auto"/>
              <w:jc w:val="left"/>
            </w:pPr>
            <w:r>
              <w:rPr>
                <w:bCs/>
                <w:rFonts w:ascii="Arial" w:hAnsi="Arial"/>
                <w:b/>
                <w:sz w:val="15"/>
              </w:rPr>
              <w:t xml:space="preserve">The third CQO since Apr-2024.</w:t>
            </w:r>
            <w:r>
              <w:rPr>
                <w:rFonts w:ascii="Arial" w:hAnsi="Arial"/>
                <w:sz w:val="15"/>
              </w:rPr>
              <w:t xml:space="preserve"> </w:t>
            </w:r>
            <w:r>
              <w:rPr>
                <w:rFonts w:ascii="Arial" w:hAnsi="Arial"/>
                <w:sz w:val="15"/>
              </w:rPr>
              <w:t xml:space="preserve">He arrived 10 weeks before the Warning Letter, so the response is his first test.</w:t>
            </w:r>
          </w:p>
        </w:tc>
      </w:tr>
      <w:tr>
        <w:trPr>
          <w:cantSplit/>
        </w:trPr>
        <w:tc>
          <w:tcPr>
            <w:tcW w:type="dxa" w:w="1224"/>
            <w:shd w:val="clear" w:color="auto" w:fill="F1F2F5"/>
          </w:tcPr>
          <w:p>
            <w:pPr>
              <w:pStyle w:val="Compact"/>
              <w:spacing w:after="0" w:before="0" w:line="240" w:lineRule="auto"/>
              <w:jc w:val="left"/>
            </w:pPr>
            <w:r>
              <w:rPr>
                <w:rFonts w:ascii="Arial" w:hAnsi="Arial"/>
                <w:sz w:val="15"/>
              </w:rPr>
              <w:t xml:space="preserve">Keith Boettiger</w:t>
            </w:r>
          </w:p>
        </w:tc>
        <w:tc>
          <w:tcPr>
            <w:tcW w:type="dxa" w:w="2074"/>
            <w:shd w:val="clear" w:color="auto" w:fill="F1F2F5"/>
          </w:tcPr>
          <w:p>
            <w:pPr>
              <w:pStyle w:val="Compact"/>
              <w:spacing w:after="0" w:before="0" w:line="240" w:lineRule="auto"/>
              <w:jc w:val="left"/>
            </w:pPr>
            <w:r>
              <w:rPr>
                <w:rFonts w:ascii="Arial" w:hAnsi="Arial"/>
                <w:sz w:val="15"/>
              </w:rPr>
              <w:t xml:space="preserve">Executive Officer, GIS Division Head</w:t>
            </w:r>
          </w:p>
        </w:tc>
        <w:tc>
          <w:tcPr>
            <w:tcW w:type="dxa" w:w="1508"/>
            <w:shd w:val="clear" w:color="auto" w:fill="F1F2F5"/>
          </w:tcPr>
          <w:p>
            <w:pPr>
              <w:pStyle w:val="Compact"/>
              <w:spacing w:after="0" w:before="0" w:line="240" w:lineRule="auto"/>
              <w:jc w:val="left"/>
            </w:pPr>
            <w:r>
              <w:rPr>
                <w:rFonts w:ascii="Arial" w:hAnsi="Arial"/>
                <w:sz w:val="15"/>
              </w:rPr>
              <w:t xml:space="preserve">Joined Apr-2025</w:t>
            </w:r>
          </w:p>
        </w:tc>
        <w:tc>
          <w:tcPr>
            <w:tcW w:type="dxa" w:w="2580"/>
            <w:shd w:val="clear" w:color="auto" w:fill="F1F2F5"/>
          </w:tcPr>
          <w:p>
            <w:pPr>
              <w:pStyle w:val="Compact"/>
              <w:spacing w:after="0" w:before="0" w:line="240" w:lineRule="auto"/>
              <w:jc w:val="left"/>
            </w:pPr>
            <w:r>
              <w:rPr>
                <w:rFonts w:ascii="Arial" w:hAnsi="Arial"/>
                <w:sz w:val="15"/>
              </w:rPr>
              <w:t xml:space="preserve">Sales, R&amp;D, regulatory [u on prior employer]</w:t>
            </w:r>
          </w:p>
        </w:tc>
        <w:tc>
          <w:tcPr>
            <w:tcW w:type="dxa" w:w="2591"/>
            <w:shd w:val="clear" w:color="auto" w:fill="F1F2F5"/>
          </w:tcPr>
          <w:p>
            <w:pPr>
              <w:pStyle w:val="Compact"/>
              <w:spacing w:after="0" w:before="0" w:line="240" w:lineRule="auto"/>
              <w:jc w:val="left"/>
            </w:pPr>
            <w:r>
              <w:rPr>
                <w:rFonts w:ascii="Arial" w:hAnsi="Arial"/>
                <w:sz w:val="15"/>
              </w:rPr>
              <w:t xml:space="preserve">Called the FY3/26 US miss</w:t>
            </w:r>
            <w:r>
              <w:rPr>
                <w:rFonts w:ascii="Arial" w:hAnsi="Arial"/>
                <w:sz w:val="15"/>
              </w:rPr>
              <w:t xml:space="preserve"> </w:t>
            </w:r>
            <w:r>
              <w:rPr>
                <w:rFonts w:ascii="Arial" w:hAnsi="Arial"/>
                <w:sz w:val="15"/>
              </w:rPr>
              <w:t xml:space="preserve">“</w:t>
            </w:r>
            <w:r>
              <w:rPr>
                <w:rFonts w:ascii="Arial" w:hAnsi="Arial"/>
                <w:sz w:val="15"/>
              </w:rPr>
              <w:t xml:space="preserve">clearly an execution issue</w:t>
            </w:r>
            <w:r>
              <w:rPr>
                <w:rFonts w:ascii="Arial" w:hAnsi="Arial"/>
                <w:sz w:val="15"/>
              </w:rPr>
              <w:t xml:space="preserve">”</w:t>
            </w:r>
            <w:r>
              <w:rPr>
                <w:rFonts w:ascii="Arial" w:hAnsi="Arial"/>
                <w:sz w:val="15"/>
              </w:rPr>
              <w:t xml:space="preserve">. 4Q and 1Q have since rebounded.</w:t>
            </w:r>
          </w:p>
        </w:tc>
      </w:tr>
      <w:tr>
        <w:trPr>
          <w:cantSplit/>
        </w:trPr>
        <w:tc>
          <w:tcPr>
            <w:tcW w:type="dxa" w:w="1224"/>
          </w:tcPr>
          <w:p>
            <w:pPr>
              <w:pStyle w:val="Compact"/>
              <w:spacing w:after="0" w:before="0" w:line="240" w:lineRule="auto"/>
              <w:jc w:val="left"/>
            </w:pPr>
            <w:r>
              <w:rPr>
                <w:rFonts w:ascii="Arial" w:hAnsi="Arial"/>
                <w:sz w:val="15"/>
              </w:rPr>
              <w:t xml:space="preserve">Seiji Kuramoto</w:t>
            </w:r>
          </w:p>
        </w:tc>
        <w:tc>
          <w:tcPr>
            <w:tcW w:type="dxa" w:w="2074"/>
          </w:tcPr>
          <w:p>
            <w:pPr>
              <w:pStyle w:val="Compact"/>
              <w:spacing w:after="0" w:before="0" w:line="240" w:lineRule="auto"/>
              <w:jc w:val="left"/>
            </w:pPr>
            <w:r>
              <w:rPr>
                <w:rFonts w:ascii="Arial" w:hAnsi="Arial"/>
                <w:sz w:val="15"/>
              </w:rPr>
              <w:t xml:space="preserve">Executive Officer, SIS Division Head</w:t>
            </w:r>
          </w:p>
        </w:tc>
        <w:tc>
          <w:tcPr>
            <w:tcW w:type="dxa" w:w="1508"/>
          </w:tcPr>
          <w:p>
            <w:pPr>
              <w:pStyle w:val="Compact"/>
              <w:spacing w:after="0" w:before="0" w:line="240" w:lineRule="auto"/>
              <w:jc w:val="left"/>
            </w:pPr>
            <w:r>
              <w:rPr>
                <w:rFonts w:ascii="Arial" w:hAnsi="Arial"/>
                <w:sz w:val="15"/>
              </w:rPr>
              <w:t xml:space="preserve">Apr-2025 (TSD Head from Apr-2024)</w:t>
            </w:r>
          </w:p>
        </w:tc>
        <w:tc>
          <w:tcPr>
            <w:tcW w:type="dxa" w:w="2580"/>
          </w:tcPr>
          <w:p>
            <w:pPr>
              <w:pStyle w:val="Compact"/>
              <w:spacing w:after="0" w:before="0" w:line="240" w:lineRule="auto"/>
              <w:jc w:val="left"/>
            </w:pPr>
            <w:r>
              <w:rPr>
                <w:rFonts w:ascii="Arial" w:hAnsi="Arial"/>
                <w:sz w:val="15"/>
              </w:rPr>
              <w:t xml:space="preserve">Career Olympus (1988); ex-EVP of Sony Olympus Medical Solutions</w:t>
            </w:r>
          </w:p>
        </w:tc>
        <w:tc>
          <w:tcPr>
            <w:tcW w:type="dxa" w:w="2591"/>
          </w:tcPr>
          <w:p>
            <w:pPr>
              <w:pStyle w:val="Compact"/>
              <w:spacing w:after="0" w:before="0" w:line="240" w:lineRule="auto"/>
              <w:jc w:val="left"/>
            </w:pPr>
            <w:r>
              <w:rPr>
                <w:rFonts w:ascii="Arial" w:hAnsi="Arial"/>
                <w:sz w:val="15"/>
              </w:rPr>
              <w:t xml:space="preserve">Runs the division with the ship-holds and the strategic review. The only Japanese executive officer.</w:t>
            </w:r>
          </w:p>
        </w:tc>
      </w:tr>
      <w:tr>
        <w:trPr>
          <w:cantSplit/>
        </w:trPr>
        <w:tc>
          <w:tcPr>
            <w:tcW w:type="dxa" w:w="1224"/>
            <w:shd w:val="clear" w:color="auto" w:fill="F1F2F5"/>
          </w:tcPr>
          <w:p>
            <w:pPr>
              <w:pStyle w:val="Compact"/>
              <w:spacing w:after="0" w:before="0" w:line="240" w:lineRule="auto"/>
              <w:jc w:val="left"/>
            </w:pPr>
            <w:r>
              <w:rPr>
                <w:rFonts w:ascii="Arial" w:hAnsi="Arial"/>
                <w:sz w:val="15"/>
              </w:rPr>
              <w:t xml:space="preserve">Syed Naveed</w:t>
            </w:r>
          </w:p>
        </w:tc>
        <w:tc>
          <w:tcPr>
            <w:tcW w:type="dxa" w:w="2074"/>
            <w:shd w:val="clear" w:color="auto" w:fill="F1F2F5"/>
          </w:tcPr>
          <w:p>
            <w:pPr>
              <w:pStyle w:val="Compact"/>
              <w:spacing w:after="0" w:before="0" w:line="240" w:lineRule="auto"/>
              <w:jc w:val="left"/>
            </w:pPr>
            <w:r>
              <w:rPr>
                <w:rFonts w:ascii="Arial" w:hAnsi="Arial"/>
                <w:sz w:val="15"/>
              </w:rPr>
              <w:t xml:space="preserve">Executive Officer &amp; CTO</w:t>
            </w:r>
          </w:p>
        </w:tc>
        <w:tc>
          <w:tcPr>
            <w:tcW w:type="dxa" w:w="1508"/>
            <w:shd w:val="clear" w:color="auto" w:fill="F1F2F5"/>
          </w:tcPr>
          <w:p>
            <w:pPr>
              <w:pStyle w:val="Compact"/>
              <w:spacing w:after="0" w:before="0" w:line="240" w:lineRule="auto"/>
              <w:jc w:val="left"/>
            </w:pPr>
            <w:r>
              <w:rPr>
                <w:rFonts w:ascii="Arial" w:hAnsi="Arial"/>
                <w:sz w:val="15"/>
              </w:rPr>
              <w:t xml:space="preserve">Apr-2025</w:t>
            </w:r>
          </w:p>
        </w:tc>
        <w:tc>
          <w:tcPr>
            <w:tcW w:type="dxa" w:w="2580"/>
            <w:shd w:val="clear" w:color="auto" w:fill="F1F2F5"/>
          </w:tcPr>
          <w:p>
            <w:pPr>
              <w:pStyle w:val="Compact"/>
              <w:spacing w:after="0" w:before="0" w:line="240" w:lineRule="auto"/>
              <w:jc w:val="left"/>
            </w:pPr>
            <w:r>
              <w:rPr>
                <w:rFonts w:ascii="Arial" w:hAnsi="Arial"/>
                <w:sz w:val="15"/>
              </w:rPr>
              <w:t xml:space="preserve">Boston Scientific endoscopy R&amp;D; BD urology R&amp;D</w:t>
            </w:r>
          </w:p>
        </w:tc>
        <w:tc>
          <w:tcPr>
            <w:tcW w:type="dxa" w:w="2591"/>
            <w:shd w:val="clear" w:color="auto" w:fill="F1F2F5"/>
          </w:tcPr>
          <w:p>
            <w:pPr>
              <w:pStyle w:val="Compact"/>
              <w:spacing w:after="0" w:before="0" w:line="240" w:lineRule="auto"/>
            </w:pPr>
          </w:p>
        </w:tc>
      </w:tr>
      <w:tr>
        <w:trPr>
          <w:cantSplit/>
        </w:trPr>
        <w:tc>
          <w:tcPr>
            <w:tcW w:type="dxa" w:w="1224"/>
          </w:tcPr>
          <w:p>
            <w:pPr>
              <w:pStyle w:val="Compact"/>
              <w:spacing w:after="0" w:before="0" w:line="240" w:lineRule="auto"/>
              <w:jc w:val="left"/>
            </w:pPr>
            <w:r>
              <w:rPr>
                <w:rFonts w:ascii="Arial" w:hAnsi="Arial"/>
                <w:sz w:val="15"/>
              </w:rPr>
              <w:t xml:space="preserve">David Shan</w:t>
            </w:r>
          </w:p>
        </w:tc>
        <w:tc>
          <w:tcPr>
            <w:tcW w:type="dxa" w:w="2074"/>
          </w:tcPr>
          <w:p>
            <w:pPr>
              <w:pStyle w:val="Compact"/>
              <w:spacing w:after="0" w:before="0" w:line="240" w:lineRule="auto"/>
              <w:jc w:val="left"/>
            </w:pPr>
            <w:r>
              <w:rPr>
                <w:rFonts w:ascii="Arial" w:hAnsi="Arial"/>
                <w:sz w:val="15"/>
              </w:rPr>
              <w:t xml:space="preserve">Executive Officer &amp; Chief Manufacturing &amp; Supply Officer</w:t>
            </w:r>
          </w:p>
        </w:tc>
        <w:tc>
          <w:tcPr>
            <w:tcW w:type="dxa" w:w="1508"/>
          </w:tcPr>
          <w:p>
            <w:pPr>
              <w:pStyle w:val="Compact"/>
              <w:spacing w:after="0" w:before="0" w:line="240" w:lineRule="auto"/>
              <w:jc w:val="left"/>
            </w:pPr>
            <w:r>
              <w:rPr>
                <w:rFonts w:ascii="Arial" w:hAnsi="Arial"/>
                <w:sz w:val="15"/>
              </w:rPr>
              <w:t xml:space="preserve">Apr-2026</w:t>
            </w:r>
          </w:p>
        </w:tc>
        <w:tc>
          <w:tcPr>
            <w:tcW w:type="dxa" w:w="2580"/>
          </w:tcPr>
          <w:p>
            <w:pPr>
              <w:pStyle w:val="Compact"/>
              <w:spacing w:after="0" w:before="0" w:line="240" w:lineRule="auto"/>
              <w:jc w:val="left"/>
            </w:pPr>
            <w:r>
              <w:rPr>
                <w:rFonts w:ascii="Arial" w:hAnsi="Arial"/>
                <w:sz w:val="15"/>
              </w:rPr>
              <w:t xml:space="preserve">BD EVP and CQO, then Chief Supply Chain Officer; 3M</w:t>
            </w:r>
          </w:p>
        </w:tc>
        <w:tc>
          <w:tcPr>
            <w:tcW w:type="dxa" w:w="2591"/>
          </w:tcPr>
          <w:p>
            <w:pPr>
              <w:pStyle w:val="Compact"/>
              <w:spacing w:after="0" w:before="0" w:line="240" w:lineRule="auto"/>
              <w:jc w:val="left"/>
            </w:pPr>
            <w:r>
              <w:rPr>
                <w:rFonts w:ascii="Arial" w:hAnsi="Arial"/>
                <w:sz w:val="15"/>
              </w:rPr>
              <w:t xml:space="preserve">Key to FDA remediation at the plants</w:t>
            </w:r>
          </w:p>
        </w:tc>
      </w:tr>
    </w:tbl>
    <w:p>
      <w:pPr>
        <w:pStyle w:val="BodyText"/>
      </w:pPr>
      <w:r>
        <w:rPr>
          <w:bCs/>
          <w:b/>
        </w:rPr>
        <w:t xml:space="preserve">Tenure and ownership.</w:t>
      </w:r>
    </w:p>
    <w:p>
      <w:pPr>
        <w:numPr>
          <w:ilvl w:val="0"/>
          <w:numId w:val="1034"/>
        </w:numPr>
        <w:pStyle w:val="Compact"/>
      </w:pPr>
      <w:r>
        <w:t xml:space="preserve">Every executive officer except Kuramoto is an external, largely US/EU, hire. Eight of the eleven joined in 2023 or later.</w:t>
      </w:r>
    </w:p>
    <w:p>
      <w:pPr>
        <w:numPr>
          <w:ilvl w:val="0"/>
          <w:numId w:val="1034"/>
        </w:numPr>
        <w:pStyle w:val="Compact"/>
      </w:pPr>
      <w:r>
        <w:t xml:space="preserve">Personal shareholdings are small, believed to be &lt;0.01% each [u: the yuho table was not retrievable], and consist mainly of RSU/PSU-delivered stock.</w:t>
      </w:r>
    </w:p>
    <w:p>
      <w:pPr>
        <w:numPr>
          <w:ilvl w:val="0"/>
          <w:numId w:val="1034"/>
        </w:numPr>
        <w:pStyle w:val="Compact"/>
      </w:pPr>
      <w:r>
        <w:t xml:space="preserve">Dilutive instruments at Dec-2025: 1.24m RSUs, 0.69m PSUs and 0.20m options.</w:t>
      </w:r>
    </w:p>
    <w:p>
      <w:pPr>
        <w:numPr>
          <w:ilvl w:val="0"/>
          <w:numId w:val="1034"/>
        </w:numPr>
        <w:pStyle w:val="Compact"/>
      </w:pPr>
      <w:r>
        <w:rPr>
          <w:bCs/>
          <w:b/>
        </w:rPr>
        <w:t xml:space="preserve">This is a professional-manager company with no founder or family owner.</w:t>
      </w:r>
      <w:r>
        <w:t xml:space="preserve"> </w:t>
      </w:r>
      <w:r>
        <w:t xml:space="preserve">Alignment comes from the LTI design and from an independent, shareholder-influenced board, not from equity ownership.</w:t>
      </w:r>
    </w:p>
    <w:bookmarkEnd w:id="106"/>
    <w:bookmarkStart w:id="110" w:name="X7f3630e5a14c9aa1722dbdbfa245d6df679c9d2"/>
    <w:p>
      <w:pPr>
        <w:pStyle w:val="Heading2"/>
      </w:pPr>
      <w:r>
        <w:t xml:space="preserve">Capital allocation and returns under each CEO</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248"/>
        <w:gridCol w:w="2453"/>
        <w:gridCol w:w="4327"/>
        <w:gridCol w:w="1949"/>
      </w:tblGrid>
      <w:tr>
        <w:trPr>
          <w:tblHeader w:val="true"/>
          <w:tblHeader w:val="true"/>
          <w:cantSplit/>
        </w:trPr>
        <w:tc>
          <w:tcPr>
            <w:tcW w:type="dxa" w:w="1248"/>
            <w:shd w:val="clear" w:color="auto" w:fill="13213F"/>
          </w:tcPr>
          <w:p>
            <w:pPr>
              <w:pStyle w:val="Compact"/>
              <w:spacing w:after="0" w:before="0" w:line="240" w:lineRule="auto"/>
              <w:jc w:val="left"/>
            </w:pPr>
            <w:r>
              <w:rPr>
                <w:rFonts w:ascii="Arial" w:hAnsi="Arial"/>
                <w:b/>
                <w:color w:val="FFFFFF"/>
                <w:sz w:val="15"/>
              </w:rPr>
              <w:t xml:space="preserve">CEO</w:t>
            </w:r>
          </w:p>
        </w:tc>
        <w:tc>
          <w:tcPr>
            <w:tcW w:type="dxa" w:w="2453"/>
            <w:shd w:val="clear" w:color="auto" w:fill="13213F"/>
          </w:tcPr>
          <w:p>
            <w:pPr>
              <w:pStyle w:val="Compact"/>
              <w:spacing w:after="0" w:before="0" w:line="240" w:lineRule="auto"/>
              <w:jc w:val="left"/>
            </w:pPr>
            <w:r>
              <w:rPr>
                <w:rFonts w:ascii="Arial" w:hAnsi="Arial"/>
                <w:b/>
                <w:color w:val="FFFFFF"/>
                <w:sz w:val="15"/>
              </w:rPr>
              <w:t xml:space="preserve">Tenure</w:t>
            </w:r>
          </w:p>
        </w:tc>
        <w:tc>
          <w:tcPr>
            <w:tcW w:type="dxa" w:w="4327"/>
            <w:shd w:val="clear" w:color="auto" w:fill="13213F"/>
          </w:tcPr>
          <w:p>
            <w:pPr>
              <w:pStyle w:val="Compact"/>
              <w:spacing w:after="0" w:before="0" w:line="240" w:lineRule="auto"/>
              <w:jc w:val="left"/>
            </w:pPr>
            <w:r>
              <w:rPr>
                <w:rFonts w:ascii="Arial" w:hAnsi="Arial"/>
                <w:b/>
                <w:color w:val="FFFFFF"/>
                <w:sz w:val="15"/>
              </w:rPr>
              <w:t xml:space="preserve">Key decisions</w:t>
            </w:r>
          </w:p>
        </w:tc>
        <w:tc>
          <w:tcPr>
            <w:tcW w:type="dxa" w:w="1949"/>
            <w:shd w:val="clear" w:color="auto" w:fill="13213F"/>
          </w:tcPr>
          <w:p>
            <w:pPr>
              <w:pStyle w:val="Compact"/>
              <w:spacing w:after="0" w:before="0" w:line="240" w:lineRule="auto"/>
              <w:jc w:val="left"/>
            </w:pPr>
            <w:r>
              <w:rPr>
                <w:rFonts w:ascii="Arial" w:hAnsi="Arial"/>
                <w:b/>
                <w:color w:val="FFFFFF"/>
                <w:sz w:val="15"/>
              </w:rPr>
              <w:t xml:space="preserve">Avg ROE / ROIC [e]</w:t>
            </w:r>
          </w:p>
        </w:tc>
      </w:tr>
      <w:tr>
        <w:trPr>
          <w:cantSplit/>
        </w:trPr>
        <w:tc>
          <w:tcPr>
            <w:tcW w:type="dxa" w:w="1248"/>
          </w:tcPr>
          <w:p>
            <w:pPr>
              <w:pStyle w:val="Compact"/>
              <w:spacing w:after="0" w:before="0" w:line="240" w:lineRule="auto"/>
              <w:jc w:val="left"/>
            </w:pPr>
            <w:r>
              <w:rPr>
                <w:rFonts w:ascii="Arial" w:hAnsi="Arial"/>
                <w:sz w:val="15"/>
              </w:rPr>
              <w:t xml:space="preserve">Hiroyuki Sasa</w:t>
            </w:r>
          </w:p>
        </w:tc>
        <w:tc>
          <w:tcPr>
            <w:tcW w:type="dxa" w:w="2453"/>
          </w:tcPr>
          <w:p>
            <w:pPr>
              <w:pStyle w:val="Compact"/>
              <w:spacing w:after="0" w:before="0" w:line="240" w:lineRule="auto"/>
              <w:jc w:val="left"/>
            </w:pPr>
            <w:r>
              <w:rPr>
                <w:rFonts w:ascii="Arial" w:hAnsi="Arial"/>
                <w:sz w:val="15"/>
              </w:rPr>
              <w:t xml:space="preserve">Apr-2012 to Mar-2019</w:t>
            </w:r>
          </w:p>
        </w:tc>
        <w:tc>
          <w:tcPr>
            <w:tcW w:type="dxa" w:w="4327"/>
          </w:tcPr>
          <w:p>
            <w:pPr>
              <w:pStyle w:val="Compact"/>
              <w:spacing w:after="0" w:before="0" w:line="240" w:lineRule="auto"/>
              <w:jc w:val="left"/>
            </w:pPr>
            <w:r>
              <w:rPr>
                <w:rFonts w:ascii="Arial" w:hAnsi="Arial"/>
                <w:sz w:val="15"/>
              </w:rPr>
              <w:t xml:space="preserve">Post-scandal recapitalisation; Sony alliance (2012); medical refocus</w:t>
            </w:r>
          </w:p>
        </w:tc>
        <w:tc>
          <w:tcPr>
            <w:tcW w:type="dxa" w:w="1949"/>
          </w:tcPr>
          <w:p>
            <w:pPr>
              <w:pStyle w:val="Compact"/>
              <w:spacing w:after="0" w:before="0" w:line="240" w:lineRule="auto"/>
              <w:jc w:val="left"/>
            </w:pPr>
            <w:r>
              <w:rPr>
                <w:rFonts w:ascii="Arial" w:hAnsi="Arial"/>
                <w:sz w:val="15"/>
              </w:rPr>
              <w:t xml:space="preserve">8.9% / 10.6%</w:t>
            </w:r>
          </w:p>
        </w:tc>
      </w:tr>
      <w:tr>
        <w:trPr>
          <w:cantSplit/>
        </w:trPr>
        <w:tc>
          <w:tcPr>
            <w:tcW w:type="dxa" w:w="1248"/>
            <w:shd w:val="clear" w:color="auto" w:fill="F1F2F5"/>
          </w:tcPr>
          <w:p>
            <w:pPr>
              <w:pStyle w:val="Compact"/>
              <w:spacing w:after="0" w:before="0" w:line="240" w:lineRule="auto"/>
              <w:jc w:val="left"/>
            </w:pPr>
            <w:r>
              <w:rPr>
                <w:rFonts w:ascii="Arial" w:hAnsi="Arial"/>
                <w:sz w:val="15"/>
              </w:rPr>
              <w:t xml:space="preserve">Yasuo Takeuchi</w:t>
            </w:r>
          </w:p>
        </w:tc>
        <w:tc>
          <w:tcPr>
            <w:tcW w:type="dxa" w:w="2453"/>
            <w:shd w:val="clear" w:color="auto" w:fill="F1F2F5"/>
          </w:tcPr>
          <w:p>
            <w:pPr>
              <w:pStyle w:val="Compact"/>
              <w:spacing w:after="0" w:before="0" w:line="240" w:lineRule="auto"/>
              <w:jc w:val="left"/>
            </w:pPr>
            <w:r>
              <w:rPr>
                <w:rFonts w:ascii="Arial" w:hAnsi="Arial"/>
                <w:sz w:val="15"/>
              </w:rPr>
              <w:t xml:space="preserve">Apr-2019 to Mar-2023 (Executive Chair to Mar-2026; interim CEO Oct-24 to May-25)</w:t>
            </w:r>
          </w:p>
        </w:tc>
        <w:tc>
          <w:tcPr>
            <w:tcW w:type="dxa" w:w="4327"/>
            <w:shd w:val="clear" w:color="auto" w:fill="F1F2F5"/>
          </w:tcPr>
          <w:p>
            <w:pPr>
              <w:pStyle w:val="Compact"/>
              <w:spacing w:after="0" w:before="0" w:line="240" w:lineRule="auto"/>
              <w:jc w:val="left"/>
            </w:pPr>
            <w:r>
              <w:rPr>
                <w:rFonts w:ascii="Arial" w:hAnsi="Arial"/>
                <w:sz w:val="15"/>
              </w:rPr>
              <w:t xml:space="preserve">“</w:t>
            </w:r>
            <w:r>
              <w:rPr>
                <w:rFonts w:ascii="Arial" w:hAnsi="Arial"/>
                <w:sz w:val="15"/>
              </w:rPr>
              <w:t xml:space="preserve">Transform Olympus</w:t>
            </w:r>
            <w:r>
              <w:rPr>
                <w:rFonts w:ascii="Arial" w:hAnsi="Arial"/>
                <w:sz w:val="15"/>
              </w:rPr>
              <w:t xml:space="preserve">”</w:t>
            </w:r>
            <w:r>
              <w:rPr>
                <w:rFonts w:ascii="Arial" w:hAnsi="Arial"/>
                <w:sz w:val="15"/>
              </w:rPr>
              <w:t xml:space="preserve"> </w:t>
            </w:r>
            <w:r>
              <w:rPr>
                <w:rFonts w:ascii="Arial" w:hAnsi="Arial"/>
                <w:sz w:val="15"/>
              </w:rPr>
              <w:t xml:space="preserve">with ValueAct; cameras sold to JIP; Evident sold to Bain (~JPY430bn); buybacks; FDA problems emerge (2022–23 warning letters)</w:t>
            </w:r>
          </w:p>
        </w:tc>
        <w:tc>
          <w:tcPr>
            <w:tcW w:type="dxa" w:w="1949"/>
            <w:shd w:val="clear" w:color="auto" w:fill="F1F2F5"/>
          </w:tcPr>
          <w:p>
            <w:pPr>
              <w:pStyle w:val="Compact"/>
              <w:spacing w:after="0" w:before="0" w:line="240" w:lineRule="auto"/>
              <w:jc w:val="left"/>
            </w:pPr>
            <w:r>
              <w:rPr>
                <w:bCs/>
                <w:rFonts w:ascii="Arial" w:hAnsi="Arial"/>
                <w:b/>
                <w:sz w:val="15"/>
              </w:rPr>
              <w:t xml:space="preserve">16.6% / 16.8%</w:t>
            </w:r>
            <w:r>
              <w:rPr>
                <w:rFonts w:ascii="Arial" w:hAnsi="Arial"/>
                <w:sz w:val="15"/>
              </w:rPr>
              <w:t xml:space="preserve"> </w:t>
            </w:r>
            <w:r>
              <w:rPr>
                <w:rFonts w:ascii="Arial" w:hAnsi="Arial"/>
                <w:sz w:val="15"/>
              </w:rPr>
              <w:t xml:space="preserve">(peak ROIC 23.1%, FY3/22)</w:t>
            </w:r>
          </w:p>
        </w:tc>
      </w:tr>
      <w:tr>
        <w:trPr>
          <w:cantSplit/>
        </w:trPr>
        <w:tc>
          <w:tcPr>
            <w:tcW w:type="dxa" w:w="1248"/>
          </w:tcPr>
          <w:p>
            <w:pPr>
              <w:pStyle w:val="Compact"/>
              <w:spacing w:after="0" w:before="0" w:line="240" w:lineRule="auto"/>
              <w:jc w:val="left"/>
            </w:pPr>
            <w:r>
              <w:rPr>
                <w:rFonts w:ascii="Arial" w:hAnsi="Arial"/>
                <w:sz w:val="15"/>
              </w:rPr>
              <w:t xml:space="preserve">Stefan Kaufmann</w:t>
            </w:r>
          </w:p>
        </w:tc>
        <w:tc>
          <w:tcPr>
            <w:tcW w:type="dxa" w:w="2453"/>
          </w:tcPr>
          <w:p>
            <w:pPr>
              <w:pStyle w:val="Compact"/>
              <w:spacing w:after="0" w:before="0" w:line="240" w:lineRule="auto"/>
              <w:jc w:val="left"/>
            </w:pPr>
            <w:r>
              <w:rPr>
                <w:rFonts w:ascii="Arial" w:hAnsi="Arial"/>
                <w:sz w:val="15"/>
              </w:rPr>
              <w:t xml:space="preserve">Apr-2023 to Oct-2024</w:t>
            </w:r>
          </w:p>
        </w:tc>
        <w:tc>
          <w:tcPr>
            <w:tcW w:type="dxa" w:w="4327"/>
          </w:tcPr>
          <w:p>
            <w:pPr>
              <w:pStyle w:val="Compact"/>
              <w:spacing w:after="0" w:before="0" w:line="240" w:lineRule="auto"/>
              <w:jc w:val="left"/>
            </w:pPr>
            <w:r>
              <w:rPr>
                <w:rFonts w:ascii="Arial" w:hAnsi="Arial"/>
                <w:sz w:val="15"/>
              </w:rPr>
              <w:t xml:space="preserve">Veran exit (JPY52bn loss); Taewoong rescinded; JPY280bn of buybacks at ~JPY2,200; resigned over an illegal-drug allegation (suspended sentence, Dec-2024)</w:t>
            </w:r>
          </w:p>
        </w:tc>
        <w:tc>
          <w:tcPr>
            <w:tcW w:type="dxa" w:w="1949"/>
          </w:tcPr>
          <w:p>
            <w:pPr>
              <w:pStyle w:val="Compact"/>
              <w:spacing w:after="0" w:before="0" w:line="240" w:lineRule="auto"/>
              <w:jc w:val="left"/>
            </w:pPr>
            <w:r>
              <w:rPr>
                <w:rFonts w:ascii="Arial" w:hAnsi="Arial"/>
                <w:sz w:val="15"/>
              </w:rPr>
              <w:t xml:space="preserve">25.2% (inflated by the Evident gain) / 14.2%</w:t>
            </w:r>
          </w:p>
        </w:tc>
      </w:tr>
      <w:tr>
        <w:trPr>
          <w:cantSplit/>
        </w:trPr>
        <w:tc>
          <w:tcPr>
            <w:tcW w:type="dxa" w:w="1248"/>
            <w:shd w:val="clear" w:color="auto" w:fill="F1F2F5"/>
          </w:tcPr>
          <w:p>
            <w:pPr>
              <w:pStyle w:val="Compact"/>
              <w:spacing w:after="0" w:before="0" w:line="240" w:lineRule="auto"/>
              <w:jc w:val="left"/>
            </w:pPr>
            <w:r>
              <w:rPr>
                <w:rFonts w:ascii="Arial" w:hAnsi="Arial"/>
                <w:sz w:val="15"/>
              </w:rPr>
              <w:t xml:space="preserve">Bob White</w:t>
            </w:r>
          </w:p>
        </w:tc>
        <w:tc>
          <w:tcPr>
            <w:tcW w:type="dxa" w:w="2453"/>
            <w:shd w:val="clear" w:color="auto" w:fill="F1F2F5"/>
          </w:tcPr>
          <w:p>
            <w:pPr>
              <w:pStyle w:val="Compact"/>
              <w:spacing w:after="0" w:before="0" w:line="240" w:lineRule="auto"/>
              <w:jc w:val="left"/>
            </w:pPr>
            <w:r>
              <w:rPr>
                <w:rFonts w:ascii="Arial" w:hAnsi="Arial"/>
                <w:sz w:val="15"/>
              </w:rPr>
              <w:t xml:space="preserve">Jun-2025 to date</w:t>
            </w:r>
          </w:p>
        </w:tc>
        <w:tc>
          <w:tcPr>
            <w:tcW w:type="dxa" w:w="4327"/>
            <w:shd w:val="clear" w:color="auto" w:fill="F1F2F5"/>
          </w:tcPr>
          <w:p>
            <w:pPr>
              <w:pStyle w:val="Compact"/>
              <w:spacing w:after="0" w:before="0" w:line="240" w:lineRule="auto"/>
              <w:jc w:val="left"/>
            </w:pPr>
            <w:r>
              <w:rPr>
                <w:rFonts w:ascii="Arial" w:hAnsi="Arial"/>
                <w:sz w:val="15"/>
              </w:rPr>
              <w:t xml:space="preserve">Cost reset; 3-4-5 plan; Surgical review; BioProtect (US$270m); JPY60bn ToSTNeT-3 buyback at JPY1,540</w:t>
            </w:r>
          </w:p>
        </w:tc>
        <w:tc>
          <w:tcPr>
            <w:tcW w:type="dxa" w:w="1949"/>
            <w:shd w:val="clear" w:color="auto" w:fill="F1F2F5"/>
          </w:tcPr>
          <w:p>
            <w:pPr>
              <w:pStyle w:val="Compact"/>
              <w:spacing w:after="0" w:before="0" w:line="240" w:lineRule="auto"/>
              <w:jc w:val="left"/>
            </w:pPr>
            <w:r>
              <w:rPr>
                <w:rFonts w:ascii="Arial" w:hAnsi="Arial"/>
                <w:sz w:val="15"/>
              </w:rPr>
              <w:t xml:space="preserve">8.7% / 12.5% (FY3/26 only)</w:t>
            </w:r>
          </w:p>
        </w:tc>
      </w:tr>
    </w:tbl>
    <w:p>
      <w:pPr>
        <w:pStyle w:val="CaptionedFigure"/>
      </w:pPr>
      <w:r>
        <w:drawing>
          <wp:inline>
            <wp:extent cx="6261100" cy="2428504"/>
            <wp:effectExtent b="0" l="0" r="0" t="0"/>
            <wp:docPr descr="ROE and ROIC by fiscal year and CEO" title="" id="108" name="Picture"/>
            <a:graphic>
              <a:graphicData uri="http://schemas.openxmlformats.org/drawingml/2006/picture">
                <pic:pic>
                  <pic:nvPicPr>
                    <pic:cNvPr descr="../charts/returns.png" id="109" name="Picture"/>
                    <pic:cNvPicPr>
                      <a:picLocks noChangeArrowheads="1" noChangeAspect="1"/>
                    </pic:cNvPicPr>
                  </pic:nvPicPr>
                  <pic:blipFill>
                    <a:blip r:embed="rId107"/>
                    <a:stretch>
                      <a:fillRect/>
                    </a:stretch>
                  </pic:blipFill>
                  <pic:spPr bwMode="auto">
                    <a:xfrm>
                      <a:off x="0" y="0"/>
                      <a:ext cx="6261100" cy="2428504"/>
                    </a:xfrm>
                    <a:prstGeom prst="rect">
                      <a:avLst/>
                    </a:prstGeom>
                    <a:noFill/>
                    <a:ln w="9525">
                      <a:noFill/>
                      <a:headEnd/>
                      <a:tailEnd/>
                    </a:ln>
                  </pic:spPr>
                </pic:pic>
              </a:graphicData>
            </a:graphic>
          </wp:inline>
        </w:drawing>
      </w:r>
    </w:p>
    <w:p>
      <w:pPr>
        <w:pStyle w:val="ImageCaption"/>
      </w:pPr>
      <w:r>
        <w:t xml:space="preserve">ROE and ROIC by fiscal year and CEO</w:t>
      </w:r>
    </w:p>
    <w:p>
      <w:pPr>
        <w:pStyle w:val="BodyText"/>
      </w:pPr>
      <w:r>
        <w:rPr>
          <w:iCs/>
          <w:i/>
        </w:rPr>
        <w:t xml:space="preserve">ROIC = S&amp;P-normalised EBIT × (1 − tax) / average (equity + debt − cash).</w:t>
      </w:r>
    </w:p>
    <w:p>
      <w:pPr>
        <w:pStyle w:val="BodyText"/>
      </w:pPr>
      <w:r>
        <w:rPr>
          <w:bCs/>
          <w:b/>
        </w:rPr>
        <w:t xml:space="preserve">Capital allocation verdict.</w:t>
      </w:r>
    </w:p>
    <w:p>
      <w:pPr>
        <w:numPr>
          <w:ilvl w:val="0"/>
          <w:numId w:val="1035"/>
        </w:numPr>
        <w:pStyle w:val="Compact"/>
      </w:pPr>
      <w:r>
        <w:rPr>
          <w:bCs/>
          <w:b/>
        </w:rPr>
        <w:t xml:space="preserve">Portfolio pruning: excellent.</w:t>
      </w:r>
      <w:r>
        <w:t xml:space="preserve"> </w:t>
      </w:r>
      <w:r>
        <w:t xml:space="preserve">Cameras and Evident were sold, and Olympus is now a pure medtech business.</w:t>
      </w:r>
    </w:p>
    <w:p>
      <w:pPr>
        <w:numPr>
          <w:ilvl w:val="0"/>
          <w:numId w:val="1035"/>
        </w:numPr>
        <w:pStyle w:val="Compact"/>
      </w:pPr>
      <w:r>
        <w:rPr>
          <w:bCs/>
          <w:b/>
        </w:rPr>
        <w:t xml:space="preserve">Buybacks: generous but badly timed.</w:t>
      </w:r>
      <w:r>
        <w:t xml:space="preserve"> </w:t>
      </w:r>
      <w:r>
        <w:t xml:space="preserve">About JPY280bn was spent between May-2023 and Nov-2024 at ~JPY2,200 per share, ~30% above today’s price.</w:t>
      </w:r>
    </w:p>
    <w:p>
      <w:pPr>
        <w:numPr>
          <w:ilvl w:val="0"/>
          <w:numId w:val="1035"/>
        </w:numPr>
        <w:pStyle w:val="Compact"/>
      </w:pPr>
      <w:r>
        <w:rPr>
          <w:bCs/>
          <w:b/>
        </w:rPr>
        <w:t xml:space="preserve">Acquisitions: poor.</w:t>
      </w:r>
      <w:r>
        <w:t xml:space="preserve"> </w:t>
      </w:r>
      <w:r>
        <w:t xml:space="preserve">Veran and Taewoong failed. BioProtect was bought at ~19x sales.</w:t>
      </w:r>
    </w:p>
    <w:p>
      <w:pPr>
        <w:numPr>
          <w:ilvl w:val="0"/>
          <w:numId w:val="1035"/>
        </w:numPr>
        <w:pStyle w:val="Compact"/>
      </w:pPr>
      <w:r>
        <w:rPr>
          <w:bCs/>
          <w:b/>
        </w:rPr>
        <w:t xml:space="preserve">Organic reinvestment in quality: too late and too small.</w:t>
      </w:r>
      <w:r>
        <w:t xml:space="preserve"> </w:t>
      </w:r>
      <w:r>
        <w:t xml:space="preserve">Elevate began in 2023, after the 2022 warning letters.</w:t>
      </w:r>
    </w:p>
    <w:bookmarkEnd w:id="110"/>
    <w:bookmarkStart w:id="111" w:name="red-flags"/>
    <w:p>
      <w:pPr>
        <w:pStyle w:val="Heading2"/>
      </w:pPr>
      <w:r>
        <w:t xml:space="preserve">Red flags</w:t>
      </w:r>
    </w:p>
    <w:p>
      <w:pPr>
        <w:numPr>
          <w:ilvl w:val="0"/>
          <w:numId w:val="1036"/>
        </w:numPr>
        <w:pStyle w:val="Compact"/>
      </w:pPr>
      <w:r>
        <w:rPr>
          <w:bCs/>
          <w:b/>
        </w:rPr>
        <w:t xml:space="preserve">Quality and compliance culture (HIGH).</w:t>
      </w:r>
    </w:p>
    <w:p>
      <w:pPr>
        <w:numPr>
          <w:ilvl w:val="1"/>
          <w:numId w:val="1037"/>
        </w:numPr>
        <w:pStyle w:val="Compact"/>
      </w:pPr>
      <w:r>
        <w:t xml:space="preserve">FDA warning letters in 2022–23, an import alert in 2025 and a six-site Warning Letter in Oct-2026.</w:t>
      </w:r>
    </w:p>
    <w:p>
      <w:pPr>
        <w:numPr>
          <w:ilvl w:val="1"/>
          <w:numId w:val="1037"/>
        </w:numPr>
        <w:pStyle w:val="Compact"/>
      </w:pPr>
      <w:r>
        <w:t xml:space="preserve">~20 products on ship-hold in FY3/26.</w:t>
      </w:r>
    </w:p>
    <w:p>
      <w:pPr>
        <w:numPr>
          <w:ilvl w:val="1"/>
          <w:numId w:val="1037"/>
        </w:numPr>
        <w:pStyle w:val="Compact"/>
      </w:pPr>
      <w:r>
        <w:t xml:space="preserve">Recalls, including ViziShot 2 FLEX (one reported death).</w:t>
      </w:r>
    </w:p>
    <w:p>
      <w:pPr>
        <w:numPr>
          <w:ilvl w:val="1"/>
          <w:numId w:val="1037"/>
        </w:numPr>
        <w:pStyle w:val="Compact"/>
      </w:pPr>
      <w:r>
        <w:t xml:space="preserve">Three CQOs in about 2.5 years.</w:t>
      </w:r>
    </w:p>
    <w:p>
      <w:pPr>
        <w:numPr>
          <w:ilvl w:val="1"/>
          <w:numId w:val="1037"/>
        </w:numPr>
        <w:pStyle w:val="Compact"/>
      </w:pPr>
      <w:r>
        <w:t xml:space="preserve">Historical US settlements: FCPA/AKS ~US$646m (2016) and the duodenoscope-reporting guilty plea (2018) [u].</w:t>
      </w:r>
    </w:p>
    <w:p>
      <w:pPr>
        <w:numPr>
          <w:ilvl w:val="1"/>
          <w:numId w:val="1037"/>
        </w:numPr>
        <w:pStyle w:val="Compact"/>
      </w:pPr>
      <w:r>
        <w:t xml:space="preserve">The company again says the Warning Letter has</w:t>
      </w:r>
      <w:r>
        <w:t xml:space="preserve"> </w:t>
      </w:r>
      <w:r>
        <w:t xml:space="preserve">“</w:t>
      </w:r>
      <w:r>
        <w:t xml:space="preserve">no financial impact</w:t>
      </w:r>
      <w:r>
        <w:t xml:space="preserve">”</w:t>
      </w:r>
      <w:r>
        <w:t xml:space="preserve">; the market disagrees.</w:t>
      </w:r>
    </w:p>
    <w:p>
      <w:pPr>
        <w:numPr>
          <w:ilvl w:val="0"/>
          <w:numId w:val="1036"/>
        </w:numPr>
        <w:pStyle w:val="Compact"/>
      </w:pPr>
      <w:r>
        <w:rPr>
          <w:bCs/>
          <w:b/>
        </w:rPr>
        <w:t xml:space="preserve">Pay vs performance (HIGH).</w:t>
      </w:r>
    </w:p>
    <w:p>
      <w:pPr>
        <w:numPr>
          <w:ilvl w:val="1"/>
          <w:numId w:val="1038"/>
        </w:numPr>
        <w:pStyle w:val="Compact"/>
      </w:pPr>
      <w:r>
        <w:t xml:space="preserve">Kaufmann: JPY1,138m in FY3/24 while OP fell 34%.</w:t>
      </w:r>
    </w:p>
    <w:p>
      <w:pPr>
        <w:numPr>
          <w:ilvl w:val="1"/>
          <w:numId w:val="1038"/>
        </w:numPr>
        <w:pStyle w:val="Compact"/>
      </w:pPr>
      <w:r>
        <w:t xml:space="preserve">Drewalowski (former GI head): JPY994m in FY3/26, including JPY600m of non-base pay, likely transition and LTI acceleration [u].</w:t>
      </w:r>
    </w:p>
    <w:p>
      <w:pPr>
        <w:numPr>
          <w:ilvl w:val="1"/>
          <w:numId w:val="1038"/>
        </w:numPr>
        <w:pStyle w:val="Compact"/>
      </w:pPr>
      <w:r>
        <w:t xml:space="preserve">White: a JPY210m bonus in a year with two guidance cuts (possibly a guaranteed element [u]).</w:t>
      </w:r>
    </w:p>
    <w:p>
      <w:pPr>
        <w:numPr>
          <w:ilvl w:val="1"/>
          <w:numId w:val="1038"/>
        </w:numPr>
        <w:pStyle w:val="Compact"/>
      </w:pPr>
      <w:r>
        <w:t xml:space="preserve">At least 12 officers were paid over JPY100m in FY3/26.</w:t>
      </w:r>
    </w:p>
    <w:p>
      <w:pPr>
        <w:numPr>
          <w:ilvl w:val="1"/>
          <w:numId w:val="1038"/>
        </w:numPr>
        <w:pStyle w:val="Compact"/>
      </w:pPr>
      <w:r>
        <w:t xml:space="preserve">There is a two-tier pay structure: US/EU hires earn 2.5–8x their Japanese peers.</w:t>
      </w:r>
    </w:p>
    <w:p>
      <w:pPr>
        <w:numPr>
          <w:ilvl w:val="0"/>
          <w:numId w:val="1036"/>
        </w:numPr>
        <w:pStyle w:val="Compact"/>
      </w:pPr>
      <w:r>
        <w:rPr>
          <w:bCs/>
          <w:b/>
        </w:rPr>
        <w:t xml:space="preserve">Guidance credibility (MEDIUM–HIGH).</w:t>
      </w:r>
      <w:r>
        <w:t xml:space="preserve"> </w:t>
      </w:r>
      <w:r>
        <w:t xml:space="preserve">OP guidance was cut in each of the last three fiscal years:</w:t>
      </w:r>
    </w:p>
    <w:p>
      <w:pPr>
        <w:numPr>
          <w:ilvl w:val="1"/>
          <w:numId w:val="1039"/>
        </w:numPr>
        <w:pStyle w:val="Compact"/>
      </w:pPr>
      <w:r>
        <w:t xml:space="preserve">FY3/24: JPY163bn to JPY100bn to JPY57bn.</w:t>
      </w:r>
    </w:p>
    <w:p>
      <w:pPr>
        <w:numPr>
          <w:ilvl w:val="1"/>
          <w:numId w:val="1039"/>
        </w:numPr>
        <w:pStyle w:val="Compact"/>
      </w:pPr>
      <w:r>
        <w:t xml:space="preserve">FY3/25: JPY176bn to JPY151bn.</w:t>
      </w:r>
    </w:p>
    <w:p>
      <w:pPr>
        <w:numPr>
          <w:ilvl w:val="1"/>
          <w:numId w:val="1039"/>
        </w:numPr>
        <w:pStyle w:val="Compact"/>
      </w:pPr>
      <w:r>
        <w:t xml:space="preserve">FY3/26: JPY150bn to JPY136bn to JPY75–87bn.</w:t>
      </w:r>
    </w:p>
    <w:p>
      <w:pPr>
        <w:numPr>
          <w:ilvl w:val="0"/>
          <w:numId w:val="1000"/>
        </w:numPr>
        <w:pStyle w:val="Compact"/>
      </w:pPr>
      <w:r>
        <w:rPr>
          <w:bCs/>
          <w:b/>
        </w:rPr>
        <w:t xml:space="preserve">A 3Q cut has come in each of the last four Februaries.</w:t>
      </w:r>
    </w:p>
    <w:p>
      <w:pPr>
        <w:numPr>
          <w:ilvl w:val="0"/>
          <w:numId w:val="1036"/>
        </w:numPr>
        <w:pStyle w:val="Compact"/>
      </w:pPr>
      <w:r>
        <w:rPr>
          <w:bCs/>
          <w:b/>
        </w:rPr>
        <w:t xml:space="preserve">M&amp;A discipline (MEDIUM).</w:t>
      </w:r>
      <w:r>
        <w:t xml:space="preserve"> </w:t>
      </w:r>
      <w:r>
        <w:t xml:space="preserve">Veran, Taewoong and FH Ortho all failed. The CEO’s Jan-2026 talk of an</w:t>
      </w:r>
      <w:r>
        <w:t xml:space="preserve"> </w:t>
      </w:r>
      <w:r>
        <w:t xml:space="preserve">“</w:t>
      </w:r>
      <w:r>
        <w:t xml:space="preserve">M&amp;A machine</w:t>
      </w:r>
      <w:r>
        <w:t xml:space="preserve">”</w:t>
      </w:r>
      <w:r>
        <w:t xml:space="preserve"> </w:t>
      </w:r>
      <w:r>
        <w:t xml:space="preserve">leaves room for value-destructive deals.</w:t>
      </w:r>
    </w:p>
    <w:p>
      <w:pPr>
        <w:numPr>
          <w:ilvl w:val="0"/>
          <w:numId w:val="1036"/>
        </w:numPr>
        <w:pStyle w:val="Compact"/>
      </w:pPr>
      <w:r>
        <w:rPr>
          <w:bCs/>
          <w:b/>
        </w:rPr>
        <w:t xml:space="preserve">Succession and conduct (MEDIUM).</w:t>
      </w:r>
      <w:r>
        <w:t xml:space="preserve"> </w:t>
      </w:r>
      <w:r>
        <w:t xml:space="preserve">The Kaufmann conviction raises questions about vetting, given his earlier roles as CAO and director. A 7-month interim period followed.</w:t>
      </w:r>
    </w:p>
    <w:bookmarkEnd w:id="111"/>
    <w:bookmarkEnd w:id="112"/>
    <w:bookmarkStart w:id="113" w:name="board-of-directors"/>
    <w:p>
      <w:pPr>
        <w:pStyle w:val="Heading1"/>
      </w:pPr>
      <w:r>
        <w:t xml:space="preserve">Board of directors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473"/>
        <w:gridCol w:w="1540"/>
        <w:gridCol w:w="1696"/>
        <w:gridCol w:w="1042"/>
        <w:gridCol w:w="2547"/>
        <w:gridCol w:w="1677"/>
      </w:tblGrid>
      <w:tr>
        <w:trPr>
          <w:tblHeader w:val="true"/>
          <w:tblHeader w:val="true"/>
          <w:cantSplit/>
        </w:trPr>
        <w:tc>
          <w:tcPr>
            <w:tcW w:type="dxa" w:w="1473"/>
            <w:shd w:val="clear" w:color="auto" w:fill="13213F"/>
          </w:tcPr>
          <w:p>
            <w:pPr>
              <w:pStyle w:val="Compact"/>
              <w:spacing w:after="0" w:before="0" w:line="240" w:lineRule="auto"/>
              <w:jc w:val="left"/>
            </w:pPr>
            <w:r>
              <w:rPr>
                <w:rFonts w:ascii="Arial" w:hAnsi="Arial"/>
                <w:b/>
                <w:color w:val="FFFFFF"/>
                <w:sz w:val="15"/>
              </w:rPr>
              <w:t xml:space="preserve">Director</w:t>
            </w:r>
          </w:p>
        </w:tc>
        <w:tc>
          <w:tcPr>
            <w:tcW w:type="dxa" w:w="1540"/>
            <w:shd w:val="clear" w:color="auto" w:fill="13213F"/>
          </w:tcPr>
          <w:p>
            <w:pPr>
              <w:pStyle w:val="Compact"/>
              <w:spacing w:after="0" w:before="0" w:line="240" w:lineRule="auto"/>
              <w:jc w:val="left"/>
            </w:pPr>
            <w:r>
              <w:rPr>
                <w:rFonts w:ascii="Arial" w:hAnsi="Arial"/>
                <w:b/>
                <w:color w:val="FFFFFF"/>
                <w:sz w:val="15"/>
              </w:rPr>
              <w:t xml:space="preserve">Role</w:t>
            </w:r>
          </w:p>
        </w:tc>
        <w:tc>
          <w:tcPr>
            <w:tcW w:type="dxa" w:w="1696"/>
            <w:shd w:val="clear" w:color="auto" w:fill="13213F"/>
          </w:tcPr>
          <w:p>
            <w:pPr>
              <w:pStyle w:val="Compact"/>
              <w:spacing w:after="0" w:before="0" w:line="240" w:lineRule="auto"/>
              <w:jc w:val="center"/>
            </w:pPr>
            <w:r>
              <w:rPr>
                <w:rFonts w:ascii="Arial" w:hAnsi="Arial"/>
                <w:b/>
                <w:color w:val="FFFFFF"/>
                <w:sz w:val="15"/>
              </w:rPr>
              <w:t xml:space="preserve">Independent</w:t>
            </w:r>
          </w:p>
        </w:tc>
        <w:tc>
          <w:tcPr>
            <w:tcW w:type="dxa" w:w="1043"/>
            <w:shd w:val="clear" w:color="auto" w:fill="13213F"/>
          </w:tcPr>
          <w:p>
            <w:pPr>
              <w:pStyle w:val="Compact"/>
              <w:spacing w:after="0" w:before="0" w:line="240" w:lineRule="auto"/>
              <w:jc w:val="left"/>
            </w:pPr>
            <w:r>
              <w:rPr>
                <w:rFonts w:ascii="Arial" w:hAnsi="Arial"/>
                <w:b/>
                <w:color w:val="FFFFFF"/>
                <w:sz w:val="15"/>
              </w:rPr>
              <w:t xml:space="preserve">Since</w:t>
            </w:r>
          </w:p>
        </w:tc>
        <w:tc>
          <w:tcPr>
            <w:tcW w:type="dxa" w:w="2548"/>
            <w:shd w:val="clear" w:color="auto" w:fill="13213F"/>
          </w:tcPr>
          <w:p>
            <w:pPr>
              <w:pStyle w:val="Compact"/>
              <w:spacing w:after="0" w:before="0" w:line="240" w:lineRule="auto"/>
              <w:jc w:val="left"/>
            </w:pPr>
            <w:r>
              <w:rPr>
                <w:rFonts w:ascii="Arial" w:hAnsi="Arial"/>
                <w:b/>
                <w:color w:val="FFFFFF"/>
                <w:sz w:val="15"/>
              </w:rPr>
              <w:t xml:space="preserve">Background</w:t>
            </w:r>
          </w:p>
        </w:tc>
        <w:tc>
          <w:tcPr>
            <w:tcW w:type="dxa" w:w="1678"/>
            <w:shd w:val="clear" w:color="auto" w:fill="13213F"/>
          </w:tcPr>
          <w:p>
            <w:pPr>
              <w:pStyle w:val="Compact"/>
              <w:spacing w:after="0" w:before="0" w:line="240" w:lineRule="auto"/>
              <w:jc w:val="left"/>
            </w:pPr>
            <w:r>
              <w:rPr>
                <w:rFonts w:ascii="Arial" w:hAnsi="Arial"/>
                <w:b/>
                <w:color w:val="FFFFFF"/>
                <w:sz w:val="15"/>
              </w:rPr>
              <w:t xml:space="preserve">Committees</w:t>
            </w:r>
          </w:p>
        </w:tc>
      </w:tr>
      <w:tr>
        <w:trPr>
          <w:cantSplit/>
        </w:trPr>
        <w:tc>
          <w:tcPr>
            <w:tcW w:type="dxa" w:w="1473"/>
          </w:tcPr>
          <w:p>
            <w:pPr>
              <w:pStyle w:val="Compact"/>
              <w:spacing w:after="0" w:before="0" w:line="240" w:lineRule="auto"/>
              <w:jc w:val="left"/>
            </w:pPr>
            <w:r>
              <w:rPr>
                <w:rFonts w:ascii="Arial" w:hAnsi="Arial"/>
                <w:sz w:val="15"/>
              </w:rPr>
              <w:t xml:space="preserve">Masato Iwasaki, PhD</w:t>
            </w:r>
          </w:p>
        </w:tc>
        <w:tc>
          <w:tcPr>
            <w:tcW w:type="dxa" w:w="1540"/>
          </w:tcPr>
          <w:p>
            <w:pPr>
              <w:pStyle w:val="Compact"/>
              <w:spacing w:after="0" w:before="0" w:line="240" w:lineRule="auto"/>
              <w:jc w:val="left"/>
            </w:pPr>
            <w:r>
              <w:rPr>
                <w:bCs/>
                <w:rFonts w:ascii="Arial" w:hAnsi="Arial"/>
                <w:b/>
                <w:sz w:val="15"/>
              </w:rPr>
              <w:t xml:space="preserve">Independent Chair</w:t>
            </w:r>
          </w:p>
        </w:tc>
        <w:tc>
          <w:tcPr>
            <w:tcW w:type="dxa" w:w="1696"/>
          </w:tcPr>
          <w:p>
            <w:pPr>
              <w:pStyle w:val="Compact"/>
              <w:spacing w:after="0" w:before="0" w:line="240" w:lineRule="auto"/>
              <w:jc w:val="center"/>
            </w:pPr>
            <w:r>
              <w:rPr>
                <w:rFonts w:ascii="Arial" w:hAnsi="Arial"/>
                <w:sz w:val="15"/>
              </w:rPr>
              <w:t xml:space="preserve">Yes</w:t>
            </w:r>
          </w:p>
        </w:tc>
        <w:tc>
          <w:tcPr>
            <w:tcW w:type="dxa" w:w="1043"/>
          </w:tcPr>
          <w:p>
            <w:pPr>
              <w:pStyle w:val="Compact"/>
              <w:spacing w:after="0" w:before="0" w:line="240" w:lineRule="auto"/>
              <w:jc w:val="left"/>
            </w:pPr>
            <w:r>
              <w:rPr>
                <w:rFonts w:ascii="Arial" w:hAnsi="Arial"/>
                <w:sz w:val="15"/>
              </w:rPr>
              <w:t xml:space="preserve">Jun-2024</w:t>
            </w:r>
          </w:p>
        </w:tc>
        <w:tc>
          <w:tcPr>
            <w:tcW w:type="dxa" w:w="2548"/>
          </w:tcPr>
          <w:p>
            <w:pPr>
              <w:pStyle w:val="Compact"/>
              <w:spacing w:after="0" w:before="0" w:line="240" w:lineRule="auto"/>
              <w:jc w:val="left"/>
            </w:pPr>
            <w:r>
              <w:rPr>
                <w:rFonts w:ascii="Arial" w:hAnsi="Arial"/>
                <w:sz w:val="15"/>
              </w:rPr>
              <w:t xml:space="preserve">Takeda Japan Pharma BU President (2015–21); IGPI senior fellow</w:t>
            </w:r>
          </w:p>
        </w:tc>
        <w:tc>
          <w:tcPr>
            <w:tcW w:type="dxa" w:w="1678"/>
          </w:tcPr>
          <w:p>
            <w:pPr>
              <w:pStyle w:val="Compact"/>
              <w:spacing w:after="0" w:before="0" w:line="240" w:lineRule="auto"/>
              <w:jc w:val="left"/>
            </w:pPr>
            <w:r>
              <w:rPr>
                <w:rFonts w:ascii="Arial" w:hAnsi="Arial"/>
                <w:sz w:val="15"/>
              </w:rPr>
              <w:t xml:space="preserve">Nominating (Chair)</w:t>
            </w:r>
          </w:p>
        </w:tc>
      </w:tr>
      <w:tr>
        <w:trPr>
          <w:cantSplit/>
        </w:trPr>
        <w:tc>
          <w:tcPr>
            <w:tcW w:type="dxa" w:w="1473"/>
            <w:shd w:val="clear" w:color="auto" w:fill="F1F2F5"/>
          </w:tcPr>
          <w:p>
            <w:pPr>
              <w:pStyle w:val="Compact"/>
              <w:spacing w:after="0" w:before="0" w:line="240" w:lineRule="auto"/>
              <w:jc w:val="left"/>
            </w:pPr>
            <w:r>
              <w:rPr>
                <w:rFonts w:ascii="Arial" w:hAnsi="Arial"/>
                <w:sz w:val="15"/>
              </w:rPr>
              <w:t xml:space="preserve">Bob White</w:t>
            </w:r>
          </w:p>
        </w:tc>
        <w:tc>
          <w:tcPr>
            <w:tcW w:type="dxa" w:w="1540"/>
            <w:shd w:val="clear" w:color="auto" w:fill="F1F2F5"/>
          </w:tcPr>
          <w:p>
            <w:pPr>
              <w:pStyle w:val="Compact"/>
              <w:spacing w:after="0" w:before="0" w:line="240" w:lineRule="auto"/>
              <w:jc w:val="left"/>
            </w:pPr>
            <w:r>
              <w:rPr>
                <w:rFonts w:ascii="Arial" w:hAnsi="Arial"/>
                <w:sz w:val="15"/>
              </w:rPr>
              <w:t xml:space="preserve">Director, CEO</w:t>
            </w:r>
          </w:p>
        </w:tc>
        <w:tc>
          <w:tcPr>
            <w:tcW w:type="dxa" w:w="1696"/>
            <w:shd w:val="clear" w:color="auto" w:fill="F1F2F5"/>
          </w:tcPr>
          <w:p>
            <w:pPr>
              <w:pStyle w:val="Compact"/>
              <w:spacing w:after="0" w:before="0" w:line="240" w:lineRule="auto"/>
              <w:jc w:val="center"/>
            </w:pPr>
            <w:r>
              <w:rPr>
                <w:rFonts w:ascii="Arial" w:hAnsi="Arial"/>
                <w:sz w:val="15"/>
              </w:rPr>
              <w:t xml:space="preserve">No</w:t>
            </w:r>
          </w:p>
        </w:tc>
        <w:tc>
          <w:tcPr>
            <w:tcW w:type="dxa" w:w="1043"/>
            <w:shd w:val="clear" w:color="auto" w:fill="F1F2F5"/>
          </w:tcPr>
          <w:p>
            <w:pPr>
              <w:pStyle w:val="Compact"/>
              <w:spacing w:after="0" w:before="0" w:line="240" w:lineRule="auto"/>
              <w:jc w:val="left"/>
            </w:pPr>
            <w:r>
              <w:rPr>
                <w:rFonts w:ascii="Arial" w:hAnsi="Arial"/>
                <w:sz w:val="15"/>
              </w:rPr>
              <w:t xml:space="preserve">Jun-2025</w:t>
            </w:r>
          </w:p>
        </w:tc>
        <w:tc>
          <w:tcPr>
            <w:tcW w:type="dxa" w:w="2548"/>
            <w:shd w:val="clear" w:color="auto" w:fill="F1F2F5"/>
          </w:tcPr>
          <w:p>
            <w:pPr>
              <w:pStyle w:val="Compact"/>
              <w:spacing w:after="0" w:before="0" w:line="240" w:lineRule="auto"/>
              <w:jc w:val="left"/>
            </w:pPr>
            <w:r>
              <w:rPr>
                <w:rFonts w:ascii="Arial" w:hAnsi="Arial"/>
                <w:sz w:val="15"/>
              </w:rPr>
              <w:t xml:space="preserve">ex-Medtronic</w:t>
            </w:r>
          </w:p>
        </w:tc>
        <w:tc>
          <w:tcPr>
            <w:tcW w:type="dxa" w:w="1678"/>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1473"/>
          </w:tcPr>
          <w:p>
            <w:pPr>
              <w:pStyle w:val="Compact"/>
              <w:spacing w:after="0" w:before="0" w:line="240" w:lineRule="auto"/>
              <w:jc w:val="left"/>
            </w:pPr>
            <w:r>
              <w:rPr>
                <w:rFonts w:ascii="Arial" w:hAnsi="Arial"/>
                <w:sz w:val="15"/>
              </w:rPr>
              <w:t xml:space="preserve">Jimmy C. Beasley</w:t>
            </w:r>
          </w:p>
        </w:tc>
        <w:tc>
          <w:tcPr>
            <w:tcW w:type="dxa" w:w="1540"/>
          </w:tcPr>
          <w:p>
            <w:pPr>
              <w:pStyle w:val="Compact"/>
              <w:spacing w:after="0" w:before="0" w:line="240" w:lineRule="auto"/>
              <w:jc w:val="left"/>
            </w:pPr>
            <w:r>
              <w:rPr>
                <w:rFonts w:ascii="Arial" w:hAnsi="Arial"/>
                <w:sz w:val="15"/>
              </w:rPr>
              <w:t xml:space="preserve">Outside director</w:t>
            </w:r>
          </w:p>
        </w:tc>
        <w:tc>
          <w:tcPr>
            <w:tcW w:type="dxa" w:w="1696"/>
          </w:tcPr>
          <w:p>
            <w:pPr>
              <w:pStyle w:val="Compact"/>
              <w:spacing w:after="0" w:before="0" w:line="240" w:lineRule="auto"/>
              <w:jc w:val="center"/>
            </w:pPr>
            <w:r>
              <w:rPr>
                <w:rFonts w:ascii="Arial" w:hAnsi="Arial"/>
                <w:sz w:val="15"/>
              </w:rPr>
              <w:t xml:space="preserve">Yes</w:t>
            </w:r>
          </w:p>
        </w:tc>
        <w:tc>
          <w:tcPr>
            <w:tcW w:type="dxa" w:w="1043"/>
          </w:tcPr>
          <w:p>
            <w:pPr>
              <w:pStyle w:val="Compact"/>
              <w:spacing w:after="0" w:before="0" w:line="240" w:lineRule="auto"/>
              <w:jc w:val="left"/>
            </w:pPr>
            <w:r>
              <w:rPr>
                <w:rFonts w:ascii="Arial" w:hAnsi="Arial"/>
                <w:sz w:val="15"/>
              </w:rPr>
              <w:t xml:space="preserve">Jun-2019</w:t>
            </w:r>
          </w:p>
        </w:tc>
        <w:tc>
          <w:tcPr>
            <w:tcW w:type="dxa" w:w="2548"/>
          </w:tcPr>
          <w:p>
            <w:pPr>
              <w:pStyle w:val="Compact"/>
              <w:spacing w:after="0" w:before="0" w:line="240" w:lineRule="auto"/>
              <w:jc w:val="left"/>
            </w:pPr>
            <w:r>
              <w:rPr>
                <w:rFonts w:ascii="Arial" w:hAnsi="Arial"/>
                <w:sz w:val="15"/>
              </w:rPr>
              <w:t xml:space="preserve">C.R. Bard Group President (2013–17)</w:t>
            </w:r>
          </w:p>
        </w:tc>
        <w:tc>
          <w:tcPr>
            <w:tcW w:type="dxa" w:w="1678"/>
          </w:tcPr>
          <w:p>
            <w:pPr>
              <w:pStyle w:val="Compact"/>
              <w:spacing w:after="0" w:before="0" w:line="240" w:lineRule="auto"/>
              <w:jc w:val="left"/>
            </w:pPr>
            <w:r>
              <w:rPr>
                <w:rFonts w:ascii="Arial" w:hAnsi="Arial"/>
                <w:sz w:val="15"/>
              </w:rPr>
              <w:t xml:space="preserve">Compensation (Chair)</w:t>
            </w:r>
          </w:p>
        </w:tc>
      </w:tr>
      <w:tr>
        <w:trPr>
          <w:cantSplit/>
        </w:trPr>
        <w:tc>
          <w:tcPr>
            <w:tcW w:type="dxa" w:w="1473"/>
            <w:shd w:val="clear" w:color="auto" w:fill="F1F2F5"/>
          </w:tcPr>
          <w:p>
            <w:pPr>
              <w:pStyle w:val="Compact"/>
              <w:spacing w:after="0" w:before="0" w:line="240" w:lineRule="auto"/>
              <w:jc w:val="left"/>
            </w:pPr>
            <w:r>
              <w:rPr>
                <w:bCs/>
                <w:rFonts w:ascii="Arial" w:hAnsi="Arial"/>
                <w:b/>
                <w:sz w:val="15"/>
              </w:rPr>
              <w:t xml:space="preserve">D. Robert Hale</w:t>
            </w:r>
          </w:p>
        </w:tc>
        <w:tc>
          <w:tcPr>
            <w:tcW w:type="dxa" w:w="1540"/>
            <w:shd w:val="clear" w:color="auto" w:fill="F1F2F5"/>
          </w:tcPr>
          <w:p>
            <w:pPr>
              <w:pStyle w:val="Compact"/>
              <w:spacing w:after="0" w:before="0" w:line="240" w:lineRule="auto"/>
              <w:jc w:val="left"/>
            </w:pPr>
            <w:r>
              <w:rPr>
                <w:rFonts w:ascii="Arial" w:hAnsi="Arial"/>
                <w:sz w:val="15"/>
              </w:rPr>
              <w:t xml:space="preserve">Outside director (</w:t>
            </w:r>
            <w:r>
              <w:rPr>
                <w:bCs/>
                <w:rFonts w:ascii="Arial" w:hAnsi="Arial"/>
                <w:b/>
                <w:sz w:val="15"/>
              </w:rPr>
              <w:t xml:space="preserve">ValueAct</w:t>
            </w:r>
            <w:r>
              <w:rPr>
                <w:rFonts w:ascii="Arial" w:hAnsi="Arial"/>
                <w:sz w:val="15"/>
              </w:rPr>
              <w:t xml:space="preserve">)</w:t>
            </w:r>
          </w:p>
        </w:tc>
        <w:tc>
          <w:tcPr>
            <w:tcW w:type="dxa" w:w="1696"/>
            <w:shd w:val="clear" w:color="auto" w:fill="F1F2F5"/>
          </w:tcPr>
          <w:p>
            <w:pPr>
              <w:pStyle w:val="Compact"/>
              <w:spacing w:after="0" w:before="0" w:line="240" w:lineRule="auto"/>
              <w:jc w:val="center"/>
            </w:pPr>
            <w:r>
              <w:rPr>
                <w:rFonts w:ascii="Arial" w:hAnsi="Arial"/>
                <w:sz w:val="15"/>
              </w:rPr>
              <w:t xml:space="preserve">Designated independent; represents a shareholder</w:t>
            </w:r>
          </w:p>
        </w:tc>
        <w:tc>
          <w:tcPr>
            <w:tcW w:type="dxa" w:w="1043"/>
            <w:shd w:val="clear" w:color="auto" w:fill="F1F2F5"/>
          </w:tcPr>
          <w:p>
            <w:pPr>
              <w:pStyle w:val="Compact"/>
              <w:spacing w:after="0" w:before="0" w:line="240" w:lineRule="auto"/>
              <w:jc w:val="left"/>
            </w:pPr>
            <w:r>
              <w:rPr>
                <w:rFonts w:ascii="Arial" w:hAnsi="Arial"/>
                <w:sz w:val="15"/>
              </w:rPr>
              <w:t xml:space="preserve">Jun-2019</w:t>
            </w:r>
          </w:p>
        </w:tc>
        <w:tc>
          <w:tcPr>
            <w:tcW w:type="dxa" w:w="2548"/>
            <w:shd w:val="clear" w:color="auto" w:fill="F1F2F5"/>
          </w:tcPr>
          <w:p>
            <w:pPr>
              <w:pStyle w:val="Compact"/>
              <w:spacing w:after="0" w:before="0" w:line="240" w:lineRule="auto"/>
              <w:jc w:val="left"/>
            </w:pPr>
            <w:r>
              <w:rPr>
                <w:rFonts w:ascii="Arial" w:hAnsi="Arial"/>
                <w:sz w:val="15"/>
              </w:rPr>
              <w:t xml:space="preserve">ValueAct partner since 2011, Co-CEO since 2023; ex-Bausch Health, MSCI, JSR boards</w:t>
            </w:r>
          </w:p>
        </w:tc>
        <w:tc>
          <w:tcPr>
            <w:tcW w:type="dxa" w:w="1678"/>
            <w:shd w:val="clear" w:color="auto" w:fill="F1F2F5"/>
          </w:tcPr>
          <w:p>
            <w:pPr>
              <w:pStyle w:val="Compact"/>
              <w:spacing w:after="0" w:before="0" w:line="240" w:lineRule="auto"/>
              <w:jc w:val="left"/>
            </w:pPr>
            <w:r>
              <w:rPr>
                <w:rFonts w:ascii="Arial" w:hAnsi="Arial"/>
                <w:sz w:val="15"/>
              </w:rPr>
              <w:t xml:space="preserve">Compensation; Nominating</w:t>
            </w:r>
          </w:p>
        </w:tc>
      </w:tr>
      <w:tr>
        <w:trPr>
          <w:cantSplit/>
        </w:trPr>
        <w:tc>
          <w:tcPr>
            <w:tcW w:type="dxa" w:w="1473"/>
          </w:tcPr>
          <w:p>
            <w:pPr>
              <w:pStyle w:val="Compact"/>
              <w:spacing w:after="0" w:before="0" w:line="240" w:lineRule="auto"/>
              <w:jc w:val="left"/>
            </w:pPr>
            <w:r>
              <w:rPr>
                <w:rFonts w:ascii="Arial" w:hAnsi="Arial"/>
                <w:sz w:val="15"/>
              </w:rPr>
              <w:t xml:space="preserve">Sachiko Ichikawa</w:t>
            </w:r>
          </w:p>
        </w:tc>
        <w:tc>
          <w:tcPr>
            <w:tcW w:type="dxa" w:w="1540"/>
          </w:tcPr>
          <w:p>
            <w:pPr>
              <w:pStyle w:val="Compact"/>
              <w:spacing w:after="0" w:before="0" w:line="240" w:lineRule="auto"/>
              <w:jc w:val="left"/>
            </w:pPr>
            <w:r>
              <w:rPr>
                <w:rFonts w:ascii="Arial" w:hAnsi="Arial"/>
                <w:sz w:val="15"/>
              </w:rPr>
              <w:t xml:space="preserve">Outside director</w:t>
            </w:r>
          </w:p>
        </w:tc>
        <w:tc>
          <w:tcPr>
            <w:tcW w:type="dxa" w:w="1696"/>
          </w:tcPr>
          <w:p>
            <w:pPr>
              <w:pStyle w:val="Compact"/>
              <w:spacing w:after="0" w:before="0" w:line="240" w:lineRule="auto"/>
              <w:jc w:val="center"/>
            </w:pPr>
            <w:r>
              <w:rPr>
                <w:rFonts w:ascii="Arial" w:hAnsi="Arial"/>
                <w:sz w:val="15"/>
              </w:rPr>
              <w:t xml:space="preserve">Yes</w:t>
            </w:r>
          </w:p>
        </w:tc>
        <w:tc>
          <w:tcPr>
            <w:tcW w:type="dxa" w:w="1043"/>
          </w:tcPr>
          <w:p>
            <w:pPr>
              <w:pStyle w:val="Compact"/>
              <w:spacing w:after="0" w:before="0" w:line="240" w:lineRule="auto"/>
              <w:jc w:val="left"/>
            </w:pPr>
            <w:r>
              <w:rPr>
                <w:rFonts w:ascii="Arial" w:hAnsi="Arial"/>
                <w:sz w:val="15"/>
              </w:rPr>
              <w:t xml:space="preserve">Jun-2021</w:t>
            </w:r>
          </w:p>
        </w:tc>
        <w:tc>
          <w:tcPr>
            <w:tcW w:type="dxa" w:w="2548"/>
          </w:tcPr>
          <w:p>
            <w:pPr>
              <w:pStyle w:val="Compact"/>
              <w:spacing w:after="0" w:before="0" w:line="240" w:lineRule="auto"/>
              <w:jc w:val="left"/>
            </w:pPr>
            <w:r>
              <w:rPr>
                <w:rFonts w:ascii="Arial" w:hAnsi="Arial"/>
                <w:sz w:val="15"/>
              </w:rPr>
              <w:t xml:space="preserve">Lawyer (Tanabe &amp; Partners); Anritsu, Tokyo Electron boards</w:t>
            </w:r>
          </w:p>
        </w:tc>
        <w:tc>
          <w:tcPr>
            <w:tcW w:type="dxa" w:w="1678"/>
          </w:tcPr>
          <w:p>
            <w:pPr>
              <w:pStyle w:val="Compact"/>
              <w:spacing w:after="0" w:before="0" w:line="240" w:lineRule="auto"/>
              <w:jc w:val="left"/>
            </w:pPr>
            <w:r>
              <w:rPr>
                <w:rFonts w:ascii="Arial" w:hAnsi="Arial"/>
                <w:sz w:val="15"/>
              </w:rPr>
              <w:t xml:space="preserve">Audit</w:t>
            </w:r>
          </w:p>
        </w:tc>
      </w:tr>
      <w:tr>
        <w:trPr>
          <w:cantSplit/>
        </w:trPr>
        <w:tc>
          <w:tcPr>
            <w:tcW w:type="dxa" w:w="1473"/>
            <w:shd w:val="clear" w:color="auto" w:fill="F1F2F5"/>
          </w:tcPr>
          <w:p>
            <w:pPr>
              <w:pStyle w:val="Compact"/>
              <w:spacing w:after="0" w:before="0" w:line="240" w:lineRule="auto"/>
              <w:jc w:val="left"/>
            </w:pPr>
            <w:r>
              <w:rPr>
                <w:rFonts w:ascii="Arial" w:hAnsi="Arial"/>
                <w:sz w:val="15"/>
              </w:rPr>
              <w:t xml:space="preserve">Kohei Kan</w:t>
            </w:r>
          </w:p>
        </w:tc>
        <w:tc>
          <w:tcPr>
            <w:tcW w:type="dxa" w:w="1540"/>
            <w:shd w:val="clear" w:color="auto" w:fill="F1F2F5"/>
          </w:tcPr>
          <w:p>
            <w:pPr>
              <w:pStyle w:val="Compact"/>
              <w:spacing w:after="0" w:before="0" w:line="240" w:lineRule="auto"/>
              <w:jc w:val="left"/>
            </w:pPr>
            <w:r>
              <w:rPr>
                <w:rFonts w:ascii="Arial" w:hAnsi="Arial"/>
                <w:sz w:val="15"/>
              </w:rPr>
              <w:t xml:space="preserve">Outside director</w:t>
            </w:r>
          </w:p>
        </w:tc>
        <w:tc>
          <w:tcPr>
            <w:tcW w:type="dxa" w:w="1696"/>
            <w:shd w:val="clear" w:color="auto" w:fill="F1F2F5"/>
          </w:tcPr>
          <w:p>
            <w:pPr>
              <w:pStyle w:val="Compact"/>
              <w:spacing w:after="0" w:before="0" w:line="240" w:lineRule="auto"/>
              <w:jc w:val="center"/>
            </w:pPr>
            <w:r>
              <w:rPr>
                <w:rFonts w:ascii="Arial" w:hAnsi="Arial"/>
                <w:sz w:val="15"/>
              </w:rPr>
              <w:t xml:space="preserve">Yes</w:t>
            </w:r>
          </w:p>
        </w:tc>
        <w:tc>
          <w:tcPr>
            <w:tcW w:type="dxa" w:w="1043"/>
            <w:shd w:val="clear" w:color="auto" w:fill="F1F2F5"/>
          </w:tcPr>
          <w:p>
            <w:pPr>
              <w:pStyle w:val="Compact"/>
              <w:spacing w:after="0" w:before="0" w:line="240" w:lineRule="auto"/>
              <w:jc w:val="left"/>
            </w:pPr>
            <w:r>
              <w:rPr>
                <w:rFonts w:ascii="Arial" w:hAnsi="Arial"/>
                <w:sz w:val="15"/>
              </w:rPr>
              <w:t xml:space="preserve">Jun-2022</w:t>
            </w:r>
          </w:p>
        </w:tc>
        <w:tc>
          <w:tcPr>
            <w:tcW w:type="dxa" w:w="2548"/>
            <w:shd w:val="clear" w:color="auto" w:fill="F1F2F5"/>
          </w:tcPr>
          <w:p>
            <w:pPr>
              <w:pStyle w:val="Compact"/>
              <w:spacing w:after="0" w:before="0" w:line="240" w:lineRule="auto"/>
              <w:jc w:val="left"/>
            </w:pPr>
            <w:r>
              <w:rPr>
                <w:rFonts w:ascii="Arial" w:hAnsi="Arial"/>
                <w:sz w:val="15"/>
              </w:rPr>
              <w:t xml:space="preserve">CPA; CEO of Deloitte Tohmatsu (2015–18)</w:t>
            </w:r>
          </w:p>
        </w:tc>
        <w:tc>
          <w:tcPr>
            <w:tcW w:type="dxa" w:w="1678"/>
            <w:shd w:val="clear" w:color="auto" w:fill="F1F2F5"/>
          </w:tcPr>
          <w:p>
            <w:pPr>
              <w:pStyle w:val="Compact"/>
              <w:spacing w:after="0" w:before="0" w:line="240" w:lineRule="auto"/>
              <w:jc w:val="left"/>
            </w:pPr>
            <w:r>
              <w:rPr>
                <w:rFonts w:ascii="Arial" w:hAnsi="Arial"/>
                <w:sz w:val="15"/>
              </w:rPr>
              <w:t xml:space="preserve">Audit (Chair)</w:t>
            </w:r>
          </w:p>
        </w:tc>
      </w:tr>
      <w:tr>
        <w:trPr>
          <w:cantSplit/>
        </w:trPr>
        <w:tc>
          <w:tcPr>
            <w:tcW w:type="dxa" w:w="1473"/>
          </w:tcPr>
          <w:p>
            <w:pPr>
              <w:pStyle w:val="Compact"/>
              <w:spacing w:after="0" w:before="0" w:line="240" w:lineRule="auto"/>
              <w:jc w:val="left"/>
            </w:pPr>
            <w:r>
              <w:rPr>
                <w:rFonts w:ascii="Arial" w:hAnsi="Arial"/>
                <w:sz w:val="15"/>
              </w:rPr>
              <w:t xml:space="preserve">Gary J. Pruden</w:t>
            </w:r>
          </w:p>
        </w:tc>
        <w:tc>
          <w:tcPr>
            <w:tcW w:type="dxa" w:w="1540"/>
          </w:tcPr>
          <w:p>
            <w:pPr>
              <w:pStyle w:val="Compact"/>
              <w:spacing w:after="0" w:before="0" w:line="240" w:lineRule="auto"/>
              <w:jc w:val="left"/>
            </w:pPr>
            <w:r>
              <w:rPr>
                <w:rFonts w:ascii="Arial" w:hAnsi="Arial"/>
                <w:sz w:val="15"/>
              </w:rPr>
              <w:t xml:space="preserve">Outside director</w:t>
            </w:r>
          </w:p>
        </w:tc>
        <w:tc>
          <w:tcPr>
            <w:tcW w:type="dxa" w:w="1696"/>
          </w:tcPr>
          <w:p>
            <w:pPr>
              <w:pStyle w:val="Compact"/>
              <w:spacing w:after="0" w:before="0" w:line="240" w:lineRule="auto"/>
              <w:jc w:val="center"/>
            </w:pPr>
            <w:r>
              <w:rPr>
                <w:rFonts w:ascii="Arial" w:hAnsi="Arial"/>
                <w:sz w:val="15"/>
              </w:rPr>
              <w:t xml:space="preserve">Yes</w:t>
            </w:r>
          </w:p>
        </w:tc>
        <w:tc>
          <w:tcPr>
            <w:tcW w:type="dxa" w:w="1043"/>
          </w:tcPr>
          <w:p>
            <w:pPr>
              <w:pStyle w:val="Compact"/>
              <w:spacing w:after="0" w:before="0" w:line="240" w:lineRule="auto"/>
              <w:jc w:val="left"/>
            </w:pPr>
            <w:r>
              <w:rPr>
                <w:rFonts w:ascii="Arial" w:hAnsi="Arial"/>
                <w:sz w:val="15"/>
              </w:rPr>
              <w:t xml:space="preserve">Jun-2022</w:t>
            </w:r>
          </w:p>
        </w:tc>
        <w:tc>
          <w:tcPr>
            <w:tcW w:type="dxa" w:w="2548"/>
          </w:tcPr>
          <w:p>
            <w:pPr>
              <w:pStyle w:val="Compact"/>
              <w:spacing w:after="0" w:before="0" w:line="240" w:lineRule="auto"/>
              <w:jc w:val="left"/>
            </w:pPr>
            <w:r>
              <w:rPr>
                <w:rFonts w:ascii="Arial" w:hAnsi="Arial"/>
                <w:sz w:val="15"/>
              </w:rPr>
              <w:t xml:space="preserve">J&amp;J Worldwide Chairman, Medical Devices (2015–17)</w:t>
            </w:r>
          </w:p>
        </w:tc>
        <w:tc>
          <w:tcPr>
            <w:tcW w:type="dxa" w:w="1678"/>
          </w:tcPr>
          <w:p>
            <w:pPr>
              <w:pStyle w:val="Compact"/>
              <w:spacing w:after="0" w:before="0" w:line="240" w:lineRule="auto"/>
              <w:jc w:val="left"/>
            </w:pPr>
            <w:r>
              <w:rPr>
                <w:rFonts w:ascii="Arial" w:hAnsi="Arial"/>
                <w:sz w:val="15"/>
              </w:rPr>
              <w:t xml:space="preserve">Nominating</w:t>
            </w:r>
          </w:p>
        </w:tc>
      </w:tr>
      <w:tr>
        <w:trPr>
          <w:cantSplit/>
        </w:trPr>
        <w:tc>
          <w:tcPr>
            <w:tcW w:type="dxa" w:w="1473"/>
            <w:shd w:val="clear" w:color="auto" w:fill="F1F2F5"/>
          </w:tcPr>
          <w:p>
            <w:pPr>
              <w:pStyle w:val="Compact"/>
              <w:spacing w:after="0" w:before="0" w:line="240" w:lineRule="auto"/>
              <w:jc w:val="left"/>
            </w:pPr>
            <w:r>
              <w:rPr>
                <w:rFonts w:ascii="Arial" w:hAnsi="Arial"/>
                <w:sz w:val="15"/>
              </w:rPr>
              <w:t xml:space="preserve">Luann M. Pendy, PhD</w:t>
            </w:r>
          </w:p>
        </w:tc>
        <w:tc>
          <w:tcPr>
            <w:tcW w:type="dxa" w:w="1540"/>
            <w:shd w:val="clear" w:color="auto" w:fill="F1F2F5"/>
          </w:tcPr>
          <w:p>
            <w:pPr>
              <w:pStyle w:val="Compact"/>
              <w:spacing w:after="0" w:before="0" w:line="240" w:lineRule="auto"/>
              <w:jc w:val="left"/>
            </w:pPr>
            <w:r>
              <w:rPr>
                <w:rFonts w:ascii="Arial" w:hAnsi="Arial"/>
                <w:sz w:val="15"/>
              </w:rPr>
              <w:t xml:space="preserve">Outside director</w:t>
            </w:r>
          </w:p>
        </w:tc>
        <w:tc>
          <w:tcPr>
            <w:tcW w:type="dxa" w:w="1696"/>
            <w:shd w:val="clear" w:color="auto" w:fill="F1F2F5"/>
          </w:tcPr>
          <w:p>
            <w:pPr>
              <w:pStyle w:val="Compact"/>
              <w:spacing w:after="0" w:before="0" w:line="240" w:lineRule="auto"/>
              <w:jc w:val="center"/>
            </w:pPr>
            <w:r>
              <w:rPr>
                <w:rFonts w:ascii="Arial" w:hAnsi="Arial"/>
                <w:sz w:val="15"/>
              </w:rPr>
              <w:t xml:space="preserve">Yes</w:t>
            </w:r>
          </w:p>
        </w:tc>
        <w:tc>
          <w:tcPr>
            <w:tcW w:type="dxa" w:w="1043"/>
            <w:shd w:val="clear" w:color="auto" w:fill="F1F2F5"/>
          </w:tcPr>
          <w:p>
            <w:pPr>
              <w:pStyle w:val="Compact"/>
              <w:spacing w:after="0" w:before="0" w:line="240" w:lineRule="auto"/>
              <w:jc w:val="left"/>
            </w:pPr>
            <w:r>
              <w:rPr>
                <w:rFonts w:ascii="Arial" w:hAnsi="Arial"/>
                <w:sz w:val="15"/>
              </w:rPr>
              <w:t xml:space="preserve">Jun-2023</w:t>
            </w:r>
          </w:p>
        </w:tc>
        <w:tc>
          <w:tcPr>
            <w:tcW w:type="dxa" w:w="2548"/>
            <w:shd w:val="clear" w:color="auto" w:fill="F1F2F5"/>
          </w:tcPr>
          <w:p>
            <w:pPr>
              <w:pStyle w:val="Compact"/>
              <w:spacing w:after="0" w:before="0" w:line="240" w:lineRule="auto"/>
              <w:jc w:val="left"/>
            </w:pPr>
            <w:r>
              <w:rPr>
                <w:rFonts w:ascii="Arial" w:hAnsi="Arial"/>
                <w:sz w:val="15"/>
              </w:rPr>
              <w:t xml:space="preserve">Medtronic SVP and Chief Quality &amp; Regulatory Officer</w:t>
            </w:r>
          </w:p>
        </w:tc>
        <w:tc>
          <w:tcPr>
            <w:tcW w:type="dxa" w:w="1678"/>
            <w:shd w:val="clear" w:color="auto" w:fill="F1F2F5"/>
          </w:tcPr>
          <w:p>
            <w:pPr>
              <w:pStyle w:val="Compact"/>
              <w:spacing w:after="0" w:before="0" w:line="240" w:lineRule="auto"/>
              <w:jc w:val="left"/>
            </w:pPr>
            <w:r>
              <w:rPr>
                <w:rFonts w:ascii="Arial" w:hAnsi="Arial"/>
                <w:sz w:val="15"/>
              </w:rPr>
              <w:t xml:space="preserve">Nominating; Compensation</w:t>
            </w:r>
          </w:p>
        </w:tc>
      </w:tr>
      <w:tr>
        <w:trPr>
          <w:cantSplit/>
        </w:trPr>
        <w:tc>
          <w:tcPr>
            <w:tcW w:type="dxa" w:w="1473"/>
          </w:tcPr>
          <w:p>
            <w:pPr>
              <w:pStyle w:val="Compact"/>
              <w:spacing w:after="0" w:before="0" w:line="240" w:lineRule="auto"/>
              <w:jc w:val="left"/>
            </w:pPr>
            <w:r>
              <w:rPr>
                <w:rFonts w:ascii="Arial" w:hAnsi="Arial"/>
                <w:sz w:val="15"/>
              </w:rPr>
              <w:t xml:space="preserve">Jean-Luc Butel</w:t>
            </w:r>
          </w:p>
        </w:tc>
        <w:tc>
          <w:tcPr>
            <w:tcW w:type="dxa" w:w="1540"/>
          </w:tcPr>
          <w:p>
            <w:pPr>
              <w:pStyle w:val="Compact"/>
              <w:spacing w:after="0" w:before="0" w:line="240" w:lineRule="auto"/>
              <w:jc w:val="left"/>
            </w:pPr>
            <w:r>
              <w:rPr>
                <w:rFonts w:ascii="Arial" w:hAnsi="Arial"/>
                <w:sz w:val="15"/>
              </w:rPr>
              <w:t xml:space="preserve">Outside director</w:t>
            </w:r>
          </w:p>
        </w:tc>
        <w:tc>
          <w:tcPr>
            <w:tcW w:type="dxa" w:w="1696"/>
          </w:tcPr>
          <w:p>
            <w:pPr>
              <w:pStyle w:val="Compact"/>
              <w:spacing w:after="0" w:before="0" w:line="240" w:lineRule="auto"/>
              <w:jc w:val="center"/>
            </w:pPr>
            <w:r>
              <w:rPr>
                <w:rFonts w:ascii="Arial" w:hAnsi="Arial"/>
                <w:sz w:val="15"/>
              </w:rPr>
              <w:t xml:space="preserve">Yes</w:t>
            </w:r>
          </w:p>
        </w:tc>
        <w:tc>
          <w:tcPr>
            <w:tcW w:type="dxa" w:w="1043"/>
          </w:tcPr>
          <w:p>
            <w:pPr>
              <w:pStyle w:val="Compact"/>
              <w:spacing w:after="0" w:before="0" w:line="240" w:lineRule="auto"/>
              <w:jc w:val="left"/>
            </w:pPr>
            <w:r>
              <w:rPr>
                <w:rFonts w:ascii="Arial" w:hAnsi="Arial"/>
                <w:sz w:val="15"/>
              </w:rPr>
              <w:t xml:space="preserve">Jun-2026</w:t>
            </w:r>
          </w:p>
        </w:tc>
        <w:tc>
          <w:tcPr>
            <w:tcW w:type="dxa" w:w="2548"/>
          </w:tcPr>
          <w:p>
            <w:pPr>
              <w:pStyle w:val="Compact"/>
              <w:spacing w:after="0" w:before="0" w:line="240" w:lineRule="auto"/>
              <w:jc w:val="left"/>
            </w:pPr>
            <w:r>
              <w:rPr>
                <w:rFonts w:ascii="Arial" w:hAnsi="Arial"/>
                <w:sz w:val="15"/>
              </w:rPr>
              <w:t xml:space="preserve">Medtronic EVP International; Baxter; BD Japan</w:t>
            </w:r>
          </w:p>
        </w:tc>
        <w:tc>
          <w:tcPr>
            <w:tcW w:type="dxa" w:w="1678"/>
          </w:tcPr>
          <w:p>
            <w:pPr>
              <w:pStyle w:val="Compact"/>
              <w:spacing w:after="0" w:before="0" w:line="240" w:lineRule="auto"/>
              <w:jc w:val="left"/>
            </w:pPr>
            <w:r>
              <w:rPr>
                <w:rFonts w:ascii="Arial" w:hAnsi="Arial"/>
                <w:sz w:val="15"/>
              </w:rPr>
              <w:t xml:space="preserve">n/a [u]</w:t>
            </w:r>
          </w:p>
        </w:tc>
      </w:tr>
      <w:tr>
        <w:trPr>
          <w:cantSplit/>
        </w:trPr>
        <w:tc>
          <w:tcPr>
            <w:tcW w:type="dxa" w:w="1473"/>
            <w:shd w:val="clear" w:color="auto" w:fill="F1F2F5"/>
          </w:tcPr>
          <w:p>
            <w:pPr>
              <w:pStyle w:val="Compact"/>
              <w:spacing w:after="0" w:before="0" w:line="240" w:lineRule="auto"/>
              <w:jc w:val="left"/>
            </w:pPr>
            <w:r>
              <w:rPr>
                <w:rFonts w:ascii="Arial" w:hAnsi="Arial"/>
                <w:sz w:val="15"/>
              </w:rPr>
              <w:t xml:space="preserve">Constantine Saroukos</w:t>
            </w:r>
          </w:p>
        </w:tc>
        <w:tc>
          <w:tcPr>
            <w:tcW w:type="dxa" w:w="1540"/>
            <w:shd w:val="clear" w:color="auto" w:fill="F1F2F5"/>
          </w:tcPr>
          <w:p>
            <w:pPr>
              <w:pStyle w:val="Compact"/>
              <w:spacing w:after="0" w:before="0" w:line="240" w:lineRule="auto"/>
              <w:jc w:val="left"/>
            </w:pPr>
            <w:r>
              <w:rPr>
                <w:rFonts w:ascii="Arial" w:hAnsi="Arial"/>
                <w:sz w:val="15"/>
              </w:rPr>
              <w:t xml:space="preserve">Outside director</w:t>
            </w:r>
          </w:p>
        </w:tc>
        <w:tc>
          <w:tcPr>
            <w:tcW w:type="dxa" w:w="1696"/>
            <w:shd w:val="clear" w:color="auto" w:fill="F1F2F5"/>
          </w:tcPr>
          <w:p>
            <w:pPr>
              <w:pStyle w:val="Compact"/>
              <w:spacing w:after="0" w:before="0" w:line="240" w:lineRule="auto"/>
              <w:jc w:val="center"/>
            </w:pPr>
            <w:r>
              <w:rPr>
                <w:rFonts w:ascii="Arial" w:hAnsi="Arial"/>
                <w:sz w:val="15"/>
              </w:rPr>
              <w:t xml:space="preserve">Yes</w:t>
            </w:r>
          </w:p>
        </w:tc>
        <w:tc>
          <w:tcPr>
            <w:tcW w:type="dxa" w:w="1043"/>
            <w:shd w:val="clear" w:color="auto" w:fill="F1F2F5"/>
          </w:tcPr>
          <w:p>
            <w:pPr>
              <w:pStyle w:val="Compact"/>
              <w:spacing w:after="0" w:before="0" w:line="240" w:lineRule="auto"/>
              <w:jc w:val="left"/>
            </w:pPr>
            <w:r>
              <w:rPr>
                <w:rFonts w:ascii="Arial" w:hAnsi="Arial"/>
                <w:sz w:val="15"/>
              </w:rPr>
              <w:t xml:space="preserve">Jun-2026</w:t>
            </w:r>
          </w:p>
        </w:tc>
        <w:tc>
          <w:tcPr>
            <w:tcW w:type="dxa" w:w="2548"/>
            <w:shd w:val="clear" w:color="auto" w:fill="F1F2F5"/>
          </w:tcPr>
          <w:p>
            <w:pPr>
              <w:pStyle w:val="Compact"/>
              <w:spacing w:after="0" w:before="0" w:line="240" w:lineRule="auto"/>
              <w:jc w:val="left"/>
            </w:pPr>
            <w:r>
              <w:rPr>
                <w:rFonts w:ascii="Arial" w:hAnsi="Arial"/>
                <w:sz w:val="15"/>
              </w:rPr>
              <w:t xml:space="preserve">Takeda CFO (2018–24); CSL director; Chair, Mitsubishi Tanabe</w:t>
            </w:r>
          </w:p>
        </w:tc>
        <w:tc>
          <w:tcPr>
            <w:tcW w:type="dxa" w:w="1678"/>
            <w:shd w:val="clear" w:color="auto" w:fill="F1F2F5"/>
          </w:tcPr>
          <w:p>
            <w:pPr>
              <w:pStyle w:val="Compact"/>
              <w:spacing w:after="0" w:before="0" w:line="240" w:lineRule="auto"/>
              <w:jc w:val="left"/>
            </w:pPr>
            <w:r>
              <w:rPr>
                <w:rFonts w:ascii="Arial" w:hAnsi="Arial"/>
                <w:sz w:val="15"/>
              </w:rPr>
              <w:t xml:space="preserve">n/a (likely Audit) [u]</w:t>
            </w:r>
          </w:p>
        </w:tc>
      </w:tr>
    </w:tbl>
    <w:p>
      <w:pPr>
        <w:pStyle w:val="BodyText"/>
      </w:pPr>
      <w:r>
        <w:rPr>
          <w:iCs/>
          <w:i/>
        </w:rPr>
        <w:t xml:space="preserve">Company with a Nominating Committee structure (three committees). 10 directors: 9 independent, 7 non-Japanese, 2 women. Source: S&amp;P CIQ Professionals; TSE release of 29-Sep-2026.</w:t>
      </w:r>
    </w:p>
    <w:p>
      <w:pPr>
        <w:pStyle w:val="BodyText"/>
      </w:pPr>
      <w:r>
        <w:rPr>
          <w:bCs/>
          <w:b/>
        </w:rPr>
        <w:t xml:space="preserve">Changes over the last five years.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94"/>
        <w:gridCol w:w="3734"/>
        <w:gridCol w:w="4349"/>
      </w:tblGrid>
      <w:tr>
        <w:trPr>
          <w:tblHeader w:val="true"/>
          <w:tblHeader w:val="true"/>
          <w:cantSplit/>
        </w:trPr>
        <w:tc>
          <w:tcPr>
            <w:tcW w:type="dxa" w:w="1895"/>
            <w:shd w:val="clear" w:color="auto" w:fill="13213F"/>
          </w:tcPr>
          <w:p>
            <w:pPr>
              <w:pStyle w:val="Compact"/>
              <w:spacing w:after="0" w:before="0" w:line="240" w:lineRule="auto"/>
              <w:jc w:val="left"/>
            </w:pPr>
            <w:r>
              <w:rPr>
                <w:rFonts w:ascii="Arial" w:hAnsi="Arial"/>
                <w:b/>
                <w:color w:val="FFFFFF"/>
                <w:sz w:val="15"/>
              </w:rPr>
              <w:t xml:space="preserve">AGM / event</w:t>
            </w:r>
          </w:p>
        </w:tc>
        <w:tc>
          <w:tcPr>
            <w:tcW w:type="dxa" w:w="3734"/>
            <w:shd w:val="clear" w:color="auto" w:fill="13213F"/>
          </w:tcPr>
          <w:p>
            <w:pPr>
              <w:pStyle w:val="Compact"/>
              <w:spacing w:after="0" w:before="0" w:line="240" w:lineRule="auto"/>
              <w:jc w:val="left"/>
            </w:pPr>
            <w:r>
              <w:rPr>
                <w:rFonts w:ascii="Arial" w:hAnsi="Arial"/>
                <w:b/>
                <w:color w:val="FFFFFF"/>
                <w:sz w:val="15"/>
              </w:rPr>
              <w:t xml:space="preserve">Joined</w:t>
            </w:r>
          </w:p>
        </w:tc>
        <w:tc>
          <w:tcPr>
            <w:tcW w:type="dxa" w:w="4349"/>
            <w:shd w:val="clear" w:color="auto" w:fill="13213F"/>
          </w:tcPr>
          <w:p>
            <w:pPr>
              <w:pStyle w:val="Compact"/>
              <w:spacing w:after="0" w:before="0" w:line="240" w:lineRule="auto"/>
              <w:jc w:val="left"/>
            </w:pPr>
            <w:r>
              <w:rPr>
                <w:rFonts w:ascii="Arial" w:hAnsi="Arial"/>
                <w:b/>
                <w:color w:val="FFFFFF"/>
                <w:sz w:val="15"/>
              </w:rPr>
              <w:t xml:space="preserve">Left</w:t>
            </w:r>
          </w:p>
        </w:tc>
      </w:tr>
      <w:tr>
        <w:trPr>
          <w:cantSplit/>
        </w:trPr>
        <w:tc>
          <w:tcPr>
            <w:tcW w:type="dxa" w:w="1895"/>
          </w:tcPr>
          <w:p>
            <w:pPr>
              <w:pStyle w:val="Compact"/>
              <w:spacing w:after="0" w:before="0" w:line="240" w:lineRule="auto"/>
              <w:jc w:val="left"/>
            </w:pPr>
            <w:r>
              <w:rPr>
                <w:rFonts w:ascii="Arial" w:hAnsi="Arial"/>
                <w:sz w:val="15"/>
              </w:rPr>
              <w:t xml:space="preserve">Jun-2022</w:t>
            </w:r>
          </w:p>
        </w:tc>
        <w:tc>
          <w:tcPr>
            <w:tcW w:type="dxa" w:w="3734"/>
          </w:tcPr>
          <w:p>
            <w:pPr>
              <w:pStyle w:val="Compact"/>
              <w:spacing w:after="0" w:before="0" w:line="240" w:lineRule="auto"/>
              <w:jc w:val="left"/>
            </w:pPr>
            <w:r>
              <w:rPr>
                <w:rFonts w:ascii="Arial" w:hAnsi="Arial"/>
                <w:sz w:val="15"/>
              </w:rPr>
              <w:t xml:space="preserve">Kohei Kan, Gary Pruden, Yasushi Shingai</w:t>
            </w:r>
          </w:p>
        </w:tc>
        <w:tc>
          <w:tcPr>
            <w:tcW w:type="dxa" w:w="4349"/>
          </w:tcPr>
          <w:p>
            <w:pPr>
              <w:pStyle w:val="Compact"/>
              <w:spacing w:after="0" w:before="0" w:line="240" w:lineRule="auto"/>
              <w:jc w:val="left"/>
            </w:pPr>
            <w:r>
              <w:rPr>
                <w:rFonts w:ascii="Arial" w:hAnsi="Arial"/>
                <w:sz w:val="15"/>
              </w:rPr>
              <w:t xml:space="preserve">Susumu Kaminaga, Atsushi Iwasaki</w:t>
            </w:r>
          </w:p>
        </w:tc>
      </w:tr>
      <w:tr>
        <w:trPr>
          <w:cantSplit/>
        </w:trPr>
        <w:tc>
          <w:tcPr>
            <w:tcW w:type="dxa" w:w="1895"/>
            <w:shd w:val="clear" w:color="auto" w:fill="F1F2F5"/>
          </w:tcPr>
          <w:p>
            <w:pPr>
              <w:pStyle w:val="Compact"/>
              <w:spacing w:after="0" w:before="0" w:line="240" w:lineRule="auto"/>
              <w:jc w:val="left"/>
            </w:pPr>
            <w:r>
              <w:rPr>
                <w:rFonts w:ascii="Arial" w:hAnsi="Arial"/>
                <w:sz w:val="15"/>
              </w:rPr>
              <w:t xml:space="preserve">Jun-2023</w:t>
            </w:r>
          </w:p>
        </w:tc>
        <w:tc>
          <w:tcPr>
            <w:tcW w:type="dxa" w:w="3734"/>
            <w:shd w:val="clear" w:color="auto" w:fill="F1F2F5"/>
          </w:tcPr>
          <w:p>
            <w:pPr>
              <w:pStyle w:val="Compact"/>
              <w:spacing w:after="0" w:before="0" w:line="240" w:lineRule="auto"/>
              <w:jc w:val="left"/>
            </w:pPr>
            <w:r>
              <w:rPr>
                <w:rFonts w:ascii="Arial" w:hAnsi="Arial"/>
                <w:sz w:val="15"/>
              </w:rPr>
              <w:t xml:space="preserve">Luann Pendy, Toshihiko Okubo (internal), Tatsuro Kosaka</w:t>
            </w:r>
          </w:p>
        </w:tc>
        <w:tc>
          <w:tcPr>
            <w:tcW w:type="dxa" w:w="4349"/>
            <w:shd w:val="clear" w:color="auto" w:fill="F1F2F5"/>
          </w:tcPr>
          <w:p>
            <w:pPr>
              <w:pStyle w:val="Compact"/>
              <w:spacing w:after="0" w:before="0" w:line="240" w:lineRule="auto"/>
              <w:jc w:val="left"/>
            </w:pPr>
            <w:r>
              <w:rPr>
                <w:rFonts w:ascii="Arial" w:hAnsi="Arial"/>
                <w:sz w:val="15"/>
              </w:rPr>
              <w:t xml:space="preserve">Nobuyuki Koga, Tetsuo Iwamura</w:t>
            </w:r>
          </w:p>
        </w:tc>
      </w:tr>
      <w:tr>
        <w:trPr>
          <w:cantSplit/>
        </w:trPr>
        <w:tc>
          <w:tcPr>
            <w:tcW w:type="dxa" w:w="1895"/>
          </w:tcPr>
          <w:p>
            <w:pPr>
              <w:pStyle w:val="Compact"/>
              <w:spacing w:after="0" w:before="0" w:line="240" w:lineRule="auto"/>
              <w:jc w:val="left"/>
            </w:pPr>
            <w:r>
              <w:rPr>
                <w:rFonts w:ascii="Arial" w:hAnsi="Arial"/>
                <w:sz w:val="15"/>
              </w:rPr>
              <w:t xml:space="preserve">Jun-2024</w:t>
            </w:r>
          </w:p>
        </w:tc>
        <w:tc>
          <w:tcPr>
            <w:tcW w:type="dxa" w:w="3734"/>
          </w:tcPr>
          <w:p>
            <w:pPr>
              <w:pStyle w:val="Compact"/>
              <w:spacing w:after="0" w:before="0" w:line="240" w:lineRule="auto"/>
              <w:jc w:val="left"/>
            </w:pPr>
            <w:r>
              <w:rPr>
                <w:rFonts w:ascii="Arial" w:hAnsi="Arial"/>
                <w:sz w:val="15"/>
              </w:rPr>
              <w:t xml:space="preserve">Masato Iwasaki</w:t>
            </w:r>
          </w:p>
        </w:tc>
        <w:tc>
          <w:tcPr>
            <w:tcW w:type="dxa" w:w="4349"/>
          </w:tcPr>
          <w:p>
            <w:pPr>
              <w:pStyle w:val="Compact"/>
              <w:spacing w:after="0" w:before="0" w:line="240" w:lineRule="auto"/>
              <w:jc w:val="left"/>
            </w:pPr>
            <w:r>
              <w:rPr>
                <w:rFonts w:ascii="Arial" w:hAnsi="Arial"/>
                <w:sz w:val="15"/>
              </w:rPr>
              <w:t xml:space="preserve">Yasumasa Masuda, Yasushi Shingai, Tatsuro Kosaka</w:t>
            </w:r>
          </w:p>
        </w:tc>
      </w:tr>
      <w:tr>
        <w:trPr>
          <w:cantSplit/>
        </w:trPr>
        <w:tc>
          <w:tcPr>
            <w:tcW w:type="dxa" w:w="1895"/>
            <w:shd w:val="clear" w:color="auto" w:fill="F1F2F5"/>
          </w:tcPr>
          <w:p>
            <w:pPr>
              <w:pStyle w:val="Compact"/>
              <w:spacing w:after="0" w:before="0" w:line="240" w:lineRule="auto"/>
              <w:jc w:val="left"/>
            </w:pPr>
            <w:r>
              <w:rPr>
                <w:rFonts w:ascii="Arial" w:hAnsi="Arial"/>
                <w:sz w:val="15"/>
              </w:rPr>
              <w:t xml:space="preserve">28-Oct-2024</w:t>
            </w:r>
          </w:p>
        </w:tc>
        <w:tc>
          <w:tcPr>
            <w:tcW w:type="dxa" w:w="3734"/>
            <w:shd w:val="clear" w:color="auto" w:fill="F1F2F5"/>
          </w:tcPr>
          <w:p>
            <w:pPr>
              <w:pStyle w:val="Compact"/>
              <w:spacing w:after="0" w:before="0" w:line="240" w:lineRule="auto"/>
              <w:jc w:val="left"/>
            </w:pPr>
            <w:r>
              <w:rPr>
                <w:rFonts w:ascii="Arial" w:hAnsi="Arial"/>
                <w:sz w:val="15"/>
              </w:rPr>
              <w:t xml:space="preserve">–</w:t>
            </w:r>
          </w:p>
        </w:tc>
        <w:tc>
          <w:tcPr>
            <w:tcW w:type="dxa" w:w="4349"/>
            <w:shd w:val="clear" w:color="auto" w:fill="F1F2F5"/>
          </w:tcPr>
          <w:p>
            <w:pPr>
              <w:pStyle w:val="Compact"/>
              <w:spacing w:after="0" w:before="0" w:line="240" w:lineRule="auto"/>
              <w:jc w:val="left"/>
            </w:pPr>
            <w:r>
              <w:rPr>
                <w:bCs/>
                <w:rFonts w:ascii="Arial" w:hAnsi="Arial"/>
                <w:b/>
                <w:sz w:val="15"/>
              </w:rPr>
              <w:t xml:space="preserve">Stefan Kaufmann (CEO; resigned at the board’s request)</w:t>
            </w:r>
          </w:p>
        </w:tc>
      </w:tr>
      <w:tr>
        <w:trPr>
          <w:cantSplit/>
        </w:trPr>
        <w:tc>
          <w:tcPr>
            <w:tcW w:type="dxa" w:w="1895"/>
          </w:tcPr>
          <w:p>
            <w:pPr>
              <w:pStyle w:val="Compact"/>
              <w:spacing w:after="0" w:before="0" w:line="240" w:lineRule="auto"/>
              <w:jc w:val="left"/>
            </w:pPr>
            <w:r>
              <w:rPr>
                <w:rFonts w:ascii="Arial" w:hAnsi="Arial"/>
                <w:sz w:val="15"/>
              </w:rPr>
              <w:t xml:space="preserve">Jun-2025</w:t>
            </w:r>
          </w:p>
        </w:tc>
        <w:tc>
          <w:tcPr>
            <w:tcW w:type="dxa" w:w="3734"/>
          </w:tcPr>
          <w:p>
            <w:pPr>
              <w:pStyle w:val="Compact"/>
              <w:spacing w:after="0" w:before="0" w:line="240" w:lineRule="auto"/>
              <w:jc w:val="left"/>
            </w:pPr>
            <w:r>
              <w:rPr>
                <w:bCs/>
                <w:rFonts w:ascii="Arial" w:hAnsi="Arial"/>
                <w:b/>
                <w:sz w:val="15"/>
              </w:rPr>
              <w:t xml:space="preserve">Bob White</w:t>
            </w:r>
            <w:r>
              <w:rPr>
                <w:rFonts w:ascii="Arial" w:hAnsi="Arial"/>
                <w:sz w:val="15"/>
              </w:rPr>
              <w:t xml:space="preserve">, Hiroshi Ishino</w:t>
            </w:r>
          </w:p>
        </w:tc>
        <w:tc>
          <w:tcPr>
            <w:tcW w:type="dxa" w:w="4349"/>
          </w:tcPr>
          <w:p>
            <w:pPr>
              <w:pStyle w:val="Compact"/>
              <w:spacing w:after="0" w:before="0" w:line="240" w:lineRule="auto"/>
              <w:jc w:val="left"/>
            </w:pPr>
            <w:r>
              <w:rPr>
                <w:rFonts w:ascii="Arial" w:hAnsi="Arial"/>
                <w:sz w:val="15"/>
              </w:rPr>
              <w:t xml:space="preserve">Sumitaka Fujita (former Chair)</w:t>
            </w:r>
          </w:p>
        </w:tc>
      </w:tr>
      <w:tr>
        <w:trPr>
          <w:cantSplit/>
        </w:trPr>
        <w:tc>
          <w:tcPr>
            <w:tcW w:type="dxa" w:w="1895"/>
            <w:shd w:val="clear" w:color="auto" w:fill="F1F2F5"/>
          </w:tcPr>
          <w:p>
            <w:pPr>
              <w:pStyle w:val="Compact"/>
              <w:spacing w:after="0" w:before="0" w:line="240" w:lineRule="auto"/>
              <w:jc w:val="left"/>
            </w:pPr>
            <w:r>
              <w:rPr>
                <w:rFonts w:ascii="Arial" w:hAnsi="Arial"/>
                <w:sz w:val="15"/>
              </w:rPr>
              <w:t xml:space="preserve">Jun-2026</w:t>
            </w:r>
          </w:p>
        </w:tc>
        <w:tc>
          <w:tcPr>
            <w:tcW w:type="dxa" w:w="3734"/>
            <w:shd w:val="clear" w:color="auto" w:fill="F1F2F5"/>
          </w:tcPr>
          <w:p>
            <w:pPr>
              <w:pStyle w:val="Compact"/>
              <w:spacing w:after="0" w:before="0" w:line="240" w:lineRule="auto"/>
              <w:jc w:val="left"/>
            </w:pPr>
            <w:r>
              <w:rPr>
                <w:rFonts w:ascii="Arial" w:hAnsi="Arial"/>
                <w:sz w:val="15"/>
              </w:rPr>
              <w:t xml:space="preserve">Jean-Luc Butel, Costa Saroukos</w:t>
            </w:r>
          </w:p>
        </w:tc>
        <w:tc>
          <w:tcPr>
            <w:tcW w:type="dxa" w:w="4349"/>
            <w:shd w:val="clear" w:color="auto" w:fill="F1F2F5"/>
          </w:tcPr>
          <w:p>
            <w:pPr>
              <w:pStyle w:val="Compact"/>
              <w:spacing w:after="0" w:before="0" w:line="240" w:lineRule="auto"/>
              <w:jc w:val="left"/>
            </w:pPr>
            <w:r>
              <w:rPr>
                <w:bCs/>
                <w:rFonts w:ascii="Arial" w:hAnsi="Arial"/>
                <w:b/>
                <w:sz w:val="15"/>
              </w:rPr>
              <w:t xml:space="preserve">Yasuo Takeuchi (ex-CEO and Executive Chair)</w:t>
            </w:r>
            <w:r>
              <w:rPr>
                <w:rFonts w:ascii="Arial" w:hAnsi="Arial"/>
                <w:sz w:val="15"/>
              </w:rPr>
              <w:t xml:space="preserve">, Toshihiko Okubo</w:t>
            </w:r>
          </w:p>
        </w:tc>
      </w:tr>
      <w:tr>
        <w:trPr>
          <w:cantSplit/>
        </w:trPr>
        <w:tc>
          <w:tcPr>
            <w:tcW w:type="dxa" w:w="1895"/>
          </w:tcPr>
          <w:p>
            <w:pPr>
              <w:pStyle w:val="Compact"/>
              <w:spacing w:after="0" w:before="0" w:line="240" w:lineRule="auto"/>
              <w:jc w:val="left"/>
            </w:pPr>
            <w:r>
              <w:rPr>
                <w:rFonts w:ascii="Arial" w:hAnsi="Arial"/>
                <w:sz w:val="15"/>
              </w:rPr>
              <w:t xml:space="preserve">29-Sep-2026</w:t>
            </w:r>
          </w:p>
        </w:tc>
        <w:tc>
          <w:tcPr>
            <w:tcW w:type="dxa" w:w="3734"/>
          </w:tcPr>
          <w:p>
            <w:pPr>
              <w:pStyle w:val="Compact"/>
              <w:spacing w:after="0" w:before="0" w:line="240" w:lineRule="auto"/>
              <w:jc w:val="left"/>
            </w:pPr>
            <w:r>
              <w:rPr>
                <w:rFonts w:ascii="Arial" w:hAnsi="Arial"/>
                <w:sz w:val="15"/>
              </w:rPr>
              <w:t xml:space="preserve">–</w:t>
            </w:r>
          </w:p>
        </w:tc>
        <w:tc>
          <w:tcPr>
            <w:tcW w:type="dxa" w:w="4349"/>
          </w:tcPr>
          <w:p>
            <w:pPr>
              <w:pStyle w:val="Compact"/>
              <w:spacing w:after="0" w:before="0" w:line="240" w:lineRule="auto"/>
              <w:jc w:val="left"/>
            </w:pPr>
            <w:r>
              <w:rPr>
                <w:rFonts w:ascii="Arial" w:hAnsi="Arial"/>
                <w:sz w:val="15"/>
              </w:rPr>
              <w:t xml:space="preserve">Hiroshi Ishino (health reasons)</w:t>
            </w:r>
          </w:p>
        </w:tc>
      </w:tr>
    </w:tbl>
    <w:p>
      <w:pPr>
        <w:pStyle w:val="BodyText"/>
      </w:pPr>
      <w:r>
        <w:rPr>
          <w:bCs/>
          <w:b/>
        </w:rPr>
        <w:t xml:space="preserve">Board assessment.</w:t>
      </w:r>
    </w:p>
    <w:p>
      <w:pPr>
        <w:numPr>
          <w:ilvl w:val="0"/>
          <w:numId w:val="1040"/>
        </w:numPr>
        <w:pStyle w:val="Compact"/>
      </w:pPr>
      <w:r>
        <w:rPr>
          <w:bCs/>
          <w:b/>
        </w:rPr>
        <w:t xml:space="preserve">Strengths:</w:t>
      </w:r>
      <w:r>
        <w:t xml:space="preserve"> </w:t>
      </w:r>
      <w:r>
        <w:t xml:space="preserve">high independence; deep medtech, quality and regulatory expertise (Pendy, Pruden, Beasley, Butel); finance depth (Kan, Saroukos); and shareholder representation (Hale). The board acted decisively in the Kaufmann case.</w:t>
      </w:r>
    </w:p>
    <w:p>
      <w:pPr>
        <w:numPr>
          <w:ilvl w:val="0"/>
          <w:numId w:val="1040"/>
        </w:numPr>
        <w:pStyle w:val="Compact"/>
      </w:pPr>
      <w:r>
        <w:rPr>
          <w:bCs/>
          <w:b/>
        </w:rPr>
        <w:t xml:space="preserve">Weaknesses:</w:t>
      </w:r>
    </w:p>
    <w:p>
      <w:pPr>
        <w:numPr>
          <w:ilvl w:val="1"/>
          <w:numId w:val="1041"/>
        </w:numPr>
        <w:pStyle w:val="Compact"/>
      </w:pPr>
      <w:r>
        <w:t xml:space="preserve">Since Jun-2026 there is no internal director other than the CEO, so the board relies heavily on management reporting about Japanese plants.</w:t>
      </w:r>
    </w:p>
    <w:p>
      <w:pPr>
        <w:numPr>
          <w:ilvl w:val="1"/>
          <w:numId w:val="1041"/>
        </w:numPr>
        <w:pStyle w:val="Compact"/>
      </w:pPr>
      <w:r>
        <w:t xml:space="preserve">The Compensation Committee (Beasley, Hale, Pendy) has overseen sharp pay escalation.</w:t>
      </w:r>
    </w:p>
    <w:p>
      <w:pPr>
        <w:numPr>
          <w:ilvl w:val="1"/>
          <w:numId w:val="1041"/>
        </w:numPr>
        <w:pStyle w:val="Compact"/>
      </w:pPr>
      <w:r>
        <w:t xml:space="preserve">Churn is high.</w:t>
      </w:r>
    </w:p>
    <w:p>
      <w:pPr>
        <w:numPr>
          <w:ilvl w:val="1"/>
          <w:numId w:val="1041"/>
        </w:numPr>
        <w:pStyle w:val="Compact"/>
      </w:pPr>
      <w:r>
        <w:rPr>
          <w:bCs/>
          <w:b/>
        </w:rPr>
        <w:t xml:space="preserve">For an activist, this board is receptive:</w:t>
      </w:r>
      <w:r>
        <w:t xml:space="preserve"> </w:t>
      </w:r>
      <w:r>
        <w:t xml:space="preserve">it has already accepted a ValueAct director, ran a strategic review, and would have to engage seriously with a bona fide bid under the METI guidelines.</w:t>
      </w:r>
    </w:p>
    <w:bookmarkEnd w:id="113"/>
    <w:bookmarkStart w:id="117" w:name="shareholders-activism-and-short-interest"/>
    <w:p>
      <w:pPr>
        <w:pStyle w:val="Heading1"/>
      </w:pPr>
      <w:r>
        <w:t xml:space="preserve">Shareholders, activism and short interest</w:t>
      </w:r>
    </w:p>
    <w:bookmarkStart w:id="114" w:name="top-shareholders"/>
    <w:p>
      <w:pPr>
        <w:pStyle w:val="Heading2"/>
      </w:pPr>
      <w:r>
        <w:t xml:space="preserve">Top shareholders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615"/>
        <w:gridCol w:w="3242"/>
        <w:gridCol w:w="926"/>
        <w:gridCol w:w="1896"/>
        <w:gridCol w:w="3297"/>
      </w:tblGrid>
      <w:tr>
        <w:trPr>
          <w:tblHeader w:val="true"/>
          <w:tblHeader w:val="true"/>
          <w:cantSplit/>
        </w:trPr>
        <w:tc>
          <w:tcPr>
            <w:tcW w:type="dxa" w:w="615"/>
            <w:shd w:val="clear" w:color="auto" w:fill="13213F"/>
          </w:tcPr>
          <w:p>
            <w:pPr>
              <w:pStyle w:val="Compact"/>
              <w:spacing w:after="0" w:before="0" w:line="240" w:lineRule="auto"/>
              <w:jc w:val="right"/>
            </w:pPr>
            <w:r>
              <w:rPr>
                <w:rFonts w:ascii="Arial" w:hAnsi="Arial"/>
                <w:b/>
                <w:color w:val="FFFFFF"/>
                <w:sz w:val="15"/>
              </w:rPr>
              <w:t xml:space="preserve">#</w:t>
            </w:r>
          </w:p>
        </w:tc>
        <w:tc>
          <w:tcPr>
            <w:tcW w:type="dxa" w:w="3242"/>
            <w:shd w:val="clear" w:color="auto" w:fill="13213F"/>
          </w:tcPr>
          <w:p>
            <w:pPr>
              <w:pStyle w:val="Compact"/>
              <w:spacing w:after="0" w:before="0" w:line="240" w:lineRule="auto"/>
              <w:jc w:val="left"/>
            </w:pPr>
            <w:r>
              <w:rPr>
                <w:rFonts w:ascii="Arial" w:hAnsi="Arial"/>
                <w:b/>
                <w:color w:val="FFFFFF"/>
                <w:sz w:val="15"/>
              </w:rPr>
              <w:t xml:space="preserve">Holder</w:t>
            </w:r>
          </w:p>
        </w:tc>
        <w:tc>
          <w:tcPr>
            <w:tcW w:type="dxa" w:w="927"/>
            <w:shd w:val="clear" w:color="auto" w:fill="13213F"/>
          </w:tcPr>
          <w:p>
            <w:pPr>
              <w:pStyle w:val="Compact"/>
              <w:spacing w:after="0" w:before="0" w:line="240" w:lineRule="auto"/>
              <w:jc w:val="right"/>
            </w:pPr>
            <w:r>
              <w:rPr>
                <w:rFonts w:ascii="Arial" w:hAnsi="Arial"/>
                <w:b/>
                <w:color w:val="FFFFFF"/>
                <w:sz w:val="15"/>
              </w:rPr>
              <w:t xml:space="preserve">Shares (m)</w:t>
            </w:r>
          </w:p>
        </w:tc>
        <w:tc>
          <w:tcPr>
            <w:tcW w:type="dxa" w:w="1896"/>
            <w:shd w:val="clear" w:color="auto" w:fill="13213F"/>
          </w:tcPr>
          <w:p>
            <w:pPr>
              <w:pStyle w:val="Compact"/>
              <w:spacing w:after="0" w:before="0" w:line="240" w:lineRule="auto"/>
              <w:jc w:val="right"/>
            </w:pPr>
            <w:r>
              <w:rPr>
                <w:rFonts w:ascii="Arial" w:hAnsi="Arial"/>
                <w:b/>
                <w:color w:val="FFFFFF"/>
                <w:sz w:val="15"/>
              </w:rPr>
              <w:t xml:space="preserve">% (ex-treasury)</w:t>
            </w:r>
          </w:p>
        </w:tc>
        <w:tc>
          <w:tcPr>
            <w:tcW w:type="dxa" w:w="3297"/>
            <w:shd w:val="clear" w:color="auto" w:fill="13213F"/>
          </w:tcPr>
          <w:p>
            <w:pPr>
              <w:pStyle w:val="Compact"/>
              <w:spacing w:after="0" w:before="0" w:line="240" w:lineRule="auto"/>
              <w:jc w:val="left"/>
            </w:pPr>
            <w:r>
              <w:rPr>
                <w:rFonts w:ascii="Arial" w:hAnsi="Arial"/>
                <w:b/>
                <w:color w:val="FFFFFF"/>
                <w:sz w:val="15"/>
              </w:rPr>
              <w:t xml:space="preserve">Type</w:t>
            </w:r>
          </w:p>
        </w:tc>
      </w:tr>
      <w:tr>
        <w:trPr>
          <w:cantSplit/>
        </w:trPr>
        <w:tc>
          <w:tcPr>
            <w:tcW w:type="dxa" w:w="615"/>
          </w:tcPr>
          <w:p>
            <w:pPr>
              <w:pStyle w:val="Compact"/>
              <w:spacing w:after="0" w:before="0" w:line="240" w:lineRule="auto"/>
              <w:jc w:val="right"/>
            </w:pPr>
            <w:r>
              <w:rPr>
                <w:rFonts w:ascii="Arial" w:hAnsi="Arial"/>
                <w:sz w:val="15"/>
              </w:rPr>
              <w:t xml:space="preserve">1</w:t>
            </w:r>
          </w:p>
        </w:tc>
        <w:tc>
          <w:tcPr>
            <w:tcW w:type="dxa" w:w="3242"/>
          </w:tcPr>
          <w:p>
            <w:pPr>
              <w:pStyle w:val="Compact"/>
              <w:spacing w:after="0" w:before="0" w:line="240" w:lineRule="auto"/>
              <w:jc w:val="left"/>
            </w:pPr>
            <w:r>
              <w:rPr>
                <w:rFonts w:ascii="Arial" w:hAnsi="Arial"/>
                <w:sz w:val="15"/>
              </w:rPr>
              <w:t xml:space="preserve">The Master Trust Bank of Japan (trust account)</w:t>
            </w:r>
          </w:p>
        </w:tc>
        <w:tc>
          <w:tcPr>
            <w:tcW w:type="dxa" w:w="927"/>
          </w:tcPr>
          <w:p>
            <w:pPr>
              <w:pStyle w:val="Compact"/>
              <w:spacing w:after="0" w:before="0" w:line="240" w:lineRule="auto"/>
              <w:jc w:val="right"/>
            </w:pPr>
            <w:r>
              <w:rPr>
                <w:rFonts w:ascii="Arial" w:hAnsi="Arial"/>
                <w:sz w:val="15"/>
              </w:rPr>
              <w:t xml:space="preserve">210.7</w:t>
            </w:r>
          </w:p>
        </w:tc>
        <w:tc>
          <w:tcPr>
            <w:tcW w:type="dxa" w:w="1896"/>
          </w:tcPr>
          <w:p>
            <w:pPr>
              <w:pStyle w:val="Compact"/>
              <w:spacing w:after="0" w:before="0" w:line="240" w:lineRule="auto"/>
              <w:jc w:val="right"/>
            </w:pPr>
            <w:r>
              <w:rPr>
                <w:rFonts w:ascii="Arial" w:hAnsi="Arial"/>
                <w:sz w:val="15"/>
              </w:rPr>
              <w:t xml:space="preserve">19.1%</w:t>
            </w:r>
          </w:p>
        </w:tc>
        <w:tc>
          <w:tcPr>
            <w:tcW w:type="dxa" w:w="3297"/>
          </w:tcPr>
          <w:p>
            <w:pPr>
              <w:pStyle w:val="Compact"/>
              <w:spacing w:after="0" w:before="0" w:line="240" w:lineRule="auto"/>
              <w:jc w:val="left"/>
            </w:pPr>
            <w:r>
              <w:rPr>
                <w:rFonts w:ascii="Arial" w:hAnsi="Arial"/>
                <w:sz w:val="15"/>
              </w:rPr>
              <w:t xml:space="preserve">Domestic custodian (trust banks, pensions, index and active funds)</w:t>
            </w:r>
          </w:p>
        </w:tc>
      </w:tr>
      <w:tr>
        <w:trPr>
          <w:cantSplit/>
        </w:trPr>
        <w:tc>
          <w:tcPr>
            <w:tcW w:type="dxa" w:w="615"/>
            <w:shd w:val="clear" w:color="auto" w:fill="F1F2F5"/>
          </w:tcPr>
          <w:p>
            <w:pPr>
              <w:pStyle w:val="Compact"/>
              <w:spacing w:after="0" w:before="0" w:line="240" w:lineRule="auto"/>
              <w:jc w:val="right"/>
            </w:pPr>
            <w:r>
              <w:rPr>
                <w:rFonts w:ascii="Arial" w:hAnsi="Arial"/>
                <w:sz w:val="15"/>
              </w:rPr>
              <w:t xml:space="preserve">2</w:t>
            </w:r>
          </w:p>
        </w:tc>
        <w:tc>
          <w:tcPr>
            <w:tcW w:type="dxa" w:w="3242"/>
            <w:shd w:val="clear" w:color="auto" w:fill="F1F2F5"/>
          </w:tcPr>
          <w:p>
            <w:pPr>
              <w:pStyle w:val="Compact"/>
              <w:spacing w:after="0" w:before="0" w:line="240" w:lineRule="auto"/>
              <w:jc w:val="left"/>
            </w:pPr>
            <w:r>
              <w:rPr>
                <w:rFonts w:ascii="Arial" w:hAnsi="Arial"/>
                <w:sz w:val="15"/>
              </w:rPr>
              <w:t xml:space="preserve">Custody Bank of Japan (trust account)</w:t>
            </w:r>
          </w:p>
        </w:tc>
        <w:tc>
          <w:tcPr>
            <w:tcW w:type="dxa" w:w="927"/>
            <w:shd w:val="clear" w:color="auto" w:fill="F1F2F5"/>
          </w:tcPr>
          <w:p>
            <w:pPr>
              <w:pStyle w:val="Compact"/>
              <w:spacing w:after="0" w:before="0" w:line="240" w:lineRule="auto"/>
              <w:jc w:val="right"/>
            </w:pPr>
            <w:r>
              <w:rPr>
                <w:rFonts w:ascii="Arial" w:hAnsi="Arial"/>
                <w:sz w:val="15"/>
              </w:rPr>
              <w:t xml:space="preserve">73.8</w:t>
            </w:r>
          </w:p>
        </w:tc>
        <w:tc>
          <w:tcPr>
            <w:tcW w:type="dxa" w:w="1896"/>
            <w:shd w:val="clear" w:color="auto" w:fill="F1F2F5"/>
          </w:tcPr>
          <w:p>
            <w:pPr>
              <w:pStyle w:val="Compact"/>
              <w:spacing w:after="0" w:before="0" w:line="240" w:lineRule="auto"/>
              <w:jc w:val="right"/>
            </w:pPr>
            <w:r>
              <w:rPr>
                <w:rFonts w:ascii="Arial" w:hAnsi="Arial"/>
                <w:sz w:val="15"/>
              </w:rPr>
              <w:t xml:space="preserve">6.7%</w:t>
            </w:r>
          </w:p>
        </w:tc>
        <w:tc>
          <w:tcPr>
            <w:tcW w:type="dxa" w:w="3297"/>
            <w:shd w:val="clear" w:color="auto" w:fill="F1F2F5"/>
          </w:tcPr>
          <w:p>
            <w:pPr>
              <w:pStyle w:val="Compact"/>
              <w:spacing w:after="0" w:before="0" w:line="240" w:lineRule="auto"/>
              <w:jc w:val="left"/>
            </w:pPr>
            <w:r>
              <w:rPr>
                <w:rFonts w:ascii="Arial" w:hAnsi="Arial"/>
                <w:sz w:val="15"/>
              </w:rPr>
              <w:t xml:space="preserve">Domestic custodian (incl. BoJ ETF and pension money)</w:t>
            </w:r>
          </w:p>
        </w:tc>
      </w:tr>
      <w:tr>
        <w:trPr>
          <w:cantSplit/>
        </w:trPr>
        <w:tc>
          <w:tcPr>
            <w:tcW w:type="dxa" w:w="615"/>
          </w:tcPr>
          <w:p>
            <w:pPr>
              <w:pStyle w:val="Compact"/>
              <w:spacing w:after="0" w:before="0" w:line="240" w:lineRule="auto"/>
              <w:jc w:val="right"/>
            </w:pPr>
            <w:r>
              <w:rPr>
                <w:rFonts w:ascii="Arial" w:hAnsi="Arial"/>
                <w:sz w:val="15"/>
              </w:rPr>
              <w:t xml:space="preserve">3</w:t>
            </w:r>
          </w:p>
        </w:tc>
        <w:tc>
          <w:tcPr>
            <w:tcW w:type="dxa" w:w="3242"/>
          </w:tcPr>
          <w:p>
            <w:pPr>
              <w:pStyle w:val="Compact"/>
              <w:spacing w:after="0" w:before="0" w:line="240" w:lineRule="auto"/>
              <w:jc w:val="left"/>
            </w:pPr>
            <w:r>
              <w:rPr>
                <w:rFonts w:ascii="Arial" w:hAnsi="Arial"/>
                <w:sz w:val="15"/>
              </w:rPr>
              <w:t xml:space="preserve">State Street Bank &amp; Trust Co. 505001</w:t>
            </w:r>
          </w:p>
        </w:tc>
        <w:tc>
          <w:tcPr>
            <w:tcW w:type="dxa" w:w="927"/>
          </w:tcPr>
          <w:p>
            <w:pPr>
              <w:pStyle w:val="Compact"/>
              <w:spacing w:after="0" w:before="0" w:line="240" w:lineRule="auto"/>
              <w:jc w:val="right"/>
            </w:pPr>
            <w:r>
              <w:rPr>
                <w:rFonts w:ascii="Arial" w:hAnsi="Arial"/>
                <w:sz w:val="15"/>
              </w:rPr>
              <w:t xml:space="preserve">57.4</w:t>
            </w:r>
          </w:p>
        </w:tc>
        <w:tc>
          <w:tcPr>
            <w:tcW w:type="dxa" w:w="1896"/>
          </w:tcPr>
          <w:p>
            <w:pPr>
              <w:pStyle w:val="Compact"/>
              <w:spacing w:after="0" w:before="0" w:line="240" w:lineRule="auto"/>
              <w:jc w:val="right"/>
            </w:pPr>
            <w:r>
              <w:rPr>
                <w:rFonts w:ascii="Arial" w:hAnsi="Arial"/>
                <w:sz w:val="15"/>
              </w:rPr>
              <w:t xml:space="preserve">5.2%</w:t>
            </w:r>
          </w:p>
        </w:tc>
        <w:tc>
          <w:tcPr>
            <w:tcW w:type="dxa" w:w="3297"/>
          </w:tcPr>
          <w:p>
            <w:pPr>
              <w:pStyle w:val="Compact"/>
              <w:spacing w:after="0" w:before="0" w:line="240" w:lineRule="auto"/>
              <w:jc w:val="left"/>
            </w:pPr>
            <w:r>
              <w:rPr>
                <w:rFonts w:ascii="Arial" w:hAnsi="Arial"/>
                <w:sz w:val="15"/>
              </w:rPr>
              <w:t xml:space="preserve">Foreign custodian</w:t>
            </w:r>
          </w:p>
        </w:tc>
      </w:tr>
      <w:tr>
        <w:trPr>
          <w:cantSplit/>
        </w:trPr>
        <w:tc>
          <w:tcPr>
            <w:tcW w:type="dxa" w:w="615"/>
            <w:shd w:val="clear" w:color="auto" w:fill="F1F2F5"/>
          </w:tcPr>
          <w:p>
            <w:pPr>
              <w:pStyle w:val="Compact"/>
              <w:spacing w:after="0" w:before="0" w:line="240" w:lineRule="auto"/>
              <w:jc w:val="right"/>
            </w:pPr>
            <w:r>
              <w:rPr>
                <w:rFonts w:ascii="Arial" w:hAnsi="Arial"/>
                <w:sz w:val="15"/>
              </w:rPr>
              <w:t xml:space="preserve">4</w:t>
            </w:r>
          </w:p>
        </w:tc>
        <w:tc>
          <w:tcPr>
            <w:tcW w:type="dxa" w:w="3242"/>
            <w:shd w:val="clear" w:color="auto" w:fill="F1F2F5"/>
          </w:tcPr>
          <w:p>
            <w:pPr>
              <w:pStyle w:val="Compact"/>
              <w:spacing w:after="0" w:before="0" w:line="240" w:lineRule="auto"/>
              <w:jc w:val="left"/>
            </w:pPr>
            <w:r>
              <w:rPr>
                <w:rFonts w:ascii="Arial" w:hAnsi="Arial"/>
                <w:sz w:val="15"/>
              </w:rPr>
              <w:t xml:space="preserve">JPMorgan Chase Bank 385839</w:t>
            </w:r>
          </w:p>
        </w:tc>
        <w:tc>
          <w:tcPr>
            <w:tcW w:type="dxa" w:w="927"/>
            <w:shd w:val="clear" w:color="auto" w:fill="F1F2F5"/>
          </w:tcPr>
          <w:p>
            <w:pPr>
              <w:pStyle w:val="Compact"/>
              <w:spacing w:after="0" w:before="0" w:line="240" w:lineRule="auto"/>
              <w:jc w:val="right"/>
            </w:pPr>
            <w:r>
              <w:rPr>
                <w:rFonts w:ascii="Arial" w:hAnsi="Arial"/>
                <w:sz w:val="15"/>
              </w:rPr>
              <w:t xml:space="preserve">41.0</w:t>
            </w:r>
          </w:p>
        </w:tc>
        <w:tc>
          <w:tcPr>
            <w:tcW w:type="dxa" w:w="1896"/>
            <w:shd w:val="clear" w:color="auto" w:fill="F1F2F5"/>
          </w:tcPr>
          <w:p>
            <w:pPr>
              <w:pStyle w:val="Compact"/>
              <w:spacing w:after="0" w:before="0" w:line="240" w:lineRule="auto"/>
              <w:jc w:val="right"/>
            </w:pPr>
            <w:r>
              <w:rPr>
                <w:rFonts w:ascii="Arial" w:hAnsi="Arial"/>
                <w:sz w:val="15"/>
              </w:rPr>
              <w:t xml:space="preserve">3.7%</w:t>
            </w:r>
          </w:p>
        </w:tc>
        <w:tc>
          <w:tcPr>
            <w:tcW w:type="dxa" w:w="3297"/>
            <w:shd w:val="clear" w:color="auto" w:fill="F1F2F5"/>
          </w:tcPr>
          <w:p>
            <w:pPr>
              <w:pStyle w:val="Compact"/>
              <w:spacing w:after="0" w:before="0" w:line="240" w:lineRule="auto"/>
              <w:jc w:val="left"/>
            </w:pPr>
            <w:r>
              <w:rPr>
                <w:rFonts w:ascii="Arial" w:hAnsi="Arial"/>
                <w:sz w:val="15"/>
              </w:rPr>
              <w:t xml:space="preserve">Foreign custodian</w:t>
            </w:r>
          </w:p>
        </w:tc>
      </w:tr>
      <w:tr>
        <w:trPr>
          <w:cantSplit/>
        </w:trPr>
        <w:tc>
          <w:tcPr>
            <w:tcW w:type="dxa" w:w="615"/>
          </w:tcPr>
          <w:p>
            <w:pPr>
              <w:pStyle w:val="Compact"/>
              <w:spacing w:after="0" w:before="0" w:line="240" w:lineRule="auto"/>
              <w:jc w:val="right"/>
            </w:pPr>
            <w:r>
              <w:rPr>
                <w:rFonts w:ascii="Arial" w:hAnsi="Arial"/>
                <w:sz w:val="15"/>
              </w:rPr>
              <w:t xml:space="preserve">5</w:t>
            </w:r>
          </w:p>
        </w:tc>
        <w:tc>
          <w:tcPr>
            <w:tcW w:type="dxa" w:w="3242"/>
          </w:tcPr>
          <w:p>
            <w:pPr>
              <w:pStyle w:val="Compact"/>
              <w:spacing w:after="0" w:before="0" w:line="240" w:lineRule="auto"/>
              <w:jc w:val="left"/>
            </w:pPr>
            <w:r>
              <w:rPr>
                <w:rFonts w:ascii="Arial" w:hAnsi="Arial"/>
                <w:sz w:val="15"/>
              </w:rPr>
              <w:t xml:space="preserve">JPMorgan Chase Bank 385642</w:t>
            </w:r>
          </w:p>
        </w:tc>
        <w:tc>
          <w:tcPr>
            <w:tcW w:type="dxa" w:w="927"/>
          </w:tcPr>
          <w:p>
            <w:pPr>
              <w:pStyle w:val="Compact"/>
              <w:spacing w:after="0" w:before="0" w:line="240" w:lineRule="auto"/>
              <w:jc w:val="right"/>
            </w:pPr>
            <w:r>
              <w:rPr>
                <w:rFonts w:ascii="Arial" w:hAnsi="Arial"/>
                <w:sz w:val="15"/>
              </w:rPr>
              <w:t xml:space="preserve">17.1</w:t>
            </w:r>
          </w:p>
        </w:tc>
        <w:tc>
          <w:tcPr>
            <w:tcW w:type="dxa" w:w="1896"/>
          </w:tcPr>
          <w:p>
            <w:pPr>
              <w:pStyle w:val="Compact"/>
              <w:spacing w:after="0" w:before="0" w:line="240" w:lineRule="auto"/>
              <w:jc w:val="right"/>
            </w:pPr>
            <w:r>
              <w:rPr>
                <w:rFonts w:ascii="Arial" w:hAnsi="Arial"/>
                <w:sz w:val="15"/>
              </w:rPr>
              <w:t xml:space="preserve">1.6%</w:t>
            </w:r>
          </w:p>
        </w:tc>
        <w:tc>
          <w:tcPr>
            <w:tcW w:type="dxa" w:w="3297"/>
          </w:tcPr>
          <w:p>
            <w:pPr>
              <w:pStyle w:val="Compact"/>
              <w:spacing w:after="0" w:before="0" w:line="240" w:lineRule="auto"/>
              <w:jc w:val="left"/>
            </w:pPr>
            <w:r>
              <w:rPr>
                <w:rFonts w:ascii="Arial" w:hAnsi="Arial"/>
                <w:sz w:val="15"/>
              </w:rPr>
              <w:t xml:space="preserve">Foreign custodian</w:t>
            </w:r>
          </w:p>
        </w:tc>
      </w:tr>
      <w:tr>
        <w:trPr>
          <w:cantSplit/>
        </w:trPr>
        <w:tc>
          <w:tcPr>
            <w:tcW w:type="dxa" w:w="615"/>
            <w:shd w:val="clear" w:color="auto" w:fill="F1F2F5"/>
          </w:tcPr>
          <w:p>
            <w:pPr>
              <w:pStyle w:val="Compact"/>
              <w:spacing w:after="0" w:before="0" w:line="240" w:lineRule="auto"/>
              <w:jc w:val="right"/>
            </w:pPr>
            <w:r>
              <w:rPr>
                <w:rFonts w:ascii="Arial" w:hAnsi="Arial"/>
                <w:sz w:val="15"/>
              </w:rPr>
              <w:t xml:space="preserve">6–10</w:t>
            </w:r>
          </w:p>
        </w:tc>
        <w:tc>
          <w:tcPr>
            <w:tcW w:type="dxa" w:w="3242"/>
            <w:shd w:val="clear" w:color="auto" w:fill="F1F2F5"/>
          </w:tcPr>
          <w:p>
            <w:pPr>
              <w:pStyle w:val="Compact"/>
              <w:spacing w:after="0" w:before="0" w:line="240" w:lineRule="auto"/>
              <w:jc w:val="left"/>
            </w:pPr>
            <w:r>
              <w:rPr>
                <w:rFonts w:ascii="Arial" w:hAnsi="Arial"/>
                <w:sz w:val="15"/>
              </w:rPr>
              <w:t xml:space="preserve">Not retrieved (other SSBT/BNY accounts, life insurers and banks historically) [data gap]</w:t>
            </w:r>
          </w:p>
        </w:tc>
        <w:tc>
          <w:tcPr>
            <w:tcW w:type="dxa" w:w="927"/>
            <w:shd w:val="clear" w:color="auto" w:fill="F1F2F5"/>
          </w:tcPr>
          <w:p>
            <w:pPr>
              <w:pStyle w:val="Compact"/>
              <w:spacing w:after="0" w:before="0" w:line="240" w:lineRule="auto"/>
              <w:jc w:val="right"/>
            </w:pPr>
            <w:r>
              <w:rPr>
                <w:rFonts w:ascii="Arial" w:hAnsi="Arial"/>
                <w:sz w:val="15"/>
              </w:rPr>
              <w:t xml:space="preserve">–</w:t>
            </w:r>
          </w:p>
        </w:tc>
        <w:tc>
          <w:tcPr>
            <w:tcW w:type="dxa" w:w="1896"/>
            <w:shd w:val="clear" w:color="auto" w:fill="F1F2F5"/>
          </w:tcPr>
          <w:p>
            <w:pPr>
              <w:pStyle w:val="Compact"/>
              <w:spacing w:after="0" w:before="0" w:line="240" w:lineRule="auto"/>
              <w:jc w:val="right"/>
            </w:pPr>
            <w:r>
              <w:rPr>
                <w:rFonts w:ascii="Arial" w:hAnsi="Arial"/>
                <w:sz w:val="15"/>
              </w:rPr>
              <w:t xml:space="preserve">–</w:t>
            </w:r>
          </w:p>
        </w:tc>
        <w:tc>
          <w:tcPr>
            <w:tcW w:type="dxa" w:w="3297"/>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615"/>
          </w:tcPr>
          <w:p>
            <w:pPr>
              <w:pStyle w:val="Compact"/>
              <w:spacing w:after="0" w:before="0" w:line="240" w:lineRule="auto"/>
              <w:jc w:val="right"/>
            </w:pPr>
            <w:r>
              <w:rPr>
                <w:rFonts w:ascii="Arial" w:hAnsi="Arial"/>
                <w:sz w:val="15"/>
              </w:rPr>
              <w:t xml:space="preserve">–</w:t>
            </w:r>
          </w:p>
        </w:tc>
        <w:tc>
          <w:tcPr>
            <w:tcW w:type="dxa" w:w="3242"/>
          </w:tcPr>
          <w:p>
            <w:pPr>
              <w:pStyle w:val="Compact"/>
              <w:spacing w:after="0" w:before="0" w:line="240" w:lineRule="auto"/>
              <w:jc w:val="left"/>
            </w:pPr>
            <w:r>
              <w:rPr>
                <w:bCs/>
                <w:rFonts w:ascii="Arial" w:hAnsi="Arial"/>
                <w:b/>
                <w:sz w:val="15"/>
              </w:rPr>
              <w:t xml:space="preserve">Artisan Partners</w:t>
            </w:r>
            <w:r>
              <w:rPr>
                <w:rFonts w:ascii="Arial" w:hAnsi="Arial"/>
                <w:sz w:val="15"/>
              </w:rPr>
              <w:t xml:space="preserve"> </w:t>
            </w:r>
            <w:r>
              <w:rPr>
                <w:rFonts w:ascii="Arial" w:hAnsi="Arial"/>
                <w:sz w:val="15"/>
              </w:rPr>
              <w:t xml:space="preserve">(large-holding report, 7-Jul-2026)</w:t>
            </w:r>
          </w:p>
        </w:tc>
        <w:tc>
          <w:tcPr>
            <w:tcW w:type="dxa" w:w="927"/>
          </w:tcPr>
          <w:p>
            <w:pPr>
              <w:pStyle w:val="Compact"/>
              <w:spacing w:after="0" w:before="0" w:line="240" w:lineRule="auto"/>
              <w:jc w:val="right"/>
            </w:pPr>
            <w:r>
              <w:rPr>
                <w:bCs/>
                <w:rFonts w:ascii="Arial" w:hAnsi="Arial"/>
                <w:b/>
                <w:sz w:val="15"/>
              </w:rPr>
              <w:t xml:space="preserve">62.7</w:t>
            </w:r>
          </w:p>
        </w:tc>
        <w:tc>
          <w:tcPr>
            <w:tcW w:type="dxa" w:w="1896"/>
          </w:tcPr>
          <w:p>
            <w:pPr>
              <w:pStyle w:val="Compact"/>
              <w:spacing w:after="0" w:before="0" w:line="240" w:lineRule="auto"/>
              <w:jc w:val="right"/>
            </w:pPr>
            <w:r>
              <w:rPr>
                <w:bCs/>
                <w:rFonts w:ascii="Arial" w:hAnsi="Arial"/>
                <w:b/>
                <w:sz w:val="15"/>
              </w:rPr>
              <w:t xml:space="preserve">5.63%</w:t>
            </w:r>
            <w:r>
              <w:rPr>
                <w:rFonts w:ascii="Arial" w:hAnsi="Arial"/>
                <w:sz w:val="15"/>
              </w:rPr>
              <w:t xml:space="preserve"> </w:t>
            </w:r>
            <w:r>
              <w:rPr>
                <w:rFonts w:ascii="Arial" w:hAnsi="Arial"/>
                <w:sz w:val="15"/>
              </w:rPr>
              <w:t xml:space="preserve">(~5.9% of current shares)</w:t>
            </w:r>
          </w:p>
        </w:tc>
        <w:tc>
          <w:tcPr>
            <w:tcW w:type="dxa" w:w="3297"/>
          </w:tcPr>
          <w:p>
            <w:pPr>
              <w:pStyle w:val="Compact"/>
              <w:spacing w:after="0" w:before="0" w:line="240" w:lineRule="auto"/>
              <w:jc w:val="left"/>
            </w:pPr>
            <w:r>
              <w:rPr>
                <w:rFonts w:ascii="Arial" w:hAnsi="Arial"/>
                <w:sz w:val="15"/>
              </w:rPr>
              <w:t xml:space="preserve">Active long-only; beneficial owner within the custodian accounts</w:t>
            </w:r>
          </w:p>
        </w:tc>
      </w:tr>
      <w:tr>
        <w:trPr>
          <w:cantSplit/>
        </w:trPr>
        <w:tc>
          <w:tcPr>
            <w:tcW w:type="dxa" w:w="615"/>
            <w:shd w:val="clear" w:color="auto" w:fill="F1F2F5"/>
          </w:tcPr>
          <w:p>
            <w:pPr>
              <w:pStyle w:val="Compact"/>
              <w:spacing w:after="0" w:before="0" w:line="240" w:lineRule="auto"/>
              <w:jc w:val="right"/>
            </w:pPr>
            <w:r>
              <w:rPr>
                <w:rFonts w:ascii="Arial" w:hAnsi="Arial"/>
                <w:sz w:val="15"/>
              </w:rPr>
              <w:t xml:space="preserve">–</w:t>
            </w:r>
          </w:p>
        </w:tc>
        <w:tc>
          <w:tcPr>
            <w:tcW w:type="dxa" w:w="3242"/>
            <w:shd w:val="clear" w:color="auto" w:fill="F1F2F5"/>
          </w:tcPr>
          <w:p>
            <w:pPr>
              <w:pStyle w:val="Compact"/>
              <w:spacing w:after="0" w:before="0" w:line="240" w:lineRule="auto"/>
              <w:jc w:val="left"/>
            </w:pPr>
            <w:r>
              <w:rPr>
                <w:rFonts w:ascii="Arial" w:hAnsi="Arial"/>
                <w:sz w:val="15"/>
              </w:rPr>
              <w:t xml:space="preserve">ValueAct Capital</w:t>
            </w:r>
          </w:p>
        </w:tc>
        <w:tc>
          <w:tcPr>
            <w:tcW w:type="dxa" w:w="927"/>
            <w:shd w:val="clear" w:color="auto" w:fill="F1F2F5"/>
          </w:tcPr>
          <w:p>
            <w:pPr>
              <w:pStyle w:val="Compact"/>
              <w:spacing w:after="0" w:before="0" w:line="240" w:lineRule="auto"/>
              <w:jc w:val="right"/>
            </w:pPr>
            <w:r>
              <w:rPr>
                <w:rFonts w:ascii="Arial" w:hAnsi="Arial"/>
                <w:sz w:val="15"/>
              </w:rPr>
              <w:t xml:space="preserve">n/d</w:t>
            </w:r>
          </w:p>
        </w:tc>
        <w:tc>
          <w:tcPr>
            <w:tcW w:type="dxa" w:w="1896"/>
            <w:shd w:val="clear" w:color="auto" w:fill="F1F2F5"/>
          </w:tcPr>
          <w:p>
            <w:pPr>
              <w:pStyle w:val="Compact"/>
              <w:spacing w:after="0" w:before="0" w:line="240" w:lineRule="auto"/>
              <w:jc w:val="right"/>
            </w:pPr>
            <w:r>
              <w:rPr>
                <w:rFonts w:ascii="Arial" w:hAnsi="Arial"/>
                <w:sz w:val="15"/>
              </w:rPr>
              <w:t xml:space="preserve">n/d (5.04% in 2018; partly sold late 2020) [u]</w:t>
            </w:r>
          </w:p>
        </w:tc>
        <w:tc>
          <w:tcPr>
            <w:tcW w:type="dxa" w:w="3297"/>
            <w:shd w:val="clear" w:color="auto" w:fill="F1F2F5"/>
          </w:tcPr>
          <w:p>
            <w:pPr>
              <w:pStyle w:val="Compact"/>
              <w:spacing w:after="0" w:before="0" w:line="240" w:lineRule="auto"/>
              <w:jc w:val="left"/>
            </w:pPr>
            <w:r>
              <w:rPr>
                <w:rFonts w:ascii="Arial" w:hAnsi="Arial"/>
                <w:sz w:val="15"/>
              </w:rPr>
              <w:t xml:space="preserve">Activist (</w:t>
            </w:r>
            <w:r>
              <w:rPr>
                <w:rFonts w:ascii="Arial" w:hAnsi="Arial"/>
                <w:sz w:val="15"/>
              </w:rPr>
              <w:t xml:space="preserve">“</w:t>
            </w:r>
            <w:r>
              <w:rPr>
                <w:rFonts w:ascii="Arial" w:hAnsi="Arial"/>
                <w:sz w:val="15"/>
              </w:rPr>
              <w:t xml:space="preserve">constructivist</w:t>
            </w:r>
            <w:r>
              <w:rPr>
                <w:rFonts w:ascii="Arial" w:hAnsi="Arial"/>
                <w:sz w:val="15"/>
              </w:rPr>
              <w:t xml:space="preserve">”</w:t>
            </w:r>
            <w:r>
              <w:rPr>
                <w:rFonts w:ascii="Arial" w:hAnsi="Arial"/>
                <w:sz w:val="15"/>
              </w:rPr>
              <w:t xml:space="preserve">); board seat</w:t>
            </w:r>
          </w:p>
        </w:tc>
      </w:tr>
    </w:tbl>
    <w:p>
      <w:pPr>
        <w:pStyle w:val="BodyText"/>
      </w:pPr>
      <w:r>
        <w:rPr>
          <w:iCs/>
          <w:i/>
        </w:rPr>
        <w:t xml:space="preserve">Register at 31-Mar-2026 via third-party aggregators (kabutore, finboard), cross-checked; verify against the FY3/26 yuho, which was not retrievable. Foreign ownership % is n/d; at least 10.5% sits in foreign custodian accounts in the top 5 alone. The ToSTNeT-3 seller in May-2026 (38.9m shares, 3.5%) was not named [u].</w:t>
      </w:r>
    </w:p>
    <w:bookmarkEnd w:id="114"/>
    <w:bookmarkStart w:id="115" w:name="shareholder-activism"/>
    <w:p>
      <w:pPr>
        <w:pStyle w:val="Heading2"/>
      </w:pPr>
      <w:r>
        <w:t xml:space="preserve">Shareholder activism</w:t>
      </w:r>
    </w:p>
    <w:p>
      <w:pPr>
        <w:numPr>
          <w:ilvl w:val="0"/>
          <w:numId w:val="1042"/>
        </w:numPr>
        <w:pStyle w:val="Compact"/>
      </w:pPr>
      <w:r>
        <w:rPr>
          <w:bCs/>
          <w:b/>
        </w:rPr>
        <w:t xml:space="preserve">ValueAct (2017–present) is a textbook constructive-activist success.</w:t>
      </w:r>
    </w:p>
    <w:p>
      <w:pPr>
        <w:numPr>
          <w:ilvl w:val="1"/>
          <w:numId w:val="1043"/>
        </w:numPr>
        <w:pStyle w:val="Compact"/>
      </w:pPr>
      <w:r>
        <w:t xml:space="preserve">It built a 5.04% stake (~JPY67bn) by May-2018, its first Japanese investment.</w:t>
      </w:r>
    </w:p>
    <w:p>
      <w:pPr>
        <w:numPr>
          <w:ilvl w:val="1"/>
          <w:numId w:val="1043"/>
        </w:numPr>
        <w:pStyle w:val="Compact"/>
      </w:pPr>
      <w:r>
        <w:t xml:space="preserve">The settlement in Jan-2019 was</w:t>
      </w:r>
      <w:r>
        <w:t xml:space="preserve"> </w:t>
      </w:r>
      <w:r>
        <w:t xml:space="preserve">“</w:t>
      </w:r>
      <w:r>
        <w:t xml:space="preserve">Transform Olympus</w:t>
      </w:r>
      <w:r>
        <w:t xml:space="preserve">”</w:t>
      </w:r>
      <w:r>
        <w:t xml:space="preserve">: Rob Hale and Jim Beasley joined the board, the company adopted the three-committee structure, and it exited non-core businesses (cameras, Evident).</w:t>
      </w:r>
    </w:p>
    <w:p>
      <w:pPr>
        <w:numPr>
          <w:ilvl w:val="1"/>
          <w:numId w:val="1043"/>
        </w:numPr>
        <w:pStyle w:val="Compact"/>
      </w:pPr>
      <w:r>
        <w:t xml:space="preserve">ROIC rose from 8% (FY3/19) to 23% (FY3/22).</w:t>
      </w:r>
    </w:p>
    <w:p>
      <w:pPr>
        <w:numPr>
          <w:ilvl w:val="1"/>
          <w:numId w:val="1043"/>
        </w:numPr>
        <w:pStyle w:val="Compact"/>
      </w:pPr>
      <w:r>
        <w:t xml:space="preserve">ValueAct partly sold in late 2020 at ~JPY2,000–2,380 (2.1–2.5x its entry price [e]).</w:t>
      </w:r>
    </w:p>
    <w:p>
      <w:pPr>
        <w:numPr>
          <w:ilvl w:val="1"/>
          <w:numId w:val="1043"/>
        </w:numPr>
        <w:pStyle w:val="Compact"/>
      </w:pPr>
      <w:r>
        <w:t xml:space="preserve">Hale remains on the board.</w:t>
      </w:r>
    </w:p>
    <w:p>
      <w:pPr>
        <w:numPr>
          <w:ilvl w:val="0"/>
          <w:numId w:val="1042"/>
        </w:numPr>
        <w:pStyle w:val="Compact"/>
      </w:pPr>
      <w:r>
        <w:rPr>
          <w:bCs/>
          <w:b/>
        </w:rPr>
        <w:t xml:space="preserve">Artisan Partners (5.63%, Jul-2026)</w:t>
      </w:r>
      <w:r>
        <w:t xml:space="preserve"> </w:t>
      </w:r>
      <w:r>
        <w:t xml:space="preserve">bought after the Feb-2026 collapse. There is no public stance [u], but Artisan has engaged with managements elsewhere.</w:t>
      </w:r>
    </w:p>
    <w:p>
      <w:pPr>
        <w:numPr>
          <w:ilvl w:val="0"/>
          <w:numId w:val="1042"/>
        </w:numPr>
        <w:pStyle w:val="Compact"/>
      </w:pPr>
      <w:r>
        <w:rPr>
          <w:bCs/>
          <w:b/>
        </w:rPr>
        <w:t xml:space="preserve">No shareholder proposals</w:t>
      </w:r>
      <w:r>
        <w:t xml:space="preserve"> </w:t>
      </w:r>
      <w:r>
        <w:t xml:space="preserve">were filed at the 2021–2026 AGMs. No campaigns by Elliott, Oasis, Dalton or others were found.</w:t>
      </w:r>
    </w:p>
    <w:p>
      <w:pPr>
        <w:numPr>
          <w:ilvl w:val="0"/>
          <w:numId w:val="1042"/>
        </w:numPr>
        <w:pStyle w:val="Compact"/>
      </w:pPr>
      <w:r>
        <w:rPr>
          <w:bCs/>
          <w:b/>
        </w:rPr>
        <w:t xml:space="preserve">Activist angle for our fund.</w:t>
      </w:r>
      <w:r>
        <w:t xml:space="preserve"> </w:t>
      </w:r>
      <w:r>
        <w:t xml:space="preserve">There are three asks we would make:</w:t>
      </w:r>
    </w:p>
    <w:p>
      <w:pPr>
        <w:numPr>
          <w:ilvl w:val="1"/>
          <w:numId w:val="1044"/>
        </w:numPr>
        <w:pStyle w:val="Compact"/>
      </w:pPr>
      <w:r>
        <w:rPr>
          <w:bCs/>
          <w:b/>
        </w:rPr>
        <w:t xml:space="preserve">Accelerate the SIS outcome</w:t>
      </w:r>
      <w:r>
        <w:t xml:space="preserve">, by sale or JV, with proceeds returned.</w:t>
      </w:r>
    </w:p>
    <w:p>
      <w:pPr>
        <w:numPr>
          <w:ilvl w:val="1"/>
          <w:numId w:val="1044"/>
        </w:numPr>
        <w:pStyle w:val="Compact"/>
      </w:pPr>
      <w:r>
        <w:rPr>
          <w:bCs/>
          <w:b/>
        </w:rPr>
        <w:t xml:space="preserve">Tie executive pay to FDA close-out and FCF</w:t>
      </w:r>
      <w:r>
        <w:t xml:space="preserve">, not adjusted OP.</w:t>
      </w:r>
    </w:p>
    <w:p>
      <w:pPr>
        <w:numPr>
          <w:ilvl w:val="1"/>
          <w:numId w:val="1044"/>
        </w:numPr>
        <w:pStyle w:val="Compact"/>
      </w:pPr>
      <w:r>
        <w:rPr>
          <w:bCs/>
          <w:b/>
        </w:rPr>
        <w:t xml:space="preserve">A standing buyback policy</w:t>
      </w:r>
      <w:r>
        <w:t xml:space="preserve"> </w:t>
      </w:r>
      <w:r>
        <w:t xml:space="preserve">framed as total-return guidance. The current policy keeps DPS flat with</w:t>
      </w:r>
      <w:r>
        <w:t xml:space="preserve"> </w:t>
      </w:r>
      <w:r>
        <w:t xml:space="preserve">“</w:t>
      </w:r>
      <w:r>
        <w:t xml:space="preserve">flexible</w:t>
      </w:r>
      <w:r>
        <w:t xml:space="preserve">”</w:t>
      </w:r>
      <w:r>
        <w:t xml:space="preserve"> </w:t>
      </w:r>
      <w:r>
        <w:t xml:space="preserve">buybacks.</w:t>
      </w:r>
    </w:p>
    <w:p>
      <w:pPr>
        <w:numPr>
          <w:ilvl w:val="0"/>
          <w:numId w:val="1000"/>
        </w:numPr>
        <w:pStyle w:val="Compact"/>
      </w:pPr>
      <w:r>
        <w:t xml:space="preserve">The ingredients are a receptive board, a ValueAct director and an Artisan block.</w:t>
      </w:r>
      <w:r>
        <w:t xml:space="preserve"> </w:t>
      </w:r>
      <w:r>
        <w:rPr>
          <w:bCs/>
          <w:b/>
        </w:rPr>
        <w:t xml:space="preserve">That makes a private, constructive engagement more effective than a public campaign.</w:t>
      </w:r>
    </w:p>
    <w:bookmarkEnd w:id="115"/>
    <w:bookmarkStart w:id="116" w:name="short-interest"/>
    <w:p>
      <w:pPr>
        <w:pStyle w:val="Heading2"/>
      </w:pPr>
      <w:r>
        <w:t xml:space="preserve">Short interest</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307"/>
        <w:gridCol w:w="6670"/>
      </w:tblGrid>
      <w:tr>
        <w:trPr>
          <w:tblHeader w:val="true"/>
          <w:tblHeader w:val="true"/>
          <w:cantSplit/>
        </w:trPr>
        <w:tc>
          <w:tcPr>
            <w:tcW w:type="dxa" w:w="3307"/>
            <w:shd w:val="clear" w:color="auto" w:fill="13213F"/>
          </w:tcPr>
          <w:p>
            <w:pPr>
              <w:pStyle w:val="Compact"/>
              <w:spacing w:after="0" w:before="0" w:line="240" w:lineRule="auto"/>
              <w:jc w:val="left"/>
            </w:pPr>
            <w:r>
              <w:rPr>
                <w:rFonts w:ascii="Arial" w:hAnsi="Arial"/>
                <w:b/>
                <w:color w:val="FFFFFF"/>
                <w:sz w:val="15"/>
              </w:rPr>
              <w:t xml:space="preserve">Item</w:t>
            </w:r>
          </w:p>
        </w:tc>
        <w:tc>
          <w:tcPr>
            <w:tcW w:type="dxa" w:w="6671"/>
            <w:shd w:val="clear" w:color="auto" w:fill="13213F"/>
          </w:tcPr>
          <w:p>
            <w:pPr>
              <w:pStyle w:val="Compact"/>
              <w:spacing w:after="0" w:before="0" w:line="240" w:lineRule="auto"/>
              <w:jc w:val="left"/>
            </w:pPr>
            <w:r>
              <w:rPr>
                <w:rFonts w:ascii="Arial" w:hAnsi="Arial"/>
                <w:b/>
                <w:color w:val="FFFFFF"/>
                <w:sz w:val="15"/>
              </w:rPr>
              <w:t xml:space="preserve">Finding</w:t>
            </w:r>
          </w:p>
        </w:tc>
      </w:tr>
      <w:tr>
        <w:trPr>
          <w:cantSplit/>
        </w:trPr>
        <w:tc>
          <w:tcPr>
            <w:tcW w:type="dxa" w:w="3307"/>
          </w:tcPr>
          <w:p>
            <w:pPr>
              <w:pStyle w:val="Compact"/>
              <w:spacing w:after="0" w:before="0" w:line="240" w:lineRule="auto"/>
              <w:jc w:val="left"/>
            </w:pPr>
            <w:r>
              <w:rPr>
                <w:rFonts w:ascii="Arial" w:hAnsi="Arial"/>
                <w:sz w:val="15"/>
              </w:rPr>
              <w:t xml:space="preserve">JPX short-position reports (≥0.5% holders)</w:t>
            </w:r>
          </w:p>
        </w:tc>
        <w:tc>
          <w:tcPr>
            <w:tcW w:type="dxa" w:w="6671"/>
          </w:tcPr>
          <w:p>
            <w:pPr>
              <w:pStyle w:val="Compact"/>
              <w:spacing w:after="0" w:before="0" w:line="240" w:lineRule="auto"/>
              <w:jc w:val="left"/>
            </w:pPr>
            <w:r>
              <w:rPr>
                <w:rFonts w:ascii="Arial" w:hAnsi="Arial"/>
                <w:sz w:val="15"/>
              </w:rPr>
              <w:t xml:space="preserve">Not retrievable from this environment [data gap]; check the JPX daily file and karauri.net for code 7733</w:t>
            </w:r>
          </w:p>
        </w:tc>
      </w:tr>
      <w:tr>
        <w:trPr>
          <w:cantSplit/>
        </w:trPr>
        <w:tc>
          <w:tcPr>
            <w:tcW w:type="dxa" w:w="3307"/>
            <w:shd w:val="clear" w:color="auto" w:fill="F1F2F5"/>
          </w:tcPr>
          <w:p>
            <w:pPr>
              <w:pStyle w:val="Compact"/>
              <w:spacing w:after="0" w:before="0" w:line="240" w:lineRule="auto"/>
              <w:jc w:val="left"/>
            </w:pPr>
            <w:r>
              <w:rPr>
                <w:rFonts w:ascii="Arial" w:hAnsi="Arial"/>
                <w:sz w:val="15"/>
              </w:rPr>
              <w:t xml:space="preserve">Securities lending utilisation</w:t>
            </w:r>
          </w:p>
        </w:tc>
        <w:tc>
          <w:tcPr>
            <w:tcW w:type="dxa" w:w="6671"/>
            <w:shd w:val="clear" w:color="auto" w:fill="F1F2F5"/>
          </w:tcPr>
          <w:p>
            <w:pPr>
              <w:pStyle w:val="Compact"/>
              <w:spacing w:after="0" w:before="0" w:line="240" w:lineRule="auto"/>
              <w:jc w:val="left"/>
            </w:pPr>
            <w:r>
              <w:rPr>
                <w:rFonts w:ascii="Arial" w:hAnsi="Arial"/>
                <w:sz w:val="15"/>
              </w:rPr>
              <w:t xml:space="preserve">n/d; check JSF and S&amp;P Securities Finance</w:t>
            </w:r>
          </w:p>
        </w:tc>
      </w:tr>
      <w:tr>
        <w:trPr>
          <w:cantSplit/>
        </w:trPr>
        <w:tc>
          <w:tcPr>
            <w:tcW w:type="dxa" w:w="3307"/>
          </w:tcPr>
          <w:p>
            <w:pPr>
              <w:pStyle w:val="Compact"/>
              <w:spacing w:after="0" w:before="0" w:line="240" w:lineRule="auto"/>
              <w:jc w:val="left"/>
            </w:pPr>
            <w:r>
              <w:rPr>
                <w:rFonts w:ascii="Arial" w:hAnsi="Arial"/>
                <w:sz w:val="15"/>
              </w:rPr>
              <w:t xml:space="preserve">Margin balances (shinyo)</w:t>
            </w:r>
          </w:p>
        </w:tc>
        <w:tc>
          <w:tcPr>
            <w:tcW w:type="dxa" w:w="6671"/>
          </w:tcPr>
          <w:p>
            <w:pPr>
              <w:pStyle w:val="Compact"/>
              <w:spacing w:after="0" w:before="0" w:line="240" w:lineRule="auto"/>
              <w:jc w:val="left"/>
            </w:pPr>
            <w:r>
              <w:rPr>
                <w:rFonts w:ascii="Arial" w:hAnsi="Arial"/>
                <w:sz w:val="15"/>
              </w:rPr>
              <w:t xml:space="preserve">n/d; check the weekly TSE margin data</w:t>
            </w:r>
          </w:p>
        </w:tc>
      </w:tr>
      <w:tr>
        <w:trPr>
          <w:cantSplit/>
        </w:trPr>
        <w:tc>
          <w:tcPr>
            <w:tcW w:type="dxa" w:w="3307"/>
            <w:shd w:val="clear" w:color="auto" w:fill="F1F2F5"/>
          </w:tcPr>
          <w:p>
            <w:pPr>
              <w:pStyle w:val="Compact"/>
              <w:spacing w:after="0" w:before="0" w:line="240" w:lineRule="auto"/>
              <w:jc w:val="left"/>
            </w:pPr>
            <w:r>
              <w:rPr>
                <w:rFonts w:ascii="Arial" w:hAnsi="Arial"/>
                <w:sz w:val="15"/>
              </w:rPr>
              <w:t xml:space="preserve">Positioning read [e]</w:t>
            </w:r>
          </w:p>
        </w:tc>
        <w:tc>
          <w:tcPr>
            <w:tcW w:type="dxa" w:w="6671"/>
            <w:shd w:val="clear" w:color="auto" w:fill="F1F2F5"/>
          </w:tcPr>
          <w:p>
            <w:pPr>
              <w:pStyle w:val="Compact"/>
              <w:spacing w:after="0" w:before="0" w:line="240" w:lineRule="auto"/>
              <w:jc w:val="left"/>
            </w:pPr>
            <w:r>
              <w:rPr>
                <w:rFonts w:ascii="Arial" w:hAnsi="Arial"/>
                <w:sz w:val="15"/>
              </w:rPr>
              <w:t xml:space="preserve">Two guidance cuts and three FDA events since Jun-2025 are the classic set-up for event-driven shorts. Offsetting flows: buybacks (JPY60bn in one block) and a new 5% long holder. The -13.4% day on 3.3x volume suggests long liquidation more than fresh shorting [e].</w:t>
            </w:r>
          </w:p>
        </w:tc>
      </w:tr>
    </w:tbl>
    <w:bookmarkEnd w:id="116"/>
    <w:bookmarkEnd w:id="117"/>
    <w:bookmarkStart w:id="118" w:name="Xd5526f51d5eaee39e416a67e85a14c1cf78da6e"/>
    <w:p>
      <w:pPr>
        <w:pStyle w:val="Heading1"/>
      </w:pPr>
      <w:r>
        <w:t xml:space="preserve">Strategic initiatives (last 10 years): success, failure and status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000"/>
        <w:gridCol w:w="1299"/>
        <w:gridCol w:w="3399"/>
        <w:gridCol w:w="2278"/>
      </w:tblGrid>
      <w:tr>
        <w:trPr>
          <w:tblHeader w:val="true"/>
          <w:tblHeader w:val="true"/>
          <w:cantSplit/>
        </w:trPr>
        <w:tc>
          <w:tcPr>
            <w:tcW w:type="dxa" w:w="3000"/>
            <w:shd w:val="clear" w:color="auto" w:fill="13213F"/>
          </w:tcPr>
          <w:p>
            <w:pPr>
              <w:pStyle w:val="Compact"/>
              <w:spacing w:after="0" w:before="0" w:line="240" w:lineRule="auto"/>
              <w:jc w:val="left"/>
            </w:pPr>
            <w:r>
              <w:rPr>
                <w:rFonts w:ascii="Arial" w:hAnsi="Arial"/>
                <w:b/>
                <w:color w:val="FFFFFF"/>
                <w:sz w:val="15"/>
              </w:rPr>
              <w:t xml:space="preserve">Initiative</w:t>
            </w:r>
          </w:p>
        </w:tc>
        <w:tc>
          <w:tcPr>
            <w:tcW w:type="dxa" w:w="1300"/>
            <w:shd w:val="clear" w:color="auto" w:fill="13213F"/>
          </w:tcPr>
          <w:p>
            <w:pPr>
              <w:pStyle w:val="Compact"/>
              <w:spacing w:after="0" w:before="0" w:line="240" w:lineRule="auto"/>
              <w:jc w:val="left"/>
            </w:pPr>
            <w:r>
              <w:rPr>
                <w:rFonts w:ascii="Arial" w:hAnsi="Arial"/>
                <w:b/>
                <w:color w:val="FFFFFF"/>
                <w:sz w:val="15"/>
              </w:rPr>
              <w:t xml:space="preserve">Launched</w:t>
            </w:r>
          </w:p>
        </w:tc>
        <w:tc>
          <w:tcPr>
            <w:tcW w:type="dxa" w:w="3399"/>
            <w:shd w:val="clear" w:color="auto" w:fill="13213F"/>
          </w:tcPr>
          <w:p>
            <w:pPr>
              <w:pStyle w:val="Compact"/>
              <w:spacing w:after="0" w:before="0" w:line="240" w:lineRule="auto"/>
              <w:jc w:val="left"/>
            </w:pPr>
            <w:r>
              <w:rPr>
                <w:rFonts w:ascii="Arial" w:hAnsi="Arial"/>
                <w:b/>
                <w:color w:val="FFFFFF"/>
                <w:sz w:val="15"/>
              </w:rPr>
              <w:t xml:space="preserve">Status (Oct-2026)</w:t>
            </w:r>
          </w:p>
        </w:tc>
        <w:tc>
          <w:tcPr>
            <w:tcW w:type="dxa" w:w="2279"/>
            <w:shd w:val="clear" w:color="auto" w:fill="13213F"/>
          </w:tcPr>
          <w:p>
            <w:pPr>
              <w:pStyle w:val="Compact"/>
              <w:spacing w:after="0" w:before="0" w:line="240" w:lineRule="auto"/>
              <w:jc w:val="left"/>
            </w:pPr>
            <w:r>
              <w:rPr>
                <w:rFonts w:ascii="Arial" w:hAnsi="Arial"/>
                <w:b/>
                <w:color w:val="FFFFFF"/>
                <w:sz w:val="15"/>
              </w:rPr>
              <w:t xml:space="preserve">Verdict</w:t>
            </w:r>
          </w:p>
        </w:tc>
      </w:tr>
      <w:tr>
        <w:trPr>
          <w:cantSplit/>
        </w:trPr>
        <w:tc>
          <w:tcPr>
            <w:tcW w:type="dxa" w:w="3000"/>
          </w:tcPr>
          <w:p>
            <w:pPr>
              <w:pStyle w:val="Compact"/>
              <w:spacing w:after="0" w:before="0" w:line="240" w:lineRule="auto"/>
              <w:jc w:val="left"/>
            </w:pPr>
            <w:r>
              <w:rPr>
                <w:bCs/>
                <w:rFonts w:ascii="Arial" w:hAnsi="Arial"/>
                <w:b/>
                <w:sz w:val="15"/>
              </w:rPr>
              <w:t xml:space="preserve">Transform Olympus</w:t>
            </w:r>
            <w:r>
              <w:rPr>
                <w:rFonts w:ascii="Arial" w:hAnsi="Arial"/>
                <w:sz w:val="15"/>
              </w:rPr>
              <w:t xml:space="preserve"> </w:t>
            </w:r>
            <w:r>
              <w:rPr>
                <w:rFonts w:ascii="Arial" w:hAnsi="Arial"/>
                <w:sz w:val="15"/>
              </w:rPr>
              <w:t xml:space="preserve">(with ValueAct)</w:t>
            </w:r>
          </w:p>
        </w:tc>
        <w:tc>
          <w:tcPr>
            <w:tcW w:type="dxa" w:w="1300"/>
          </w:tcPr>
          <w:p>
            <w:pPr>
              <w:pStyle w:val="Compact"/>
              <w:spacing w:after="0" w:before="0" w:line="240" w:lineRule="auto"/>
              <w:jc w:val="left"/>
            </w:pPr>
            <w:r>
              <w:rPr>
                <w:rFonts w:ascii="Arial" w:hAnsi="Arial"/>
                <w:sz w:val="15"/>
              </w:rPr>
              <w:t xml:space="preserve">Jan-2019</w:t>
            </w:r>
          </w:p>
        </w:tc>
        <w:tc>
          <w:tcPr>
            <w:tcW w:type="dxa" w:w="3399"/>
          </w:tcPr>
          <w:p>
            <w:pPr>
              <w:pStyle w:val="Compact"/>
              <w:spacing w:after="0" w:before="0" w:line="240" w:lineRule="auto"/>
              <w:jc w:val="left"/>
            </w:pPr>
            <w:r>
              <w:rPr>
                <w:rFonts w:ascii="Arial" w:hAnsi="Arial"/>
                <w:sz w:val="15"/>
              </w:rPr>
              <w:t xml:space="preserve">Governance overhaul; portfolio now 100% medtech; 9 of 10 directors independent</w:t>
            </w:r>
          </w:p>
        </w:tc>
        <w:tc>
          <w:tcPr>
            <w:tcW w:type="dxa" w:w="2279"/>
          </w:tcPr>
          <w:p>
            <w:pPr>
              <w:pStyle w:val="Compact"/>
              <w:spacing w:after="0" w:before="0" w:line="240" w:lineRule="auto"/>
              <w:jc w:val="left"/>
            </w:pPr>
            <w:r>
              <w:rPr>
                <w:bCs/>
                <w:rFonts w:ascii="Arial" w:hAnsi="Arial"/>
                <w:b/>
                <w:sz w:val="15"/>
              </w:rPr>
              <w:t xml:space="preserve">Success</w:t>
            </w:r>
            <w:r>
              <w:rPr>
                <w:rFonts w:ascii="Arial" w:hAnsi="Arial"/>
                <w:sz w:val="15"/>
              </w:rPr>
              <w:t xml:space="preserve"> </w:t>
            </w:r>
            <w:r>
              <w:rPr>
                <w:rFonts w:ascii="Arial" w:hAnsi="Arial"/>
                <w:sz w:val="15"/>
              </w:rPr>
              <w:t xml:space="preserve">on governance and portfolio; mixed operationally</w:t>
            </w:r>
          </w:p>
        </w:tc>
      </w:tr>
      <w:tr>
        <w:trPr>
          <w:cantSplit/>
        </w:trPr>
        <w:tc>
          <w:tcPr>
            <w:tcW w:type="dxa" w:w="3000"/>
            <w:shd w:val="clear" w:color="auto" w:fill="F1F2F5"/>
          </w:tcPr>
          <w:p>
            <w:pPr>
              <w:pStyle w:val="Compact"/>
              <w:spacing w:after="0" w:before="0" w:line="240" w:lineRule="auto"/>
              <w:jc w:val="left"/>
            </w:pPr>
            <w:r>
              <w:rPr>
                <w:rFonts w:ascii="Arial" w:hAnsi="Arial"/>
                <w:sz w:val="15"/>
              </w:rPr>
              <w:t xml:space="preserve">Corporate strategy to FY3/23 (~20% OP margin)</w:t>
            </w:r>
          </w:p>
        </w:tc>
        <w:tc>
          <w:tcPr>
            <w:tcW w:type="dxa" w:w="1300"/>
            <w:shd w:val="clear" w:color="auto" w:fill="F1F2F5"/>
          </w:tcPr>
          <w:p>
            <w:pPr>
              <w:pStyle w:val="Compact"/>
              <w:spacing w:after="0" w:before="0" w:line="240" w:lineRule="auto"/>
              <w:jc w:val="left"/>
            </w:pPr>
            <w:r>
              <w:rPr>
                <w:rFonts w:ascii="Arial" w:hAnsi="Arial"/>
                <w:sz w:val="15"/>
              </w:rPr>
              <w:t xml:space="preserve">Nov-2019</w:t>
            </w:r>
          </w:p>
        </w:tc>
        <w:tc>
          <w:tcPr>
            <w:tcW w:type="dxa" w:w="3399"/>
            <w:shd w:val="clear" w:color="auto" w:fill="F1F2F5"/>
          </w:tcPr>
          <w:p>
            <w:pPr>
              <w:pStyle w:val="Compact"/>
              <w:spacing w:after="0" w:before="0" w:line="240" w:lineRule="auto"/>
              <w:jc w:val="left"/>
            </w:pPr>
            <w:r>
              <w:rPr>
                <w:rFonts w:ascii="Arial" w:hAnsi="Arial"/>
                <w:sz w:val="15"/>
              </w:rPr>
              <w:t xml:space="preserve">20% adjusted margin reached once (FY3/23)</w:t>
            </w:r>
          </w:p>
        </w:tc>
        <w:tc>
          <w:tcPr>
            <w:tcW w:type="dxa" w:w="2279"/>
            <w:shd w:val="clear" w:color="auto" w:fill="F1F2F5"/>
          </w:tcPr>
          <w:p>
            <w:pPr>
              <w:pStyle w:val="Compact"/>
              <w:spacing w:after="0" w:before="0" w:line="240" w:lineRule="auto"/>
              <w:jc w:val="left"/>
            </w:pPr>
            <w:r>
              <w:rPr>
                <w:rFonts w:ascii="Arial" w:hAnsi="Arial"/>
                <w:sz w:val="15"/>
              </w:rPr>
              <w:t xml:space="preserve">Met once</w:t>
            </w:r>
          </w:p>
        </w:tc>
      </w:tr>
      <w:tr>
        <w:trPr>
          <w:cantSplit/>
        </w:trPr>
        <w:tc>
          <w:tcPr>
            <w:tcW w:type="dxa" w:w="3000"/>
          </w:tcPr>
          <w:p>
            <w:pPr>
              <w:pStyle w:val="Compact"/>
              <w:spacing w:after="0" w:before="0" w:line="240" w:lineRule="auto"/>
              <w:jc w:val="left"/>
            </w:pPr>
            <w:r>
              <w:rPr>
                <w:rFonts w:ascii="Arial" w:hAnsi="Arial"/>
                <w:sz w:val="15"/>
              </w:rPr>
              <w:t xml:space="preserve">Company strategy FY3/24–FY3/26 (~5% cc CAGR, ~20% margin, ~8% adj. EPS CAGR)</w:t>
            </w:r>
          </w:p>
        </w:tc>
        <w:tc>
          <w:tcPr>
            <w:tcW w:type="dxa" w:w="1300"/>
          </w:tcPr>
          <w:p>
            <w:pPr>
              <w:pStyle w:val="Compact"/>
              <w:spacing w:after="0" w:before="0" w:line="240" w:lineRule="auto"/>
              <w:jc w:val="left"/>
            </w:pPr>
            <w:r>
              <w:rPr>
                <w:rFonts w:ascii="Arial" w:hAnsi="Arial"/>
                <w:sz w:val="15"/>
              </w:rPr>
              <w:t xml:space="preserve">May-2023</w:t>
            </w:r>
          </w:p>
        </w:tc>
        <w:tc>
          <w:tcPr>
            <w:tcW w:type="dxa" w:w="3399"/>
          </w:tcPr>
          <w:p>
            <w:pPr>
              <w:pStyle w:val="Compact"/>
              <w:spacing w:after="0" w:before="0" w:line="240" w:lineRule="auto"/>
              <w:jc w:val="left"/>
            </w:pPr>
            <w:r>
              <w:rPr>
                <w:rFonts w:ascii="Arial" w:hAnsi="Arial"/>
                <w:sz w:val="15"/>
              </w:rPr>
              <w:t xml:space="preserve">FY3/26 adjusted margin 14.2%; cc growth ~2% a year</w:t>
            </w:r>
          </w:p>
        </w:tc>
        <w:tc>
          <w:tcPr>
            <w:tcW w:type="dxa" w:w="2279"/>
          </w:tcPr>
          <w:p>
            <w:pPr>
              <w:pStyle w:val="Compact"/>
              <w:spacing w:after="0" w:before="0" w:line="240" w:lineRule="auto"/>
              <w:jc w:val="left"/>
            </w:pPr>
            <w:r>
              <w:rPr>
                <w:bCs/>
                <w:rFonts w:ascii="Arial" w:hAnsi="Arial"/>
                <w:b/>
                <w:sz w:val="15"/>
              </w:rPr>
              <w:t xml:space="preserve">Missed</w:t>
            </w:r>
          </w:p>
        </w:tc>
      </w:tr>
      <w:tr>
        <w:trPr>
          <w:cantSplit/>
        </w:trPr>
        <w:tc>
          <w:tcPr>
            <w:tcW w:type="dxa" w:w="3000"/>
            <w:shd w:val="clear" w:color="auto" w:fill="F1F2F5"/>
          </w:tcPr>
          <w:p>
            <w:pPr>
              <w:pStyle w:val="Compact"/>
              <w:spacing w:after="0" w:before="0" w:line="240" w:lineRule="auto"/>
              <w:jc w:val="left"/>
            </w:pPr>
            <w:r>
              <w:rPr>
                <w:bCs/>
                <w:rFonts w:ascii="Arial" w:hAnsi="Arial"/>
                <w:b/>
                <w:sz w:val="15"/>
              </w:rPr>
              <w:t xml:space="preserve">Elevate</w:t>
            </w:r>
            <w:r>
              <w:rPr>
                <w:rFonts w:ascii="Arial" w:hAnsi="Arial"/>
                <w:sz w:val="15"/>
              </w:rPr>
              <w:t xml:space="preserve"> </w:t>
            </w:r>
            <w:r>
              <w:rPr>
                <w:rFonts w:ascii="Arial" w:hAnsi="Arial"/>
                <w:sz w:val="15"/>
              </w:rPr>
              <w:t xml:space="preserve">(quality and regulatory transformation)</w:t>
            </w:r>
          </w:p>
        </w:tc>
        <w:tc>
          <w:tcPr>
            <w:tcW w:type="dxa" w:w="1300"/>
            <w:shd w:val="clear" w:color="auto" w:fill="F1F2F5"/>
          </w:tcPr>
          <w:p>
            <w:pPr>
              <w:pStyle w:val="Compact"/>
              <w:spacing w:after="0" w:before="0" w:line="240" w:lineRule="auto"/>
              <w:jc w:val="left"/>
            </w:pPr>
            <w:r>
              <w:rPr>
                <w:rFonts w:ascii="Arial" w:hAnsi="Arial"/>
                <w:sz w:val="15"/>
              </w:rPr>
              <w:t xml:space="preserve">2023</w:t>
            </w:r>
          </w:p>
        </w:tc>
        <w:tc>
          <w:tcPr>
            <w:tcW w:type="dxa" w:w="3399"/>
            <w:shd w:val="clear" w:color="auto" w:fill="F1F2F5"/>
          </w:tcPr>
          <w:p>
            <w:pPr>
              <w:pStyle w:val="Compact"/>
              <w:spacing w:after="0" w:before="0" w:line="240" w:lineRule="auto"/>
              <w:jc w:val="left"/>
            </w:pPr>
            <w:r>
              <w:rPr>
                <w:rFonts w:ascii="Arial" w:hAnsi="Arial"/>
                <w:sz w:val="15"/>
              </w:rPr>
              <w:t xml:space="preserve">~JPY20–32bn a year spent;</w:t>
            </w:r>
            <w:r>
              <w:rPr>
                <w:rFonts w:ascii="Arial" w:hAnsi="Arial"/>
                <w:sz w:val="15"/>
              </w:rPr>
              <w:t xml:space="preserve"> </w:t>
            </w:r>
            <w:r>
              <w:rPr>
                <w:rFonts w:ascii="Arial" w:hAnsi="Arial"/>
                <w:sz w:val="15"/>
              </w:rPr>
              <w:t xml:space="preserve">“</w:t>
            </w:r>
            <w:r>
              <w:rPr>
                <w:rFonts w:ascii="Arial" w:hAnsi="Arial"/>
                <w:sz w:val="15"/>
              </w:rPr>
              <w:t xml:space="preserve">96% of FDA commitments complete</w:t>
            </w:r>
            <w:r>
              <w:rPr>
                <w:rFonts w:ascii="Arial" w:hAnsi="Arial"/>
                <w:sz w:val="15"/>
              </w:rPr>
              <w:t xml:space="preserve">”</w:t>
            </w:r>
            <w:r>
              <w:rPr>
                <w:rFonts w:ascii="Arial" w:hAnsi="Arial"/>
                <w:sz w:val="15"/>
              </w:rPr>
              <w:t xml:space="preserve"> </w:t>
            </w:r>
            <w:r>
              <w:rPr>
                <w:rFonts w:ascii="Arial" w:hAnsi="Arial"/>
                <w:sz w:val="15"/>
              </w:rPr>
              <w:t xml:space="preserve">(Aug-2025), then the import alert, ship-holds and the Oct-2026 Warning Letter</w:t>
            </w:r>
          </w:p>
        </w:tc>
        <w:tc>
          <w:tcPr>
            <w:tcW w:type="dxa" w:w="2279"/>
            <w:shd w:val="clear" w:color="auto" w:fill="F1F2F5"/>
          </w:tcPr>
          <w:p>
            <w:pPr>
              <w:pStyle w:val="Compact"/>
              <w:spacing w:after="0" w:before="0" w:line="240" w:lineRule="auto"/>
              <w:jc w:val="left"/>
            </w:pPr>
            <w:r>
              <w:rPr>
                <w:bCs/>
                <w:rFonts w:ascii="Arial" w:hAnsi="Arial"/>
                <w:b/>
                <w:sz w:val="15"/>
              </w:rPr>
              <w:t xml:space="preserve">Not yet successful</w:t>
            </w:r>
          </w:p>
        </w:tc>
      </w:tr>
      <w:tr>
        <w:trPr>
          <w:cantSplit/>
        </w:trPr>
        <w:tc>
          <w:tcPr>
            <w:tcW w:type="dxa" w:w="3000"/>
          </w:tcPr>
          <w:p>
            <w:pPr>
              <w:pStyle w:val="Compact"/>
              <w:spacing w:after="0" w:before="0" w:line="240" w:lineRule="auto"/>
              <w:jc w:val="left"/>
            </w:pPr>
            <w:r>
              <w:rPr>
                <w:rFonts w:ascii="Arial" w:hAnsi="Arial"/>
                <w:sz w:val="15"/>
              </w:rPr>
              <w:t xml:space="preserve">EVIS X1 platform</w:t>
            </w:r>
          </w:p>
        </w:tc>
        <w:tc>
          <w:tcPr>
            <w:tcW w:type="dxa" w:w="1300"/>
          </w:tcPr>
          <w:p>
            <w:pPr>
              <w:pStyle w:val="Compact"/>
              <w:spacing w:after="0" w:before="0" w:line="240" w:lineRule="auto"/>
              <w:jc w:val="left"/>
            </w:pPr>
            <w:r>
              <w:rPr>
                <w:rFonts w:ascii="Arial" w:hAnsi="Arial"/>
                <w:sz w:val="15"/>
              </w:rPr>
              <w:t xml:space="preserve">2020 (EU/JP), 2023 (US)</w:t>
            </w:r>
          </w:p>
        </w:tc>
        <w:tc>
          <w:tcPr>
            <w:tcW w:type="dxa" w:w="3399"/>
          </w:tcPr>
          <w:p>
            <w:pPr>
              <w:pStyle w:val="Compact"/>
              <w:spacing w:after="0" w:before="0" w:line="240" w:lineRule="auto"/>
              <w:jc w:val="left"/>
            </w:pPr>
            <w:r>
              <w:rPr>
                <w:rFonts w:ascii="Arial" w:hAnsi="Arial"/>
                <w:sz w:val="15"/>
              </w:rPr>
              <w:t xml:space="preserve">Drives the GI replacement cycle; EDOF (2025); China local production</w:t>
            </w:r>
          </w:p>
        </w:tc>
        <w:tc>
          <w:tcPr>
            <w:tcW w:type="dxa" w:w="2279"/>
          </w:tcPr>
          <w:p>
            <w:pPr>
              <w:pStyle w:val="Compact"/>
              <w:spacing w:after="0" w:before="0" w:line="240" w:lineRule="auto"/>
              <w:jc w:val="left"/>
            </w:pPr>
            <w:r>
              <w:rPr>
                <w:bCs/>
                <w:rFonts w:ascii="Arial" w:hAnsi="Arial"/>
                <w:b/>
                <w:sz w:val="15"/>
              </w:rPr>
              <w:t xml:space="preserve">Success</w:t>
            </w:r>
            <w:r>
              <w:rPr>
                <w:rFonts w:ascii="Arial" w:hAnsi="Arial"/>
                <w:sz w:val="15"/>
              </w:rPr>
              <w:t xml:space="preserve">, late in the US</w:t>
            </w:r>
          </w:p>
        </w:tc>
      </w:tr>
      <w:tr>
        <w:trPr>
          <w:cantSplit/>
        </w:trPr>
        <w:tc>
          <w:tcPr>
            <w:tcW w:type="dxa" w:w="3000"/>
            <w:shd w:val="clear" w:color="auto" w:fill="F1F2F5"/>
          </w:tcPr>
          <w:p>
            <w:pPr>
              <w:pStyle w:val="Compact"/>
              <w:spacing w:after="0" w:before="0" w:line="240" w:lineRule="auto"/>
              <w:jc w:val="left"/>
            </w:pPr>
            <w:r>
              <w:rPr>
                <w:rFonts w:ascii="Arial" w:hAnsi="Arial"/>
                <w:sz w:val="15"/>
              </w:rPr>
              <w:t xml:space="preserve">Single-use endoscopes</w:t>
            </w:r>
          </w:p>
        </w:tc>
        <w:tc>
          <w:tcPr>
            <w:tcW w:type="dxa" w:w="1300"/>
            <w:shd w:val="clear" w:color="auto" w:fill="F1F2F5"/>
          </w:tcPr>
          <w:p>
            <w:pPr>
              <w:pStyle w:val="Compact"/>
              <w:spacing w:after="0" w:before="0" w:line="240" w:lineRule="auto"/>
              <w:jc w:val="left"/>
            </w:pPr>
            <w:r>
              <w:rPr>
                <w:rFonts w:ascii="Arial" w:hAnsi="Arial"/>
                <w:sz w:val="15"/>
              </w:rPr>
              <w:t xml:space="preserve">2019</w:t>
            </w:r>
          </w:p>
        </w:tc>
        <w:tc>
          <w:tcPr>
            <w:tcW w:type="dxa" w:w="3399"/>
            <w:shd w:val="clear" w:color="auto" w:fill="F1F2F5"/>
          </w:tcPr>
          <w:p>
            <w:pPr>
              <w:pStyle w:val="Compact"/>
              <w:spacing w:after="0" w:before="0" w:line="240" w:lineRule="auto"/>
              <w:jc w:val="left"/>
            </w:pPr>
            <w:r>
              <w:rPr>
                <w:rFonts w:ascii="Arial" w:hAnsi="Arial"/>
                <w:sz w:val="15"/>
              </w:rPr>
              <w:t xml:space="preserve">H-SteriScope (bronchoscopy, ENT); no scale vs Ambu or BSX; Veran failed</w:t>
            </w:r>
          </w:p>
        </w:tc>
        <w:tc>
          <w:tcPr>
            <w:tcW w:type="dxa" w:w="2279"/>
            <w:shd w:val="clear" w:color="auto" w:fill="F1F2F5"/>
          </w:tcPr>
          <w:p>
            <w:pPr>
              <w:pStyle w:val="Compact"/>
              <w:spacing w:after="0" w:before="0" w:line="240" w:lineRule="auto"/>
              <w:jc w:val="left"/>
            </w:pPr>
            <w:r>
              <w:rPr>
                <w:bCs/>
                <w:rFonts w:ascii="Arial" w:hAnsi="Arial"/>
                <w:b/>
                <w:sz w:val="15"/>
              </w:rPr>
              <w:t xml:space="preserve">Limited</w:t>
            </w:r>
          </w:p>
        </w:tc>
      </w:tr>
      <w:tr>
        <w:trPr>
          <w:cantSplit/>
        </w:trPr>
        <w:tc>
          <w:tcPr>
            <w:tcW w:type="dxa" w:w="3000"/>
          </w:tcPr>
          <w:p>
            <w:pPr>
              <w:pStyle w:val="Compact"/>
              <w:spacing w:after="0" w:before="0" w:line="240" w:lineRule="auto"/>
              <w:jc w:val="left"/>
            </w:pPr>
            <w:r>
              <w:rPr>
                <w:rFonts w:ascii="Arial" w:hAnsi="Arial"/>
                <w:sz w:val="15"/>
              </w:rPr>
              <w:t xml:space="preserve">AI and digital (ENDOBRAIN, CADDIE, OLYSENSE)</w:t>
            </w:r>
          </w:p>
        </w:tc>
        <w:tc>
          <w:tcPr>
            <w:tcW w:type="dxa" w:w="1300"/>
          </w:tcPr>
          <w:p>
            <w:pPr>
              <w:pStyle w:val="Compact"/>
              <w:spacing w:after="0" w:before="0" w:line="240" w:lineRule="auto"/>
              <w:jc w:val="left"/>
            </w:pPr>
            <w:r>
              <w:rPr>
                <w:rFonts w:ascii="Arial" w:hAnsi="Arial"/>
                <w:sz w:val="15"/>
              </w:rPr>
              <w:t xml:space="preserve">2019–25</w:t>
            </w:r>
          </w:p>
        </w:tc>
        <w:tc>
          <w:tcPr>
            <w:tcW w:type="dxa" w:w="3399"/>
          </w:tcPr>
          <w:p>
            <w:pPr>
              <w:pStyle w:val="Compact"/>
              <w:spacing w:after="0" w:before="0" w:line="240" w:lineRule="auto"/>
              <w:jc w:val="left"/>
            </w:pPr>
            <w:r>
              <w:rPr>
                <w:rFonts w:ascii="Arial" w:hAnsi="Arial"/>
                <w:sz w:val="15"/>
              </w:rPr>
              <w:t xml:space="preserve">Launched EU/US; monetisation n/d</w:t>
            </w:r>
          </w:p>
        </w:tc>
        <w:tc>
          <w:tcPr>
            <w:tcW w:type="dxa" w:w="2279"/>
          </w:tcPr>
          <w:p>
            <w:pPr>
              <w:pStyle w:val="Compact"/>
              <w:spacing w:after="0" w:before="0" w:line="240" w:lineRule="auto"/>
              <w:jc w:val="left"/>
            </w:pPr>
            <w:r>
              <w:rPr>
                <w:rFonts w:ascii="Arial" w:hAnsi="Arial"/>
                <w:sz w:val="15"/>
              </w:rPr>
              <w:t xml:space="preserve">Early</w:t>
            </w:r>
          </w:p>
        </w:tc>
      </w:tr>
      <w:tr>
        <w:trPr>
          <w:cantSplit/>
        </w:trPr>
        <w:tc>
          <w:tcPr>
            <w:tcW w:type="dxa" w:w="3000"/>
            <w:shd w:val="clear" w:color="auto" w:fill="F1F2F5"/>
          </w:tcPr>
          <w:p>
            <w:pPr>
              <w:pStyle w:val="Compact"/>
              <w:spacing w:after="0" w:before="0" w:line="240" w:lineRule="auto"/>
              <w:jc w:val="left"/>
            </w:pPr>
            <w:r>
              <w:rPr>
                <w:rFonts w:ascii="Arial" w:hAnsi="Arial"/>
                <w:sz w:val="15"/>
              </w:rPr>
              <w:t xml:space="preserve">China localisation</w:t>
            </w:r>
          </w:p>
        </w:tc>
        <w:tc>
          <w:tcPr>
            <w:tcW w:type="dxa" w:w="1300"/>
            <w:shd w:val="clear" w:color="auto" w:fill="F1F2F5"/>
          </w:tcPr>
          <w:p>
            <w:pPr>
              <w:pStyle w:val="Compact"/>
              <w:spacing w:after="0" w:before="0" w:line="240" w:lineRule="auto"/>
              <w:jc w:val="left"/>
            </w:pPr>
            <w:r>
              <w:rPr>
                <w:rFonts w:ascii="Arial" w:hAnsi="Arial"/>
                <w:sz w:val="15"/>
              </w:rPr>
              <w:t xml:space="preserve">2023–26</w:t>
            </w:r>
          </w:p>
        </w:tc>
        <w:tc>
          <w:tcPr>
            <w:tcW w:type="dxa" w:w="3399"/>
            <w:shd w:val="clear" w:color="auto" w:fill="F1F2F5"/>
          </w:tcPr>
          <w:p>
            <w:pPr>
              <w:pStyle w:val="Compact"/>
              <w:spacing w:after="0" w:before="0" w:line="240" w:lineRule="auto"/>
              <w:jc w:val="left"/>
            </w:pPr>
            <w:r>
              <w:rPr>
                <w:rFonts w:ascii="Arial" w:hAnsi="Arial"/>
                <w:sz w:val="15"/>
              </w:rPr>
              <w:t xml:space="preserve">Revenue down from JPY125bn to JPY83bn; new China president from Mar-2026</w:t>
            </w:r>
          </w:p>
        </w:tc>
        <w:tc>
          <w:tcPr>
            <w:tcW w:type="dxa" w:w="2279"/>
            <w:shd w:val="clear" w:color="auto" w:fill="F1F2F5"/>
          </w:tcPr>
          <w:p>
            <w:pPr>
              <w:pStyle w:val="Compact"/>
              <w:spacing w:after="0" w:before="0" w:line="240" w:lineRule="auto"/>
              <w:jc w:val="left"/>
            </w:pPr>
            <w:r>
              <w:rPr>
                <w:bCs/>
                <w:rFonts w:ascii="Arial" w:hAnsi="Arial"/>
                <w:b/>
                <w:sz w:val="15"/>
              </w:rPr>
              <w:t xml:space="preserve">Failing so far</w:t>
            </w:r>
          </w:p>
        </w:tc>
      </w:tr>
      <w:tr>
        <w:trPr>
          <w:cantSplit/>
        </w:trPr>
        <w:tc>
          <w:tcPr>
            <w:tcW w:type="dxa" w:w="3000"/>
          </w:tcPr>
          <w:p>
            <w:pPr>
              <w:pStyle w:val="Compact"/>
              <w:spacing w:after="0" w:before="0" w:line="240" w:lineRule="auto"/>
              <w:jc w:val="left"/>
            </w:pPr>
            <w:r>
              <w:rPr>
                <w:rFonts w:ascii="Arial" w:hAnsi="Arial"/>
                <w:sz w:val="15"/>
              </w:rPr>
              <w:t xml:space="preserve">Cost restructuring (~2,000 roles, ~JPY24bn)</w:t>
            </w:r>
          </w:p>
        </w:tc>
        <w:tc>
          <w:tcPr>
            <w:tcW w:type="dxa" w:w="1300"/>
          </w:tcPr>
          <w:p>
            <w:pPr>
              <w:pStyle w:val="Compact"/>
              <w:spacing w:after="0" w:before="0" w:line="240" w:lineRule="auto"/>
              <w:jc w:val="left"/>
            </w:pPr>
            <w:r>
              <w:rPr>
                <w:rFonts w:ascii="Arial" w:hAnsi="Arial"/>
                <w:sz w:val="15"/>
              </w:rPr>
              <w:t xml:space="preserve">Nov-2025</w:t>
            </w:r>
          </w:p>
        </w:tc>
        <w:tc>
          <w:tcPr>
            <w:tcW w:type="dxa" w:w="3399"/>
          </w:tcPr>
          <w:p>
            <w:pPr>
              <w:pStyle w:val="Compact"/>
              <w:spacing w:after="0" w:before="0" w:line="240" w:lineRule="auto"/>
              <w:jc w:val="left"/>
            </w:pPr>
            <w:r>
              <w:rPr>
                <w:rFonts w:ascii="Arial" w:hAnsi="Arial"/>
                <w:sz w:val="15"/>
              </w:rPr>
              <w:t xml:space="preserve">1,687 roles cut by Apr-2026; SG&amp;A at 52% of sales in 1Q FY3/27</w:t>
            </w:r>
          </w:p>
        </w:tc>
        <w:tc>
          <w:tcPr>
            <w:tcW w:type="dxa" w:w="2279"/>
          </w:tcPr>
          <w:p>
            <w:pPr>
              <w:pStyle w:val="Compact"/>
              <w:spacing w:after="0" w:before="0" w:line="240" w:lineRule="auto"/>
              <w:jc w:val="left"/>
            </w:pPr>
            <w:r>
              <w:rPr>
                <w:bCs/>
                <w:rFonts w:ascii="Arial" w:hAnsi="Arial"/>
                <w:b/>
                <w:sz w:val="15"/>
              </w:rPr>
              <w:t xml:space="preserve">On track</w:t>
            </w:r>
          </w:p>
        </w:tc>
      </w:tr>
      <w:tr>
        <w:trPr>
          <w:cantSplit/>
        </w:trPr>
        <w:tc>
          <w:tcPr>
            <w:tcW w:type="dxa" w:w="3000"/>
            <w:shd w:val="clear" w:color="auto" w:fill="F1F2F5"/>
          </w:tcPr>
          <w:p>
            <w:pPr>
              <w:pStyle w:val="Compact"/>
              <w:spacing w:after="0" w:before="0" w:line="240" w:lineRule="auto"/>
              <w:jc w:val="left"/>
            </w:pPr>
            <w:r>
              <w:rPr>
                <w:bCs/>
                <w:rFonts w:ascii="Arial" w:hAnsi="Arial"/>
                <w:b/>
                <w:sz w:val="15"/>
              </w:rPr>
              <w:t xml:space="preserve">3-4-5 plan</w:t>
            </w:r>
            <w:r>
              <w:rPr>
                <w:rFonts w:ascii="Arial" w:hAnsi="Arial"/>
                <w:sz w:val="15"/>
              </w:rPr>
              <w:t xml:space="preserve"> </w:t>
            </w:r>
            <w:r>
              <w:rPr>
                <w:rFonts w:ascii="Arial" w:hAnsi="Arial"/>
                <w:sz w:val="15"/>
              </w:rPr>
              <w:t xml:space="preserve">(3/4/5% cc growth; 100bp+/yr margin; 20%+ destination)</w:t>
            </w:r>
          </w:p>
        </w:tc>
        <w:tc>
          <w:tcPr>
            <w:tcW w:type="dxa" w:w="1300"/>
            <w:shd w:val="clear" w:color="auto" w:fill="F1F2F5"/>
          </w:tcPr>
          <w:p>
            <w:pPr>
              <w:pStyle w:val="Compact"/>
              <w:spacing w:after="0" w:before="0" w:line="240" w:lineRule="auto"/>
              <w:jc w:val="left"/>
            </w:pPr>
            <w:r>
              <w:rPr>
                <w:rFonts w:ascii="Arial" w:hAnsi="Arial"/>
                <w:sz w:val="15"/>
              </w:rPr>
              <w:t xml:space="preserve">Nov-2025</w:t>
            </w:r>
          </w:p>
        </w:tc>
        <w:tc>
          <w:tcPr>
            <w:tcW w:type="dxa" w:w="3399"/>
            <w:shd w:val="clear" w:color="auto" w:fill="F1F2F5"/>
          </w:tcPr>
          <w:p>
            <w:pPr>
              <w:pStyle w:val="Compact"/>
              <w:spacing w:after="0" w:before="0" w:line="240" w:lineRule="auto"/>
              <w:jc w:val="left"/>
            </w:pPr>
            <w:r>
              <w:rPr>
                <w:rFonts w:ascii="Arial" w:hAnsi="Arial"/>
                <w:sz w:val="15"/>
              </w:rPr>
              <w:t xml:space="preserve">FY3/27 guide consistent; 1Q ahead</w:t>
            </w:r>
          </w:p>
        </w:tc>
        <w:tc>
          <w:tcPr>
            <w:tcW w:type="dxa" w:w="2279"/>
            <w:shd w:val="clear" w:color="auto" w:fill="F1F2F5"/>
          </w:tcPr>
          <w:p>
            <w:pPr>
              <w:pStyle w:val="Compact"/>
              <w:spacing w:after="0" w:before="0" w:line="240" w:lineRule="auto"/>
              <w:jc w:val="left"/>
            </w:pPr>
            <w:r>
              <w:rPr>
                <w:rFonts w:ascii="Arial" w:hAnsi="Arial"/>
                <w:sz w:val="15"/>
              </w:rPr>
              <w:t xml:space="preserve">Credibility hit by the Warning Letter</w:t>
            </w:r>
          </w:p>
        </w:tc>
      </w:tr>
      <w:tr>
        <w:trPr>
          <w:cantSplit/>
        </w:trPr>
        <w:tc>
          <w:tcPr>
            <w:tcW w:type="dxa" w:w="3000"/>
          </w:tcPr>
          <w:p>
            <w:pPr>
              <w:pStyle w:val="Compact"/>
              <w:spacing w:after="0" w:before="0" w:line="240" w:lineRule="auto"/>
              <w:jc w:val="left"/>
            </w:pPr>
            <w:r>
              <w:rPr>
                <w:bCs/>
                <w:rFonts w:ascii="Arial" w:hAnsi="Arial"/>
                <w:b/>
                <w:sz w:val="15"/>
              </w:rPr>
              <w:t xml:space="preserve">Surgical strategic review</w:t>
            </w:r>
          </w:p>
        </w:tc>
        <w:tc>
          <w:tcPr>
            <w:tcW w:type="dxa" w:w="1300"/>
          </w:tcPr>
          <w:p>
            <w:pPr>
              <w:pStyle w:val="Compact"/>
              <w:spacing w:after="0" w:before="0" w:line="240" w:lineRule="auto"/>
              <w:jc w:val="left"/>
            </w:pPr>
            <w:r>
              <w:rPr>
                <w:rFonts w:ascii="Arial" w:hAnsi="Arial"/>
                <w:sz w:val="15"/>
              </w:rPr>
              <w:t xml:space="preserve">May-2026</w:t>
            </w:r>
          </w:p>
        </w:tc>
        <w:tc>
          <w:tcPr>
            <w:tcW w:type="dxa" w:w="3399"/>
          </w:tcPr>
          <w:p>
            <w:pPr>
              <w:pStyle w:val="Compact"/>
              <w:spacing w:after="0" w:before="0" w:line="240" w:lineRule="auto"/>
              <w:jc w:val="left"/>
            </w:pPr>
            <w:r>
              <w:rPr>
                <w:rFonts w:ascii="Arial" w:hAnsi="Arial"/>
                <w:sz w:val="15"/>
              </w:rPr>
              <w:t xml:space="preserve">Open; no timetable</w:t>
            </w:r>
          </w:p>
        </w:tc>
        <w:tc>
          <w:tcPr>
            <w:tcW w:type="dxa" w:w="2279"/>
          </w:tcPr>
          <w:p>
            <w:pPr>
              <w:pStyle w:val="Compact"/>
              <w:spacing w:after="0" w:before="0" w:line="240" w:lineRule="auto"/>
              <w:jc w:val="left"/>
            </w:pPr>
            <w:r>
              <w:rPr>
                <w:bCs/>
                <w:rFonts w:ascii="Arial" w:hAnsi="Arial"/>
                <w:b/>
                <w:sz w:val="15"/>
              </w:rPr>
              <w:t xml:space="preserve">Pending: the key catalyst</w:t>
            </w:r>
          </w:p>
        </w:tc>
      </w:tr>
      <w:tr>
        <w:trPr>
          <w:cantSplit/>
        </w:trPr>
        <w:tc>
          <w:tcPr>
            <w:tcW w:type="dxa" w:w="3000"/>
            <w:shd w:val="clear" w:color="auto" w:fill="F1F2F5"/>
          </w:tcPr>
          <w:p>
            <w:pPr>
              <w:pStyle w:val="Compact"/>
              <w:spacing w:after="0" w:before="0" w:line="240" w:lineRule="auto"/>
              <w:jc w:val="left"/>
            </w:pPr>
            <w:r>
              <w:rPr>
                <w:rFonts w:ascii="Arial" w:hAnsi="Arial"/>
                <w:sz w:val="15"/>
              </w:rPr>
              <w:t xml:space="preserve">Robotics (Swan EndoSurgical JV)</w:t>
            </w:r>
          </w:p>
        </w:tc>
        <w:tc>
          <w:tcPr>
            <w:tcW w:type="dxa" w:w="1300"/>
            <w:shd w:val="clear" w:color="auto" w:fill="F1F2F5"/>
          </w:tcPr>
          <w:p>
            <w:pPr>
              <w:pStyle w:val="Compact"/>
              <w:spacing w:after="0" w:before="0" w:line="240" w:lineRule="auto"/>
              <w:jc w:val="left"/>
            </w:pPr>
            <w:r>
              <w:rPr>
                <w:rFonts w:ascii="Arial" w:hAnsi="Arial"/>
                <w:sz w:val="15"/>
              </w:rPr>
              <w:t xml:space="preserve">Jul-2025</w:t>
            </w:r>
          </w:p>
        </w:tc>
        <w:tc>
          <w:tcPr>
            <w:tcW w:type="dxa" w:w="3399"/>
            <w:shd w:val="clear" w:color="auto" w:fill="F1F2F5"/>
          </w:tcPr>
          <w:p>
            <w:pPr>
              <w:pStyle w:val="Compact"/>
              <w:spacing w:after="0" w:before="0" w:line="240" w:lineRule="auto"/>
              <w:jc w:val="left"/>
            </w:pPr>
            <w:r>
              <w:rPr>
                <w:rFonts w:ascii="Arial" w:hAnsi="Arial"/>
                <w:sz w:val="15"/>
              </w:rPr>
              <w:t xml:space="preserve">Build-to-buy option; ~JPY4.4bn of losses absorbed</w:t>
            </w:r>
          </w:p>
        </w:tc>
        <w:tc>
          <w:tcPr>
            <w:tcW w:type="dxa" w:w="2279"/>
            <w:shd w:val="clear" w:color="auto" w:fill="F1F2F5"/>
          </w:tcPr>
          <w:p>
            <w:pPr>
              <w:pStyle w:val="Compact"/>
              <w:spacing w:after="0" w:before="0" w:line="240" w:lineRule="auto"/>
              <w:jc w:val="left"/>
            </w:pPr>
            <w:r>
              <w:rPr>
                <w:rFonts w:ascii="Arial" w:hAnsi="Arial"/>
                <w:sz w:val="15"/>
              </w:rPr>
              <w:t xml:space="preserve">Long-dated option</w:t>
            </w:r>
          </w:p>
        </w:tc>
      </w:tr>
    </w:tbl>
    <w:bookmarkEnd w:id="118"/>
    <w:bookmarkStart w:id="119" w:name="stakes-in-other-companies"/>
    <w:p>
      <w:pPr>
        <w:pStyle w:val="Heading1"/>
      </w:pPr>
      <w:r>
        <w:t xml:space="preserve">Stakes in other companies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417"/>
        <w:gridCol w:w="2865"/>
        <w:gridCol w:w="1720"/>
        <w:gridCol w:w="2974"/>
      </w:tblGrid>
      <w:tr>
        <w:trPr>
          <w:tblHeader w:val="true"/>
          <w:tblHeader w:val="true"/>
          <w:cantSplit/>
        </w:trPr>
        <w:tc>
          <w:tcPr>
            <w:tcW w:type="dxa" w:w="2418"/>
            <w:shd w:val="clear" w:color="auto" w:fill="13213F"/>
          </w:tcPr>
          <w:p>
            <w:pPr>
              <w:pStyle w:val="Compact"/>
              <w:spacing w:after="0" w:before="0" w:line="240" w:lineRule="auto"/>
              <w:jc w:val="left"/>
            </w:pPr>
            <w:r>
              <w:rPr>
                <w:rFonts w:ascii="Arial" w:hAnsi="Arial"/>
                <w:b/>
                <w:color w:val="FFFFFF"/>
                <w:sz w:val="15"/>
              </w:rPr>
              <w:t xml:space="preserve">Holding</w:t>
            </w:r>
          </w:p>
        </w:tc>
        <w:tc>
          <w:tcPr>
            <w:tcW w:type="dxa" w:w="2865"/>
            <w:shd w:val="clear" w:color="auto" w:fill="13213F"/>
          </w:tcPr>
          <w:p>
            <w:pPr>
              <w:pStyle w:val="Compact"/>
              <w:spacing w:after="0" w:before="0" w:line="240" w:lineRule="auto"/>
              <w:jc w:val="left"/>
            </w:pPr>
            <w:r>
              <w:rPr>
                <w:rFonts w:ascii="Arial" w:hAnsi="Arial"/>
                <w:b/>
                <w:color w:val="FFFFFF"/>
                <w:sz w:val="15"/>
              </w:rPr>
              <w:t xml:space="preserve">Type</w:t>
            </w:r>
          </w:p>
        </w:tc>
        <w:tc>
          <w:tcPr>
            <w:tcW w:type="dxa" w:w="1720"/>
            <w:shd w:val="clear" w:color="auto" w:fill="13213F"/>
          </w:tcPr>
          <w:p>
            <w:pPr>
              <w:pStyle w:val="Compact"/>
              <w:spacing w:after="0" w:before="0" w:line="240" w:lineRule="auto"/>
              <w:jc w:val="right"/>
            </w:pPr>
            <w:r>
              <w:rPr>
                <w:rFonts w:ascii="Arial" w:hAnsi="Arial"/>
                <w:b/>
                <w:color w:val="FFFFFF"/>
                <w:sz w:val="15"/>
              </w:rPr>
              <w:t xml:space="preserve">Value</w:t>
            </w:r>
          </w:p>
        </w:tc>
        <w:tc>
          <w:tcPr>
            <w:tcW w:type="dxa" w:w="2975"/>
            <w:shd w:val="clear" w:color="auto" w:fill="13213F"/>
          </w:tcPr>
          <w:p>
            <w:pPr>
              <w:pStyle w:val="Compact"/>
              <w:spacing w:after="0" w:before="0" w:line="240" w:lineRule="auto"/>
              <w:jc w:val="left"/>
            </w:pPr>
            <w:r>
              <w:rPr>
                <w:rFonts w:ascii="Arial" w:hAnsi="Arial"/>
                <w:b/>
                <w:color w:val="FFFFFF"/>
                <w:sz w:val="15"/>
              </w:rPr>
              <w:t xml:space="preserve">Relevance</w:t>
            </w:r>
          </w:p>
        </w:tc>
      </w:tr>
      <w:tr>
        <w:trPr>
          <w:cantSplit/>
        </w:trPr>
        <w:tc>
          <w:tcPr>
            <w:tcW w:type="dxa" w:w="2418"/>
          </w:tcPr>
          <w:p>
            <w:pPr>
              <w:pStyle w:val="Compact"/>
              <w:spacing w:after="0" w:before="0" w:line="240" w:lineRule="auto"/>
              <w:jc w:val="left"/>
            </w:pPr>
            <w:r>
              <w:rPr>
                <w:rFonts w:ascii="Arial" w:hAnsi="Arial"/>
                <w:sz w:val="15"/>
              </w:rPr>
              <w:t xml:space="preserve">Equity-method investments (total)</w:t>
            </w:r>
          </w:p>
        </w:tc>
        <w:tc>
          <w:tcPr>
            <w:tcW w:type="dxa" w:w="2865"/>
          </w:tcPr>
          <w:p>
            <w:pPr>
              <w:pStyle w:val="Compact"/>
              <w:spacing w:after="0" w:before="0" w:line="240" w:lineRule="auto"/>
              <w:jc w:val="left"/>
            </w:pPr>
            <w:r>
              <w:rPr>
                <w:rFonts w:ascii="Arial" w:hAnsi="Arial"/>
                <w:sz w:val="15"/>
              </w:rPr>
              <w:t xml:space="preserve">Associates and JVs</w:t>
            </w:r>
          </w:p>
        </w:tc>
        <w:tc>
          <w:tcPr>
            <w:tcW w:type="dxa" w:w="1720"/>
          </w:tcPr>
          <w:p>
            <w:pPr>
              <w:pStyle w:val="Compact"/>
              <w:spacing w:after="0" w:before="0" w:line="240" w:lineRule="auto"/>
              <w:jc w:val="right"/>
            </w:pPr>
            <w:r>
              <w:rPr>
                <w:rFonts w:ascii="Arial" w:hAnsi="Arial"/>
                <w:sz w:val="15"/>
              </w:rPr>
              <w:t xml:space="preserve">JPY1.4bn (Mar-26)</w:t>
            </w:r>
          </w:p>
        </w:tc>
        <w:tc>
          <w:tcPr>
            <w:tcW w:type="dxa" w:w="2975"/>
          </w:tcPr>
          <w:p>
            <w:pPr>
              <w:pStyle w:val="Compact"/>
              <w:spacing w:after="0" w:before="0" w:line="240" w:lineRule="auto"/>
              <w:jc w:val="left"/>
            </w:pPr>
            <w:r>
              <w:rPr>
                <w:rFonts w:ascii="Arial" w:hAnsi="Arial"/>
                <w:sz w:val="15"/>
              </w:rPr>
              <w:t xml:space="preserve">Small</w:t>
            </w:r>
          </w:p>
        </w:tc>
      </w:tr>
      <w:tr>
        <w:trPr>
          <w:cantSplit/>
        </w:trPr>
        <w:tc>
          <w:tcPr>
            <w:tcW w:type="dxa" w:w="2418"/>
            <w:shd w:val="clear" w:color="auto" w:fill="F1F2F5"/>
          </w:tcPr>
          <w:p>
            <w:pPr>
              <w:pStyle w:val="Compact"/>
              <w:spacing w:after="0" w:before="0" w:line="240" w:lineRule="auto"/>
              <w:jc w:val="left"/>
            </w:pPr>
            <w:r>
              <w:rPr>
                <w:rFonts w:ascii="Arial" w:hAnsi="Arial"/>
                <w:sz w:val="15"/>
              </w:rPr>
              <w:t xml:space="preserve">Swan EndoSurgical (Revival ~55% / Olympus ~45%)</w:t>
            </w:r>
          </w:p>
        </w:tc>
        <w:tc>
          <w:tcPr>
            <w:tcW w:type="dxa" w:w="2865"/>
            <w:shd w:val="clear" w:color="auto" w:fill="F1F2F5"/>
          </w:tcPr>
          <w:p>
            <w:pPr>
              <w:pStyle w:val="Compact"/>
              <w:spacing w:after="0" w:before="0" w:line="240" w:lineRule="auto"/>
              <w:jc w:val="left"/>
            </w:pPr>
            <w:r>
              <w:rPr>
                <w:rFonts w:ascii="Arial" w:hAnsi="Arial"/>
                <w:sz w:val="15"/>
              </w:rPr>
              <w:t xml:space="preserve">JV; Olympus call option at a predetermined value; Revival puts</w:t>
            </w:r>
          </w:p>
        </w:tc>
        <w:tc>
          <w:tcPr>
            <w:tcW w:type="dxa" w:w="1720"/>
            <w:shd w:val="clear" w:color="auto" w:fill="F1F2F5"/>
          </w:tcPr>
          <w:p>
            <w:pPr>
              <w:pStyle w:val="Compact"/>
              <w:spacing w:after="0" w:before="0" w:line="240" w:lineRule="auto"/>
              <w:jc w:val="right"/>
            </w:pPr>
            <w:r>
              <w:rPr>
                <w:rFonts w:ascii="Arial" w:hAnsi="Arial"/>
                <w:sz w:val="15"/>
              </w:rPr>
              <w:t xml:space="preserve">n/d (losses ~JPY4.4bn in 9M FY3/26)</w:t>
            </w:r>
          </w:p>
        </w:tc>
        <w:tc>
          <w:tcPr>
            <w:tcW w:type="dxa" w:w="2975"/>
            <w:shd w:val="clear" w:color="auto" w:fill="F1F2F5"/>
          </w:tcPr>
          <w:p>
            <w:pPr>
              <w:pStyle w:val="Compact"/>
              <w:spacing w:after="0" w:before="0" w:line="240" w:lineRule="auto"/>
              <w:jc w:val="left"/>
            </w:pPr>
            <w:r>
              <w:rPr>
                <w:rFonts w:ascii="Arial" w:hAnsi="Arial"/>
                <w:sz w:val="15"/>
              </w:rPr>
              <w:t xml:space="preserve">Robotics option and a contingent cash call</w:t>
            </w:r>
          </w:p>
        </w:tc>
      </w:tr>
      <w:tr>
        <w:trPr>
          <w:cantSplit/>
        </w:trPr>
        <w:tc>
          <w:tcPr>
            <w:tcW w:type="dxa" w:w="2418"/>
          </w:tcPr>
          <w:p>
            <w:pPr>
              <w:pStyle w:val="Compact"/>
              <w:spacing w:after="0" w:before="0" w:line="240" w:lineRule="auto"/>
              <w:jc w:val="left"/>
            </w:pPr>
            <w:r>
              <w:rPr>
                <w:rFonts w:ascii="Arial" w:hAnsi="Arial"/>
                <w:sz w:val="15"/>
              </w:rPr>
              <w:t xml:space="preserve">Sony Olympus Medical Solutions (SOMED)</w:t>
            </w:r>
          </w:p>
        </w:tc>
        <w:tc>
          <w:tcPr>
            <w:tcW w:type="dxa" w:w="2865"/>
          </w:tcPr>
          <w:p>
            <w:pPr>
              <w:pStyle w:val="Compact"/>
              <w:spacing w:after="0" w:before="0" w:line="240" w:lineRule="auto"/>
              <w:jc w:val="left"/>
            </w:pPr>
            <w:r>
              <w:rPr>
                <w:rFonts w:ascii="Arial" w:hAnsi="Arial"/>
                <w:sz w:val="15"/>
              </w:rPr>
              <w:t xml:space="preserve">JV with Sony (~51/49 [u])</w:t>
            </w:r>
          </w:p>
        </w:tc>
        <w:tc>
          <w:tcPr>
            <w:tcW w:type="dxa" w:w="1720"/>
          </w:tcPr>
          <w:p>
            <w:pPr>
              <w:pStyle w:val="Compact"/>
              <w:spacing w:after="0" w:before="0" w:line="240" w:lineRule="auto"/>
              <w:jc w:val="right"/>
            </w:pPr>
            <w:r>
              <w:rPr>
                <w:rFonts w:ascii="Arial" w:hAnsi="Arial"/>
                <w:sz w:val="15"/>
              </w:rPr>
              <w:t xml:space="preserve">n/d</w:t>
            </w:r>
          </w:p>
        </w:tc>
        <w:tc>
          <w:tcPr>
            <w:tcW w:type="dxa" w:w="2975"/>
          </w:tcPr>
          <w:p>
            <w:pPr>
              <w:pStyle w:val="Compact"/>
              <w:spacing w:after="0" w:before="0" w:line="240" w:lineRule="auto"/>
              <w:jc w:val="left"/>
            </w:pPr>
            <w:r>
              <w:rPr>
                <w:rFonts w:ascii="Arial" w:hAnsi="Arial"/>
                <w:sz w:val="15"/>
              </w:rPr>
              <w:t xml:space="preserve">Imaging co-development; change-of-control consideration</w:t>
            </w:r>
          </w:p>
        </w:tc>
      </w:tr>
      <w:tr>
        <w:trPr>
          <w:cantSplit/>
        </w:trPr>
        <w:tc>
          <w:tcPr>
            <w:tcW w:type="dxa" w:w="2418"/>
            <w:shd w:val="clear" w:color="auto" w:fill="F1F2F5"/>
          </w:tcPr>
          <w:p>
            <w:pPr>
              <w:pStyle w:val="Compact"/>
              <w:spacing w:after="0" w:before="0" w:line="240" w:lineRule="auto"/>
              <w:jc w:val="left"/>
            </w:pPr>
            <w:r>
              <w:rPr>
                <w:rFonts w:ascii="Arial" w:hAnsi="Arial"/>
                <w:sz w:val="15"/>
              </w:rPr>
              <w:t xml:space="preserve">Other non-current financial assets</w:t>
            </w:r>
          </w:p>
        </w:tc>
        <w:tc>
          <w:tcPr>
            <w:tcW w:type="dxa" w:w="2865"/>
            <w:shd w:val="clear" w:color="auto" w:fill="F1F2F5"/>
          </w:tcPr>
          <w:p>
            <w:pPr>
              <w:pStyle w:val="Compact"/>
              <w:spacing w:after="0" w:before="0" w:line="240" w:lineRule="auto"/>
              <w:jc w:val="left"/>
            </w:pPr>
            <w:r>
              <w:rPr>
                <w:rFonts w:ascii="Arial" w:hAnsi="Arial"/>
                <w:sz w:val="15"/>
              </w:rPr>
              <w:t xml:space="preserve">Listed/unlisted shares, derivatives, call options</w:t>
            </w:r>
          </w:p>
        </w:tc>
        <w:tc>
          <w:tcPr>
            <w:tcW w:type="dxa" w:w="1720"/>
            <w:shd w:val="clear" w:color="auto" w:fill="F1F2F5"/>
          </w:tcPr>
          <w:p>
            <w:pPr>
              <w:pStyle w:val="Compact"/>
              <w:spacing w:after="0" w:before="0" w:line="240" w:lineRule="auto"/>
              <w:jc w:val="right"/>
            </w:pPr>
            <w:r>
              <w:rPr>
                <w:rFonts w:ascii="Arial" w:hAnsi="Arial"/>
                <w:sz w:val="15"/>
              </w:rPr>
              <w:t xml:space="preserve">JPY35.4bn (Mar-26)</w:t>
            </w:r>
          </w:p>
        </w:tc>
        <w:tc>
          <w:tcPr>
            <w:tcW w:type="dxa" w:w="2975"/>
            <w:shd w:val="clear" w:color="auto" w:fill="F1F2F5"/>
          </w:tcPr>
          <w:p>
            <w:pPr>
              <w:pStyle w:val="Compact"/>
              <w:spacing w:after="0" w:before="0" w:line="240" w:lineRule="auto"/>
              <w:jc w:val="left"/>
            </w:pPr>
            <w:r>
              <w:rPr>
                <w:rFonts w:ascii="Arial" w:hAnsi="Arial"/>
                <w:sz w:val="15"/>
              </w:rPr>
              <w:t xml:space="preserve">Cross-shareholdings de minimis</w:t>
            </w:r>
          </w:p>
        </w:tc>
      </w:tr>
      <w:tr>
        <w:trPr>
          <w:cantSplit/>
        </w:trPr>
        <w:tc>
          <w:tcPr>
            <w:tcW w:type="dxa" w:w="2418"/>
          </w:tcPr>
          <w:p>
            <w:pPr>
              <w:pStyle w:val="Compact"/>
              <w:spacing w:after="0" w:before="0" w:line="240" w:lineRule="auto"/>
              <w:jc w:val="left"/>
            </w:pPr>
            <w:r>
              <w:rPr>
                <w:rFonts w:ascii="Arial" w:hAnsi="Arial"/>
                <w:sz w:val="15"/>
              </w:rPr>
              <w:t xml:space="preserve">OM Digital Solutions</w:t>
            </w:r>
          </w:p>
        </w:tc>
        <w:tc>
          <w:tcPr>
            <w:tcW w:type="dxa" w:w="2865"/>
          </w:tcPr>
          <w:p>
            <w:pPr>
              <w:pStyle w:val="Compact"/>
              <w:spacing w:after="0" w:before="0" w:line="240" w:lineRule="auto"/>
              <w:jc w:val="left"/>
            </w:pPr>
            <w:r>
              <w:rPr>
                <w:rFonts w:ascii="Arial" w:hAnsi="Arial"/>
                <w:sz w:val="15"/>
              </w:rPr>
              <w:t xml:space="preserve">5% retained at the 2021 sale</w:t>
            </w:r>
          </w:p>
        </w:tc>
        <w:tc>
          <w:tcPr>
            <w:tcW w:type="dxa" w:w="1720"/>
          </w:tcPr>
          <w:p>
            <w:pPr>
              <w:pStyle w:val="Compact"/>
              <w:spacing w:after="0" w:before="0" w:line="240" w:lineRule="auto"/>
              <w:jc w:val="right"/>
            </w:pPr>
            <w:r>
              <w:rPr>
                <w:rFonts w:ascii="Arial" w:hAnsi="Arial"/>
                <w:sz w:val="15"/>
              </w:rPr>
              <w:t xml:space="preserve">n/d [u: still held?]</w:t>
            </w:r>
          </w:p>
        </w:tc>
        <w:tc>
          <w:tcPr>
            <w:tcW w:type="dxa" w:w="2975"/>
          </w:tcPr>
          <w:p>
            <w:pPr>
              <w:pStyle w:val="Compact"/>
              <w:spacing w:after="0" w:before="0" w:line="240" w:lineRule="auto"/>
              <w:jc w:val="left"/>
            </w:pPr>
            <w:r>
              <w:rPr>
                <w:rFonts w:ascii="Arial" w:hAnsi="Arial"/>
                <w:sz w:val="15"/>
              </w:rPr>
              <w:t xml:space="preserve">Immaterial</w:t>
            </w:r>
          </w:p>
        </w:tc>
      </w:tr>
      <w:tr>
        <w:trPr>
          <w:cantSplit/>
        </w:trPr>
        <w:tc>
          <w:tcPr>
            <w:tcW w:type="dxa" w:w="2418"/>
            <w:shd w:val="clear" w:color="auto" w:fill="F1F2F5"/>
          </w:tcPr>
          <w:p>
            <w:pPr>
              <w:pStyle w:val="Compact"/>
              <w:spacing w:after="0" w:before="0" w:line="240" w:lineRule="auto"/>
              <w:jc w:val="left"/>
            </w:pPr>
            <w:r>
              <w:rPr>
                <w:rFonts w:ascii="Arial" w:hAnsi="Arial"/>
                <w:sz w:val="15"/>
              </w:rPr>
              <w:t xml:space="preserve">Evident (Bain)</w:t>
            </w:r>
          </w:p>
        </w:tc>
        <w:tc>
          <w:tcPr>
            <w:tcW w:type="dxa" w:w="2865"/>
            <w:shd w:val="clear" w:color="auto" w:fill="F1F2F5"/>
          </w:tcPr>
          <w:p>
            <w:pPr>
              <w:pStyle w:val="Compact"/>
              <w:spacing w:after="0" w:before="0" w:line="240" w:lineRule="auto"/>
              <w:jc w:val="left"/>
            </w:pPr>
            <w:r>
              <w:rPr>
                <w:rFonts w:ascii="Arial" w:hAnsi="Arial"/>
                <w:sz w:val="15"/>
              </w:rPr>
              <w:t xml:space="preserve">Licence agreement (no equity)</w:t>
            </w:r>
          </w:p>
        </w:tc>
        <w:tc>
          <w:tcPr>
            <w:tcW w:type="dxa" w:w="1720"/>
            <w:shd w:val="clear" w:color="auto" w:fill="F1F2F5"/>
          </w:tcPr>
          <w:p>
            <w:pPr>
              <w:pStyle w:val="Compact"/>
              <w:spacing w:after="0" w:before="0" w:line="240" w:lineRule="auto"/>
              <w:jc w:val="right"/>
            </w:pPr>
            <w:r>
              <w:rPr>
                <w:rFonts w:ascii="Arial" w:hAnsi="Arial"/>
                <w:sz w:val="15"/>
              </w:rPr>
              <w:t xml:space="preserve">~JPY6.0bn licence income in FY3/26</w:t>
            </w:r>
          </w:p>
        </w:tc>
        <w:tc>
          <w:tcPr>
            <w:tcW w:type="dxa" w:w="2975"/>
            <w:shd w:val="clear" w:color="auto" w:fill="F1F2F5"/>
          </w:tcPr>
          <w:p>
            <w:pPr>
              <w:pStyle w:val="Compact"/>
              <w:spacing w:after="0" w:before="0" w:line="240" w:lineRule="auto"/>
              <w:jc w:val="left"/>
            </w:pPr>
            <w:r>
              <w:rPr>
                <w:rFonts w:ascii="Arial" w:hAnsi="Arial"/>
                <w:sz w:val="15"/>
              </w:rPr>
              <w:t xml:space="preserve">Possibly non-recurring</w:t>
            </w:r>
          </w:p>
        </w:tc>
      </w:tr>
      <w:tr>
        <w:trPr>
          <w:cantSplit/>
        </w:trPr>
        <w:tc>
          <w:tcPr>
            <w:tcW w:type="dxa" w:w="2418"/>
          </w:tcPr>
          <w:p>
            <w:pPr>
              <w:pStyle w:val="Compact"/>
              <w:spacing w:after="0" w:before="0" w:line="240" w:lineRule="auto"/>
              <w:jc w:val="left"/>
            </w:pPr>
            <w:r>
              <w:rPr>
                <w:rFonts w:ascii="Arial" w:hAnsi="Arial"/>
                <w:sz w:val="15"/>
              </w:rPr>
              <w:t xml:space="preserve">Olympus Innovation Ventures</w:t>
            </w:r>
          </w:p>
        </w:tc>
        <w:tc>
          <w:tcPr>
            <w:tcW w:type="dxa" w:w="2865"/>
          </w:tcPr>
          <w:p>
            <w:pPr>
              <w:pStyle w:val="Compact"/>
              <w:spacing w:after="0" w:before="0" w:line="240" w:lineRule="auto"/>
              <w:jc w:val="left"/>
            </w:pPr>
            <w:r>
              <w:rPr>
                <w:rFonts w:ascii="Arial" w:hAnsi="Arial"/>
                <w:sz w:val="15"/>
              </w:rPr>
              <w:t xml:space="preserve">Corporate VC (US$50m fund; Fund II US$150m)</w:t>
            </w:r>
          </w:p>
        </w:tc>
        <w:tc>
          <w:tcPr>
            <w:tcW w:type="dxa" w:w="1720"/>
          </w:tcPr>
          <w:p>
            <w:pPr>
              <w:pStyle w:val="Compact"/>
              <w:spacing w:after="0" w:before="0" w:line="240" w:lineRule="auto"/>
              <w:jc w:val="right"/>
            </w:pPr>
            <w:r>
              <w:rPr>
                <w:rFonts w:ascii="Arial" w:hAnsi="Arial"/>
                <w:sz w:val="15"/>
              </w:rPr>
              <w:t xml:space="preserve">n/d</w:t>
            </w:r>
          </w:p>
        </w:tc>
        <w:tc>
          <w:tcPr>
            <w:tcW w:type="dxa" w:w="2975"/>
          </w:tcPr>
          <w:p>
            <w:pPr>
              <w:pStyle w:val="Compact"/>
              <w:spacing w:after="0" w:before="0" w:line="240" w:lineRule="auto"/>
              <w:jc w:val="left"/>
            </w:pPr>
            <w:r>
              <w:rPr>
                <w:rFonts w:ascii="Arial" w:hAnsi="Arial"/>
                <w:sz w:val="15"/>
              </w:rPr>
              <w:t xml:space="preserve">Deal-sourcing</w:t>
            </w:r>
          </w:p>
        </w:tc>
      </w:tr>
    </w:tbl>
    <w:p>
      <w:pPr>
        <w:pStyle w:val="BodyText"/>
      </w:pPr>
      <w:r>
        <w:rPr>
          <w:bCs/>
          <w:b/>
        </w:rPr>
        <w:t xml:space="preserve">There is no hidden asset value in stakes.</w:t>
      </w:r>
      <w:r>
        <w:t xml:space="preserve"> </w:t>
      </w:r>
      <w:r>
        <w:t xml:space="preserve">CIQ’s</w:t>
      </w:r>
      <w:r>
        <w:t xml:space="preserve"> </w:t>
      </w:r>
      <w:r>
        <w:t xml:space="preserve">“</w:t>
      </w:r>
      <w:r>
        <w:t xml:space="preserve">long-term investments</w:t>
      </w:r>
      <w:r>
        <w:t xml:space="preserve">”</w:t>
      </w:r>
      <w:r>
        <w:t xml:space="preserve"> </w:t>
      </w:r>
      <w:r>
        <w:t xml:space="preserve">of JPY178bn is an aggregation of receivables and other financial assets, not an investment portfolio. The hidden value is internal:</w:t>
      </w:r>
      <w:r>
        <w:t xml:space="preserve"> </w:t>
      </w:r>
      <w:r>
        <w:rPr>
          <w:bCs/>
          <w:b/>
        </w:rPr>
        <w:t xml:space="preserve">SIS is valued by the market at roughly zero or less</w:t>
      </w:r>
      <w:r>
        <w:t xml:space="preserve"> </w:t>
      </w:r>
      <w:r>
        <w:t xml:space="preserve">(see Valuation).</w:t>
      </w:r>
    </w:p>
    <w:bookmarkEnd w:id="119"/>
    <w:bookmarkStart w:id="120" w:name="X6d0bec8361899426b84d792749b804157daab0b"/>
    <w:p>
      <w:pPr>
        <w:pStyle w:val="Heading1"/>
      </w:pPr>
      <w:r>
        <w:t xml:space="preserve">Shareholder returns: dividends, buybacks and treasury shares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520"/>
        <w:gridCol w:w="884"/>
        <w:gridCol w:w="1147"/>
        <w:gridCol w:w="1575"/>
        <w:gridCol w:w="1556"/>
        <w:gridCol w:w="1075"/>
        <w:gridCol w:w="1380"/>
        <w:gridCol w:w="837"/>
      </w:tblGrid>
      <w:tr>
        <w:trPr>
          <w:tblHeader w:val="true"/>
          <w:tblHeader w:val="true"/>
          <w:cantSplit/>
        </w:trPr>
        <w:tc>
          <w:tcPr>
            <w:tcW w:type="dxa" w:w="1520"/>
            <w:shd w:val="clear" w:color="auto" w:fill="13213F"/>
          </w:tcPr>
          <w:p>
            <w:pPr>
              <w:pStyle w:val="Compact"/>
              <w:spacing w:after="0" w:before="0" w:line="240" w:lineRule="auto"/>
              <w:jc w:val="left"/>
            </w:pPr>
            <w:r>
              <w:rPr>
                <w:rFonts w:ascii="Arial" w:hAnsi="Arial"/>
                <w:b/>
                <w:color w:val="FFFFFF"/>
                <w:sz w:val="15"/>
              </w:rPr>
              <w:t xml:space="preserve">FY</w:t>
            </w:r>
          </w:p>
        </w:tc>
        <w:tc>
          <w:tcPr>
            <w:tcW w:type="dxa" w:w="884"/>
            <w:shd w:val="clear" w:color="auto" w:fill="13213F"/>
          </w:tcPr>
          <w:p>
            <w:pPr>
              <w:pStyle w:val="Compact"/>
              <w:spacing w:after="0" w:before="0" w:line="240" w:lineRule="auto"/>
              <w:jc w:val="right"/>
            </w:pPr>
            <w:r>
              <w:rPr>
                <w:rFonts w:ascii="Arial" w:hAnsi="Arial"/>
                <w:b/>
                <w:color w:val="FFFFFF"/>
                <w:sz w:val="15"/>
              </w:rPr>
              <w:t xml:space="preserve">DPS (JPY)</w:t>
            </w:r>
          </w:p>
        </w:tc>
        <w:tc>
          <w:tcPr>
            <w:tcW w:type="dxa" w:w="1148"/>
            <w:shd w:val="clear" w:color="auto" w:fill="13213F"/>
          </w:tcPr>
          <w:p>
            <w:pPr>
              <w:pStyle w:val="Compact"/>
              <w:spacing w:after="0" w:before="0" w:line="240" w:lineRule="auto"/>
              <w:jc w:val="right"/>
            </w:pPr>
            <w:r>
              <w:rPr>
                <w:rFonts w:ascii="Arial" w:hAnsi="Arial"/>
                <w:b/>
                <w:color w:val="FFFFFF"/>
                <w:sz w:val="15"/>
              </w:rPr>
              <w:t xml:space="preserve">Dividends paid (JPY bn)</w:t>
            </w:r>
          </w:p>
        </w:tc>
        <w:tc>
          <w:tcPr>
            <w:tcW w:type="dxa" w:w="1575"/>
            <w:shd w:val="clear" w:color="auto" w:fill="13213F"/>
          </w:tcPr>
          <w:p>
            <w:pPr>
              <w:pStyle w:val="Compact"/>
              <w:spacing w:after="0" w:before="0" w:line="240" w:lineRule="auto"/>
              <w:jc w:val="left"/>
            </w:pPr>
            <w:r>
              <w:rPr>
                <w:rFonts w:ascii="Arial" w:hAnsi="Arial"/>
                <w:b/>
                <w:color w:val="FFFFFF"/>
                <w:sz w:val="15"/>
              </w:rPr>
              <w:t xml:space="preserve">Buyback resolution</w:t>
            </w:r>
          </w:p>
        </w:tc>
        <w:tc>
          <w:tcPr>
            <w:tcW w:type="dxa" w:w="1557"/>
            <w:shd w:val="clear" w:color="auto" w:fill="13213F"/>
          </w:tcPr>
          <w:p>
            <w:pPr>
              <w:pStyle w:val="Compact"/>
              <w:spacing w:after="0" w:before="0" w:line="240" w:lineRule="auto"/>
              <w:jc w:val="left"/>
            </w:pPr>
            <w:r>
              <w:rPr>
                <w:rFonts w:ascii="Arial" w:hAnsi="Arial"/>
                <w:b/>
                <w:color w:val="FFFFFF"/>
                <w:sz w:val="15"/>
              </w:rPr>
              <w:t xml:space="preserve">Buyback executed (JPY bn; shares; avg price)</w:t>
            </w:r>
          </w:p>
        </w:tc>
        <w:tc>
          <w:tcPr>
            <w:tcW w:type="dxa" w:w="1076"/>
            <w:shd w:val="clear" w:color="auto" w:fill="13213F"/>
          </w:tcPr>
          <w:p>
            <w:pPr>
              <w:pStyle w:val="Compact"/>
              <w:spacing w:after="0" w:before="0" w:line="240" w:lineRule="auto"/>
              <w:jc w:val="right"/>
            </w:pPr>
            <w:r>
              <w:rPr>
                <w:rFonts w:ascii="Arial" w:hAnsi="Arial"/>
                <w:b/>
                <w:color w:val="FFFFFF"/>
                <w:sz w:val="15"/>
              </w:rPr>
              <w:t xml:space="preserve">Treasury shares at FYE (m)</w:t>
            </w:r>
          </w:p>
        </w:tc>
        <w:tc>
          <w:tcPr>
            <w:tcW w:type="dxa" w:w="1381"/>
            <w:shd w:val="clear" w:color="auto" w:fill="13213F"/>
          </w:tcPr>
          <w:p>
            <w:pPr>
              <w:pStyle w:val="Compact"/>
              <w:spacing w:after="0" w:before="0" w:line="240" w:lineRule="auto"/>
              <w:jc w:val="left"/>
            </w:pPr>
            <w:r>
              <w:rPr>
                <w:rFonts w:ascii="Arial" w:hAnsi="Arial"/>
                <w:b/>
                <w:color w:val="FFFFFF"/>
                <w:sz w:val="15"/>
              </w:rPr>
              <w:t xml:space="preserve">Shares cancelled</w:t>
            </w:r>
          </w:p>
        </w:tc>
        <w:tc>
          <w:tcPr>
            <w:tcW w:type="dxa" w:w="837"/>
            <w:shd w:val="clear" w:color="auto" w:fill="13213F"/>
          </w:tcPr>
          <w:p>
            <w:pPr>
              <w:pStyle w:val="Compact"/>
              <w:spacing w:after="0" w:before="0" w:line="240" w:lineRule="auto"/>
              <w:jc w:val="right"/>
            </w:pPr>
            <w:r>
              <w:rPr>
                <w:rFonts w:ascii="Arial" w:hAnsi="Arial"/>
                <w:b/>
                <w:color w:val="FFFFFF"/>
                <w:sz w:val="15"/>
              </w:rPr>
              <w:t xml:space="preserve">Total return / NI</w:t>
            </w:r>
          </w:p>
        </w:tc>
      </w:tr>
      <w:tr>
        <w:trPr>
          <w:cantSplit/>
        </w:trPr>
        <w:tc>
          <w:tcPr>
            <w:tcW w:type="dxa" w:w="1520"/>
          </w:tcPr>
          <w:p>
            <w:pPr>
              <w:pStyle w:val="Compact"/>
              <w:spacing w:after="0" w:before="0" w:line="240" w:lineRule="auto"/>
              <w:jc w:val="left"/>
            </w:pPr>
            <w:r>
              <w:rPr>
                <w:rFonts w:ascii="Arial" w:hAnsi="Arial"/>
                <w:sz w:val="15"/>
              </w:rPr>
              <w:t xml:space="preserve">FY3/21</w:t>
            </w:r>
          </w:p>
        </w:tc>
        <w:tc>
          <w:tcPr>
            <w:tcW w:type="dxa" w:w="884"/>
          </w:tcPr>
          <w:p>
            <w:pPr>
              <w:pStyle w:val="Compact"/>
              <w:spacing w:after="0" w:before="0" w:line="240" w:lineRule="auto"/>
              <w:jc w:val="right"/>
            </w:pPr>
            <w:r>
              <w:rPr>
                <w:rFonts w:ascii="Arial" w:hAnsi="Arial"/>
                <w:sz w:val="15"/>
              </w:rPr>
              <w:t xml:space="preserve">12</w:t>
            </w:r>
          </w:p>
        </w:tc>
        <w:tc>
          <w:tcPr>
            <w:tcW w:type="dxa" w:w="1148"/>
          </w:tcPr>
          <w:p>
            <w:pPr>
              <w:pStyle w:val="Compact"/>
              <w:spacing w:after="0" w:before="0" w:line="240" w:lineRule="auto"/>
              <w:jc w:val="right"/>
            </w:pPr>
            <w:r>
              <w:rPr>
                <w:rFonts w:ascii="Arial" w:hAnsi="Arial"/>
                <w:sz w:val="15"/>
              </w:rPr>
              <w:t xml:space="preserve">n/d</w:t>
            </w:r>
          </w:p>
        </w:tc>
        <w:tc>
          <w:tcPr>
            <w:tcW w:type="dxa" w:w="1575"/>
          </w:tcPr>
          <w:p>
            <w:pPr>
              <w:pStyle w:val="Compact"/>
              <w:spacing w:after="0" w:before="0" w:line="240" w:lineRule="auto"/>
              <w:jc w:val="left"/>
            </w:pPr>
            <w:r>
              <w:rPr>
                <w:rFonts w:ascii="Arial" w:hAnsi="Arial"/>
                <w:sz w:val="15"/>
              </w:rPr>
              <w:t xml:space="preserve">–</w:t>
            </w:r>
          </w:p>
        </w:tc>
        <w:tc>
          <w:tcPr>
            <w:tcW w:type="dxa" w:w="1557"/>
          </w:tcPr>
          <w:p>
            <w:pPr>
              <w:pStyle w:val="Compact"/>
              <w:spacing w:after="0" w:before="0" w:line="240" w:lineRule="auto"/>
              <w:jc w:val="left"/>
            </w:pPr>
            <w:r>
              <w:rPr>
                <w:rFonts w:ascii="Arial" w:hAnsi="Arial"/>
                <w:sz w:val="15"/>
              </w:rPr>
              <w:t xml:space="preserve">–</w:t>
            </w:r>
          </w:p>
        </w:tc>
        <w:tc>
          <w:tcPr>
            <w:tcW w:type="dxa" w:w="1076"/>
          </w:tcPr>
          <w:p>
            <w:pPr>
              <w:pStyle w:val="Compact"/>
              <w:spacing w:after="0" w:before="0" w:line="240" w:lineRule="auto"/>
              <w:jc w:val="right"/>
            </w:pPr>
            <w:r>
              <w:rPr>
                <w:rFonts w:ascii="Arial" w:hAnsi="Arial"/>
                <w:sz w:val="15"/>
              </w:rPr>
              <w:t xml:space="preserve">85.3</w:t>
            </w:r>
          </w:p>
        </w:tc>
        <w:tc>
          <w:tcPr>
            <w:tcW w:type="dxa" w:w="1381"/>
          </w:tcPr>
          <w:p>
            <w:pPr>
              <w:pStyle w:val="Compact"/>
              <w:spacing w:after="0" w:before="0" w:line="240" w:lineRule="auto"/>
              <w:jc w:val="left"/>
            </w:pPr>
            <w:r>
              <w:rPr>
                <w:rFonts w:ascii="Arial" w:hAnsi="Arial"/>
                <w:sz w:val="15"/>
              </w:rPr>
              <w:t xml:space="preserve">71.6m (Jun-2021)</w:t>
            </w:r>
          </w:p>
        </w:tc>
        <w:tc>
          <w:tcPr>
            <w:tcW w:type="dxa" w:w="837"/>
          </w:tcPr>
          <w:p>
            <w:pPr>
              <w:pStyle w:val="Compact"/>
              <w:spacing w:after="0" w:before="0" w:line="240" w:lineRule="auto"/>
              <w:jc w:val="right"/>
            </w:pPr>
            <w:r>
              <w:rPr>
                <w:rFonts w:ascii="Arial" w:hAnsi="Arial"/>
                <w:sz w:val="15"/>
              </w:rPr>
              <w:t xml:space="preserve">n/m</w:t>
            </w:r>
          </w:p>
        </w:tc>
      </w:tr>
      <w:tr>
        <w:trPr>
          <w:cantSplit/>
        </w:trPr>
        <w:tc>
          <w:tcPr>
            <w:tcW w:type="dxa" w:w="1520"/>
            <w:shd w:val="clear" w:color="auto" w:fill="F1F2F5"/>
          </w:tcPr>
          <w:p>
            <w:pPr>
              <w:pStyle w:val="Compact"/>
              <w:spacing w:after="0" w:before="0" w:line="240" w:lineRule="auto"/>
              <w:jc w:val="left"/>
            </w:pPr>
            <w:r>
              <w:rPr>
                <w:rFonts w:ascii="Arial" w:hAnsi="Arial"/>
                <w:sz w:val="15"/>
              </w:rPr>
              <w:t xml:space="preserve">FY3/22</w:t>
            </w:r>
          </w:p>
        </w:tc>
        <w:tc>
          <w:tcPr>
            <w:tcW w:type="dxa" w:w="884"/>
            <w:shd w:val="clear" w:color="auto" w:fill="F1F2F5"/>
          </w:tcPr>
          <w:p>
            <w:pPr>
              <w:pStyle w:val="Compact"/>
              <w:spacing w:after="0" w:before="0" w:line="240" w:lineRule="auto"/>
              <w:jc w:val="right"/>
            </w:pPr>
            <w:r>
              <w:rPr>
                <w:rFonts w:ascii="Arial" w:hAnsi="Arial"/>
                <w:sz w:val="15"/>
              </w:rPr>
              <w:t xml:space="preserve">14</w:t>
            </w:r>
          </w:p>
        </w:tc>
        <w:tc>
          <w:tcPr>
            <w:tcW w:type="dxa" w:w="1148"/>
            <w:shd w:val="clear" w:color="auto" w:fill="F1F2F5"/>
          </w:tcPr>
          <w:p>
            <w:pPr>
              <w:pStyle w:val="Compact"/>
              <w:spacing w:after="0" w:before="0" w:line="240" w:lineRule="auto"/>
              <w:jc w:val="right"/>
            </w:pPr>
            <w:r>
              <w:rPr>
                <w:rFonts w:ascii="Arial" w:hAnsi="Arial"/>
                <w:sz w:val="15"/>
              </w:rPr>
              <w:t xml:space="preserve">15.4</w:t>
            </w:r>
          </w:p>
        </w:tc>
        <w:tc>
          <w:tcPr>
            <w:tcW w:type="dxa" w:w="1575"/>
            <w:shd w:val="clear" w:color="auto" w:fill="F1F2F5"/>
          </w:tcPr>
          <w:p>
            <w:pPr>
              <w:pStyle w:val="Compact"/>
              <w:spacing w:after="0" w:before="0" w:line="240" w:lineRule="auto"/>
              <w:jc w:val="left"/>
            </w:pPr>
            <w:r>
              <w:rPr>
                <w:rFonts w:ascii="Arial" w:hAnsi="Arial"/>
                <w:sz w:val="15"/>
              </w:rPr>
              <w:t xml:space="preserve">17-Dec-2021 (max 16m / JPY30bn)</w:t>
            </w:r>
          </w:p>
        </w:tc>
        <w:tc>
          <w:tcPr>
            <w:tcW w:type="dxa" w:w="1557"/>
            <w:shd w:val="clear" w:color="auto" w:fill="F1F2F5"/>
          </w:tcPr>
          <w:p>
            <w:pPr>
              <w:pStyle w:val="Compact"/>
              <w:spacing w:after="0" w:before="0" w:line="240" w:lineRule="auto"/>
              <w:jc w:val="left"/>
            </w:pPr>
            <w:r>
              <w:rPr>
                <w:rFonts w:ascii="Arial" w:hAnsi="Arial"/>
                <w:sz w:val="15"/>
              </w:rPr>
              <w:t xml:space="preserve">30.0; 12.7m; ~JPY2,366</w:t>
            </w:r>
          </w:p>
        </w:tc>
        <w:tc>
          <w:tcPr>
            <w:tcW w:type="dxa" w:w="1076"/>
            <w:shd w:val="clear" w:color="auto" w:fill="F1F2F5"/>
          </w:tcPr>
          <w:p>
            <w:pPr>
              <w:pStyle w:val="Compact"/>
              <w:spacing w:after="0" w:before="0" w:line="240" w:lineRule="auto"/>
              <w:jc w:val="right"/>
            </w:pPr>
            <w:r>
              <w:rPr>
                <w:rFonts w:ascii="Arial" w:hAnsi="Arial"/>
                <w:sz w:val="15"/>
              </w:rPr>
              <w:t xml:space="preserve">26.3</w:t>
            </w:r>
          </w:p>
        </w:tc>
        <w:tc>
          <w:tcPr>
            <w:tcW w:type="dxa" w:w="1381"/>
            <w:shd w:val="clear" w:color="auto" w:fill="F1F2F5"/>
          </w:tcPr>
          <w:p>
            <w:pPr>
              <w:pStyle w:val="Compact"/>
              <w:spacing w:after="0" w:before="0" w:line="240" w:lineRule="auto"/>
              <w:jc w:val="left"/>
            </w:pPr>
            <w:r>
              <w:rPr>
                <w:rFonts w:ascii="Arial" w:hAnsi="Arial"/>
                <w:sz w:val="15"/>
              </w:rPr>
              <w:t xml:space="preserve">13.4m (Jun-2022)</w:t>
            </w:r>
          </w:p>
        </w:tc>
        <w:tc>
          <w:tcPr>
            <w:tcW w:type="dxa" w:w="837"/>
            <w:shd w:val="clear" w:color="auto" w:fill="F1F2F5"/>
          </w:tcPr>
          <w:p>
            <w:pPr>
              <w:pStyle w:val="Compact"/>
              <w:spacing w:after="0" w:before="0" w:line="240" w:lineRule="auto"/>
              <w:jc w:val="right"/>
            </w:pPr>
            <w:r>
              <w:rPr>
                <w:rFonts w:ascii="Arial" w:hAnsi="Arial"/>
                <w:sz w:val="15"/>
              </w:rPr>
              <w:t xml:space="preserve">39%</w:t>
            </w:r>
          </w:p>
        </w:tc>
      </w:tr>
      <w:tr>
        <w:trPr>
          <w:cantSplit/>
        </w:trPr>
        <w:tc>
          <w:tcPr>
            <w:tcW w:type="dxa" w:w="1520"/>
          </w:tcPr>
          <w:p>
            <w:pPr>
              <w:pStyle w:val="Compact"/>
              <w:spacing w:after="0" w:before="0" w:line="240" w:lineRule="auto"/>
              <w:jc w:val="left"/>
            </w:pPr>
            <w:r>
              <w:rPr>
                <w:rFonts w:ascii="Arial" w:hAnsi="Arial"/>
                <w:sz w:val="15"/>
              </w:rPr>
              <w:t xml:space="preserve">FY3/23</w:t>
            </w:r>
          </w:p>
        </w:tc>
        <w:tc>
          <w:tcPr>
            <w:tcW w:type="dxa" w:w="884"/>
          </w:tcPr>
          <w:p>
            <w:pPr>
              <w:pStyle w:val="Compact"/>
              <w:spacing w:after="0" w:before="0" w:line="240" w:lineRule="auto"/>
              <w:jc w:val="right"/>
            </w:pPr>
            <w:r>
              <w:rPr>
                <w:rFonts w:ascii="Arial" w:hAnsi="Arial"/>
                <w:sz w:val="15"/>
              </w:rPr>
              <w:t xml:space="preserve">16</w:t>
            </w:r>
          </w:p>
        </w:tc>
        <w:tc>
          <w:tcPr>
            <w:tcW w:type="dxa" w:w="1148"/>
          </w:tcPr>
          <w:p>
            <w:pPr>
              <w:pStyle w:val="Compact"/>
              <w:spacing w:after="0" w:before="0" w:line="240" w:lineRule="auto"/>
              <w:jc w:val="right"/>
            </w:pPr>
            <w:r>
              <w:rPr>
                <w:rFonts w:ascii="Arial" w:hAnsi="Arial"/>
                <w:sz w:val="15"/>
              </w:rPr>
              <w:t xml:space="preserve">17.8</w:t>
            </w:r>
          </w:p>
        </w:tc>
        <w:tc>
          <w:tcPr>
            <w:tcW w:type="dxa" w:w="1575"/>
          </w:tcPr>
          <w:p>
            <w:pPr>
              <w:pStyle w:val="Compact"/>
              <w:spacing w:after="0" w:before="0" w:line="240" w:lineRule="auto"/>
              <w:jc w:val="left"/>
            </w:pPr>
            <w:r>
              <w:rPr>
                <w:rFonts w:ascii="Arial" w:hAnsi="Arial"/>
                <w:sz w:val="15"/>
              </w:rPr>
              <w:t xml:space="preserve">11-Nov-2022 (max 21m / JPY50bn)</w:t>
            </w:r>
          </w:p>
        </w:tc>
        <w:tc>
          <w:tcPr>
            <w:tcW w:type="dxa" w:w="1557"/>
          </w:tcPr>
          <w:p>
            <w:pPr>
              <w:pStyle w:val="Compact"/>
              <w:spacing w:after="0" w:before="0" w:line="240" w:lineRule="auto"/>
              <w:jc w:val="left"/>
            </w:pPr>
            <w:r>
              <w:rPr>
                <w:rFonts w:ascii="Arial" w:hAnsi="Arial"/>
                <w:sz w:val="15"/>
              </w:rPr>
              <w:t xml:space="preserve">50.0; 19.7m; ~JPY2,536</w:t>
            </w:r>
          </w:p>
        </w:tc>
        <w:tc>
          <w:tcPr>
            <w:tcW w:type="dxa" w:w="1076"/>
          </w:tcPr>
          <w:p>
            <w:pPr>
              <w:pStyle w:val="Compact"/>
              <w:spacing w:after="0" w:before="0" w:line="240" w:lineRule="auto"/>
              <w:jc w:val="right"/>
            </w:pPr>
            <w:r>
              <w:rPr>
                <w:rFonts w:ascii="Arial" w:hAnsi="Arial"/>
                <w:sz w:val="15"/>
              </w:rPr>
              <w:t xml:space="preserve">12.6</w:t>
            </w:r>
          </w:p>
        </w:tc>
        <w:tc>
          <w:tcPr>
            <w:tcW w:type="dxa" w:w="1381"/>
          </w:tcPr>
          <w:p>
            <w:pPr>
              <w:pStyle w:val="Compact"/>
              <w:spacing w:after="0" w:before="0" w:line="240" w:lineRule="auto"/>
              <w:jc w:val="left"/>
            </w:pPr>
            <w:r>
              <w:rPr>
                <w:rFonts w:ascii="Arial" w:hAnsi="Arial"/>
                <w:sz w:val="15"/>
              </w:rPr>
              <w:t xml:space="preserve">19.7m (Mar-2023)</w:t>
            </w:r>
          </w:p>
        </w:tc>
        <w:tc>
          <w:tcPr>
            <w:tcW w:type="dxa" w:w="837"/>
          </w:tcPr>
          <w:p>
            <w:pPr>
              <w:pStyle w:val="Compact"/>
              <w:spacing w:after="0" w:before="0" w:line="240" w:lineRule="auto"/>
              <w:jc w:val="right"/>
            </w:pPr>
            <w:r>
              <w:rPr>
                <w:rFonts w:ascii="Arial" w:hAnsi="Arial"/>
                <w:sz w:val="15"/>
              </w:rPr>
              <w:t xml:space="preserve">47%</w:t>
            </w:r>
          </w:p>
        </w:tc>
      </w:tr>
      <w:tr>
        <w:trPr>
          <w:cantSplit/>
        </w:trPr>
        <w:tc>
          <w:tcPr>
            <w:tcW w:type="dxa" w:w="1520"/>
            <w:shd w:val="clear" w:color="auto" w:fill="F1F2F5"/>
          </w:tcPr>
          <w:p>
            <w:pPr>
              <w:pStyle w:val="Compact"/>
              <w:spacing w:after="0" w:before="0" w:line="240" w:lineRule="auto"/>
              <w:jc w:val="left"/>
            </w:pPr>
            <w:r>
              <w:rPr>
                <w:rFonts w:ascii="Arial" w:hAnsi="Arial"/>
                <w:sz w:val="15"/>
              </w:rPr>
              <w:t xml:space="preserve">FY3/24</w:t>
            </w:r>
          </w:p>
        </w:tc>
        <w:tc>
          <w:tcPr>
            <w:tcW w:type="dxa" w:w="884"/>
            <w:shd w:val="clear" w:color="auto" w:fill="F1F2F5"/>
          </w:tcPr>
          <w:p>
            <w:pPr>
              <w:pStyle w:val="Compact"/>
              <w:spacing w:after="0" w:before="0" w:line="240" w:lineRule="auto"/>
              <w:jc w:val="right"/>
            </w:pPr>
            <w:r>
              <w:rPr>
                <w:rFonts w:ascii="Arial" w:hAnsi="Arial"/>
                <w:sz w:val="15"/>
              </w:rPr>
              <w:t xml:space="preserve">18</w:t>
            </w:r>
          </w:p>
        </w:tc>
        <w:tc>
          <w:tcPr>
            <w:tcW w:type="dxa" w:w="1148"/>
            <w:shd w:val="clear" w:color="auto" w:fill="F1F2F5"/>
          </w:tcPr>
          <w:p>
            <w:pPr>
              <w:pStyle w:val="Compact"/>
              <w:spacing w:after="0" w:before="0" w:line="240" w:lineRule="auto"/>
              <w:jc w:val="right"/>
            </w:pPr>
            <w:r>
              <w:rPr>
                <w:rFonts w:ascii="Arial" w:hAnsi="Arial"/>
                <w:sz w:val="15"/>
              </w:rPr>
              <w:t xml:space="preserve">20.1</w:t>
            </w:r>
          </w:p>
        </w:tc>
        <w:tc>
          <w:tcPr>
            <w:tcW w:type="dxa" w:w="1575"/>
            <w:shd w:val="clear" w:color="auto" w:fill="F1F2F5"/>
          </w:tcPr>
          <w:p>
            <w:pPr>
              <w:pStyle w:val="Compact"/>
              <w:spacing w:after="0" w:before="0" w:line="240" w:lineRule="auto"/>
              <w:jc w:val="left"/>
            </w:pPr>
            <w:r>
              <w:rPr>
                <w:rFonts w:ascii="Arial" w:hAnsi="Arial"/>
                <w:sz w:val="15"/>
              </w:rPr>
              <w:t xml:space="preserve">12-May-2023 (JPY100bn) + 9-Nov-2023 (JPY80bn)</w:t>
            </w:r>
          </w:p>
        </w:tc>
        <w:tc>
          <w:tcPr>
            <w:tcW w:type="dxa" w:w="1557"/>
            <w:shd w:val="clear" w:color="auto" w:fill="F1F2F5"/>
          </w:tcPr>
          <w:p>
            <w:pPr>
              <w:pStyle w:val="Compact"/>
              <w:spacing w:after="0" w:before="0" w:line="240" w:lineRule="auto"/>
              <w:jc w:val="left"/>
            </w:pPr>
            <w:r>
              <w:rPr>
                <w:rFonts w:ascii="Arial" w:hAnsi="Arial"/>
                <w:sz w:val="15"/>
              </w:rPr>
              <w:t xml:space="preserve">180.0; 88.5m; ~JPY2,034</w:t>
            </w:r>
          </w:p>
        </w:tc>
        <w:tc>
          <w:tcPr>
            <w:tcW w:type="dxa" w:w="1076"/>
            <w:shd w:val="clear" w:color="auto" w:fill="F1F2F5"/>
          </w:tcPr>
          <w:p>
            <w:pPr>
              <w:pStyle w:val="Compact"/>
              <w:spacing w:after="0" w:before="0" w:line="240" w:lineRule="auto"/>
              <w:jc w:val="right"/>
            </w:pPr>
            <w:r>
              <w:rPr>
                <w:rFonts w:ascii="Arial" w:hAnsi="Arial"/>
                <w:sz w:val="15"/>
              </w:rPr>
              <w:t xml:space="preserve">49.5</w:t>
            </w:r>
          </w:p>
        </w:tc>
        <w:tc>
          <w:tcPr>
            <w:tcW w:type="dxa" w:w="1381"/>
            <w:shd w:val="clear" w:color="auto" w:fill="F1F2F5"/>
          </w:tcPr>
          <w:p>
            <w:pPr>
              <w:pStyle w:val="Compact"/>
              <w:spacing w:after="0" w:before="0" w:line="240" w:lineRule="auto"/>
              <w:jc w:val="left"/>
            </w:pPr>
            <w:r>
              <w:rPr>
                <w:rFonts w:ascii="Arial" w:hAnsi="Arial"/>
                <w:sz w:val="15"/>
              </w:rPr>
              <w:t xml:space="preserve">51.0m (Feb-2024) + 37.4m (Apr-2024)</w:t>
            </w:r>
          </w:p>
        </w:tc>
        <w:tc>
          <w:tcPr>
            <w:tcW w:type="dxa" w:w="837"/>
            <w:shd w:val="clear" w:color="auto" w:fill="F1F2F5"/>
          </w:tcPr>
          <w:p>
            <w:pPr>
              <w:pStyle w:val="Compact"/>
              <w:spacing w:after="0" w:before="0" w:line="240" w:lineRule="auto"/>
              <w:jc w:val="right"/>
            </w:pPr>
            <w:r>
              <w:rPr>
                <w:rFonts w:ascii="Arial" w:hAnsi="Arial"/>
                <w:sz w:val="15"/>
              </w:rPr>
              <w:t xml:space="preserve">82%</w:t>
            </w:r>
          </w:p>
        </w:tc>
      </w:tr>
      <w:tr>
        <w:trPr>
          <w:cantSplit/>
        </w:trPr>
        <w:tc>
          <w:tcPr>
            <w:tcW w:type="dxa" w:w="1520"/>
          </w:tcPr>
          <w:p>
            <w:pPr>
              <w:pStyle w:val="Compact"/>
              <w:spacing w:after="0" w:before="0" w:line="240" w:lineRule="auto"/>
              <w:jc w:val="left"/>
            </w:pPr>
            <w:r>
              <w:rPr>
                <w:rFonts w:ascii="Arial" w:hAnsi="Arial"/>
                <w:sz w:val="15"/>
              </w:rPr>
              <w:t xml:space="preserve">FY3/25</w:t>
            </w:r>
          </w:p>
        </w:tc>
        <w:tc>
          <w:tcPr>
            <w:tcW w:type="dxa" w:w="884"/>
          </w:tcPr>
          <w:p>
            <w:pPr>
              <w:pStyle w:val="Compact"/>
              <w:spacing w:after="0" w:before="0" w:line="240" w:lineRule="auto"/>
              <w:jc w:val="right"/>
            </w:pPr>
            <w:r>
              <w:rPr>
                <w:rFonts w:ascii="Arial" w:hAnsi="Arial"/>
                <w:sz w:val="15"/>
              </w:rPr>
              <w:t xml:space="preserve">20</w:t>
            </w:r>
          </w:p>
        </w:tc>
        <w:tc>
          <w:tcPr>
            <w:tcW w:type="dxa" w:w="1148"/>
          </w:tcPr>
          <w:p>
            <w:pPr>
              <w:pStyle w:val="Compact"/>
              <w:spacing w:after="0" w:before="0" w:line="240" w:lineRule="auto"/>
              <w:jc w:val="right"/>
            </w:pPr>
            <w:r>
              <w:rPr>
                <w:rFonts w:ascii="Arial" w:hAnsi="Arial"/>
                <w:sz w:val="15"/>
              </w:rPr>
              <w:t xml:space="preserve">21.0</w:t>
            </w:r>
          </w:p>
        </w:tc>
        <w:tc>
          <w:tcPr>
            <w:tcW w:type="dxa" w:w="1575"/>
          </w:tcPr>
          <w:p>
            <w:pPr>
              <w:pStyle w:val="Compact"/>
              <w:spacing w:after="0" w:before="0" w:line="240" w:lineRule="auto"/>
              <w:jc w:val="left"/>
            </w:pPr>
            <w:r>
              <w:rPr>
                <w:rFonts w:ascii="Arial" w:hAnsi="Arial"/>
                <w:sz w:val="15"/>
              </w:rPr>
              <w:t xml:space="preserve">10-May-2024 (max 60m / JPY100bn)</w:t>
            </w:r>
          </w:p>
        </w:tc>
        <w:tc>
          <w:tcPr>
            <w:tcW w:type="dxa" w:w="1557"/>
          </w:tcPr>
          <w:p>
            <w:pPr>
              <w:pStyle w:val="Compact"/>
              <w:spacing w:after="0" w:before="0" w:line="240" w:lineRule="auto"/>
              <w:jc w:val="left"/>
            </w:pPr>
            <w:r>
              <w:rPr>
                <w:rFonts w:ascii="Arial" w:hAnsi="Arial"/>
                <w:sz w:val="15"/>
              </w:rPr>
              <w:t xml:space="preserve">100.0; 38.6m; ~JPY2,592</w:t>
            </w:r>
          </w:p>
        </w:tc>
        <w:tc>
          <w:tcPr>
            <w:tcW w:type="dxa" w:w="1076"/>
          </w:tcPr>
          <w:p>
            <w:pPr>
              <w:pStyle w:val="Compact"/>
              <w:spacing w:after="0" w:before="0" w:line="240" w:lineRule="auto"/>
              <w:jc w:val="right"/>
            </w:pPr>
            <w:r>
              <w:rPr>
                <w:rFonts w:ascii="Arial" w:hAnsi="Arial"/>
                <w:sz w:val="15"/>
              </w:rPr>
              <w:t xml:space="preserve">11.3</w:t>
            </w:r>
          </w:p>
        </w:tc>
        <w:tc>
          <w:tcPr>
            <w:tcW w:type="dxa" w:w="1381"/>
          </w:tcPr>
          <w:p>
            <w:pPr>
              <w:pStyle w:val="Compact"/>
              <w:spacing w:after="0" w:before="0" w:line="240" w:lineRule="auto"/>
              <w:jc w:val="left"/>
            </w:pPr>
            <w:r>
              <w:rPr>
                <w:rFonts w:ascii="Arial" w:hAnsi="Arial"/>
                <w:sz w:val="15"/>
              </w:rPr>
              <w:t xml:space="preserve">38.6m (Jan-2025)</w:t>
            </w:r>
          </w:p>
        </w:tc>
        <w:tc>
          <w:tcPr>
            <w:tcW w:type="dxa" w:w="837"/>
          </w:tcPr>
          <w:p>
            <w:pPr>
              <w:pStyle w:val="Compact"/>
              <w:spacing w:after="0" w:before="0" w:line="240" w:lineRule="auto"/>
              <w:jc w:val="right"/>
            </w:pPr>
            <w:r>
              <w:rPr>
                <w:rFonts w:ascii="Arial" w:hAnsi="Arial"/>
                <w:sz w:val="15"/>
              </w:rPr>
              <w:t xml:space="preserve">103%</w:t>
            </w:r>
          </w:p>
        </w:tc>
      </w:tr>
      <w:tr>
        <w:trPr>
          <w:cantSplit/>
        </w:trPr>
        <w:tc>
          <w:tcPr>
            <w:tcW w:type="dxa" w:w="1520"/>
            <w:shd w:val="clear" w:color="auto" w:fill="F1F2F5"/>
          </w:tcPr>
          <w:p>
            <w:pPr>
              <w:pStyle w:val="Compact"/>
              <w:spacing w:after="0" w:before="0" w:line="240" w:lineRule="auto"/>
              <w:jc w:val="left"/>
            </w:pPr>
            <w:r>
              <w:rPr>
                <w:rFonts w:ascii="Arial" w:hAnsi="Arial"/>
                <w:sz w:val="15"/>
              </w:rPr>
              <w:t xml:space="preserve">FY3/26</w:t>
            </w:r>
          </w:p>
        </w:tc>
        <w:tc>
          <w:tcPr>
            <w:tcW w:type="dxa" w:w="884"/>
            <w:shd w:val="clear" w:color="auto" w:fill="F1F2F5"/>
          </w:tcPr>
          <w:p>
            <w:pPr>
              <w:pStyle w:val="Compact"/>
              <w:spacing w:after="0" w:before="0" w:line="240" w:lineRule="auto"/>
              <w:jc w:val="right"/>
            </w:pPr>
            <w:r>
              <w:rPr>
                <w:rFonts w:ascii="Arial" w:hAnsi="Arial"/>
                <w:sz w:val="15"/>
              </w:rPr>
              <w:t xml:space="preserve">30</w:t>
            </w:r>
          </w:p>
        </w:tc>
        <w:tc>
          <w:tcPr>
            <w:tcW w:type="dxa" w:w="1148"/>
            <w:shd w:val="clear" w:color="auto" w:fill="F1F2F5"/>
          </w:tcPr>
          <w:p>
            <w:pPr>
              <w:pStyle w:val="Compact"/>
              <w:spacing w:after="0" w:before="0" w:line="240" w:lineRule="auto"/>
              <w:jc w:val="right"/>
            </w:pPr>
            <w:r>
              <w:rPr>
                <w:rFonts w:ascii="Arial" w:hAnsi="Arial"/>
                <w:sz w:val="15"/>
              </w:rPr>
              <w:t xml:space="preserve">22.6</w:t>
            </w:r>
          </w:p>
        </w:tc>
        <w:tc>
          <w:tcPr>
            <w:tcW w:type="dxa" w:w="1575"/>
            <w:shd w:val="clear" w:color="auto" w:fill="F1F2F5"/>
          </w:tcPr>
          <w:p>
            <w:pPr>
              <w:pStyle w:val="Compact"/>
              <w:spacing w:after="0" w:before="0" w:line="240" w:lineRule="auto"/>
              <w:jc w:val="left"/>
            </w:pPr>
            <w:r>
              <w:rPr>
                <w:rFonts w:ascii="Arial" w:hAnsi="Arial"/>
                <w:sz w:val="15"/>
              </w:rPr>
              <w:t xml:space="preserve">13-May-2025 (max 36m / JPY50bn)</w:t>
            </w:r>
          </w:p>
        </w:tc>
        <w:tc>
          <w:tcPr>
            <w:tcW w:type="dxa" w:w="1557"/>
            <w:shd w:val="clear" w:color="auto" w:fill="F1F2F5"/>
          </w:tcPr>
          <w:p>
            <w:pPr>
              <w:pStyle w:val="Compact"/>
              <w:spacing w:after="0" w:before="0" w:line="240" w:lineRule="auto"/>
              <w:jc w:val="left"/>
            </w:pPr>
            <w:r>
              <w:rPr>
                <w:rFonts w:ascii="Arial" w:hAnsi="Arial"/>
                <w:sz w:val="15"/>
              </w:rPr>
              <w:t xml:space="preserve">50.0; 27.6m; ~JPY1,810</w:t>
            </w:r>
          </w:p>
        </w:tc>
        <w:tc>
          <w:tcPr>
            <w:tcW w:type="dxa" w:w="1076"/>
            <w:shd w:val="clear" w:color="auto" w:fill="F1F2F5"/>
          </w:tcPr>
          <w:p>
            <w:pPr>
              <w:pStyle w:val="Compact"/>
              <w:spacing w:after="0" w:before="0" w:line="240" w:lineRule="auto"/>
              <w:jc w:val="right"/>
            </w:pPr>
            <w:r>
              <w:rPr>
                <w:rFonts w:ascii="Arial" w:hAnsi="Arial"/>
                <w:sz w:val="15"/>
              </w:rPr>
              <w:t xml:space="preserve">13.4</w:t>
            </w:r>
          </w:p>
        </w:tc>
        <w:tc>
          <w:tcPr>
            <w:tcW w:type="dxa" w:w="1381"/>
            <w:shd w:val="clear" w:color="auto" w:fill="F1F2F5"/>
          </w:tcPr>
          <w:p>
            <w:pPr>
              <w:pStyle w:val="Compact"/>
              <w:spacing w:after="0" w:before="0" w:line="240" w:lineRule="auto"/>
              <w:jc w:val="left"/>
            </w:pPr>
            <w:r>
              <w:rPr>
                <w:rFonts w:ascii="Arial" w:hAnsi="Arial"/>
                <w:sz w:val="15"/>
              </w:rPr>
              <w:t xml:space="preserve">24.6m (Nov-2025)</w:t>
            </w:r>
          </w:p>
        </w:tc>
        <w:tc>
          <w:tcPr>
            <w:tcW w:type="dxa" w:w="837"/>
            <w:shd w:val="clear" w:color="auto" w:fill="F1F2F5"/>
          </w:tcPr>
          <w:p>
            <w:pPr>
              <w:pStyle w:val="Compact"/>
              <w:spacing w:after="0" w:before="0" w:line="240" w:lineRule="auto"/>
              <w:jc w:val="right"/>
            </w:pPr>
            <w:r>
              <w:rPr>
                <w:rFonts w:ascii="Arial" w:hAnsi="Arial"/>
                <w:sz w:val="15"/>
              </w:rPr>
              <w:t xml:space="preserve">106%</w:t>
            </w:r>
          </w:p>
        </w:tc>
      </w:tr>
      <w:tr>
        <w:trPr>
          <w:cantSplit/>
        </w:trPr>
        <w:tc>
          <w:tcPr>
            <w:tcW w:type="dxa" w:w="1520"/>
          </w:tcPr>
          <w:p>
            <w:pPr>
              <w:pStyle w:val="Compact"/>
              <w:spacing w:after="0" w:before="0" w:line="240" w:lineRule="auto"/>
              <w:jc w:val="left"/>
            </w:pPr>
            <w:r>
              <w:rPr>
                <w:rFonts w:ascii="Arial" w:hAnsi="Arial"/>
                <w:sz w:val="15"/>
              </w:rPr>
              <w:t xml:space="preserve">FY3/27 YTD</w:t>
            </w:r>
          </w:p>
        </w:tc>
        <w:tc>
          <w:tcPr>
            <w:tcW w:type="dxa" w:w="884"/>
          </w:tcPr>
          <w:p>
            <w:pPr>
              <w:pStyle w:val="Compact"/>
              <w:spacing w:after="0" w:before="0" w:line="240" w:lineRule="auto"/>
              <w:jc w:val="right"/>
            </w:pPr>
            <w:r>
              <w:rPr>
                <w:rFonts w:ascii="Arial" w:hAnsi="Arial"/>
                <w:sz w:val="15"/>
              </w:rPr>
              <w:t xml:space="preserve">30 (guide)</w:t>
            </w:r>
          </w:p>
        </w:tc>
        <w:tc>
          <w:tcPr>
            <w:tcW w:type="dxa" w:w="1148"/>
          </w:tcPr>
          <w:p>
            <w:pPr>
              <w:pStyle w:val="Compact"/>
              <w:spacing w:after="0" w:before="0" w:line="240" w:lineRule="auto"/>
              <w:jc w:val="right"/>
            </w:pPr>
            <w:r>
              <w:rPr>
                <w:rFonts w:ascii="Arial" w:hAnsi="Arial"/>
                <w:sz w:val="15"/>
              </w:rPr>
              <w:t xml:space="preserve">33.0</w:t>
            </w:r>
          </w:p>
        </w:tc>
        <w:tc>
          <w:tcPr>
            <w:tcW w:type="dxa" w:w="1575"/>
          </w:tcPr>
          <w:p>
            <w:pPr>
              <w:pStyle w:val="Compact"/>
              <w:spacing w:after="0" w:before="0" w:line="240" w:lineRule="auto"/>
              <w:jc w:val="left"/>
            </w:pPr>
            <w:r>
              <w:rPr>
                <w:rFonts w:ascii="Arial" w:hAnsi="Arial"/>
                <w:sz w:val="15"/>
              </w:rPr>
              <w:t xml:space="preserve">12-May-2026 (max 46m / JPY60bn)</w:t>
            </w:r>
          </w:p>
        </w:tc>
        <w:tc>
          <w:tcPr>
            <w:tcW w:type="dxa" w:w="1557"/>
          </w:tcPr>
          <w:p>
            <w:pPr>
              <w:pStyle w:val="Compact"/>
              <w:spacing w:after="0" w:before="0" w:line="240" w:lineRule="auto"/>
              <w:jc w:val="left"/>
            </w:pPr>
            <w:r>
              <w:rPr>
                <w:bCs/>
                <w:rFonts w:ascii="Arial" w:hAnsi="Arial"/>
                <w:b/>
                <w:sz w:val="15"/>
              </w:rPr>
              <w:t xml:space="preserve">60.0; 38.9m; JPY1,540.5 (ToSTNeT-3, 13-May)</w:t>
            </w:r>
          </w:p>
        </w:tc>
        <w:tc>
          <w:tcPr>
            <w:tcW w:type="dxa" w:w="1076"/>
          </w:tcPr>
          <w:p>
            <w:pPr>
              <w:pStyle w:val="Compact"/>
              <w:spacing w:after="0" w:before="0" w:line="240" w:lineRule="auto"/>
              <w:jc w:val="right"/>
            </w:pPr>
            <w:r>
              <w:rPr>
                <w:rFonts w:ascii="Arial" w:hAnsi="Arial"/>
                <w:sz w:val="15"/>
              </w:rPr>
              <w:t xml:space="preserve">~52 [e]</w:t>
            </w:r>
          </w:p>
        </w:tc>
        <w:tc>
          <w:tcPr>
            <w:tcW w:type="dxa" w:w="1381"/>
          </w:tcPr>
          <w:p>
            <w:pPr>
              <w:pStyle w:val="Compact"/>
              <w:spacing w:after="0" w:before="0" w:line="240" w:lineRule="auto"/>
              <w:jc w:val="left"/>
            </w:pPr>
            <w:r>
              <w:rPr>
                <w:rFonts w:ascii="Arial" w:hAnsi="Arial"/>
                <w:sz w:val="15"/>
              </w:rPr>
              <w:t xml:space="preserve">Planned by Apr-2027 [u]</w:t>
            </w:r>
          </w:p>
        </w:tc>
        <w:tc>
          <w:tcPr>
            <w:tcW w:type="dxa" w:w="837"/>
          </w:tcPr>
          <w:p>
            <w:pPr>
              <w:pStyle w:val="Compact"/>
              <w:spacing w:after="0" w:before="0" w:line="240" w:lineRule="auto"/>
              <w:jc w:val="right"/>
            </w:pPr>
            <w:r>
              <w:rPr>
                <w:rFonts w:ascii="Arial" w:hAnsi="Arial"/>
                <w:sz w:val="15"/>
              </w:rPr>
              <w:t xml:space="preserve">n/m</w:t>
            </w:r>
          </w:p>
        </w:tc>
      </w:tr>
      <w:tr>
        <w:trPr>
          <w:cantSplit/>
        </w:trPr>
        <w:tc>
          <w:tcPr>
            <w:tcW w:type="dxa" w:w="1520"/>
            <w:shd w:val="clear" w:color="auto" w:fill="DCE4F2"/>
          </w:tcPr>
          <w:p>
            <w:pPr>
              <w:pStyle w:val="Compact"/>
              <w:spacing w:after="0" w:before="0" w:line="240" w:lineRule="auto"/>
              <w:jc w:val="left"/>
            </w:pPr>
            <w:r>
              <w:rPr>
                <w:bCs/>
                <w:rFonts w:ascii="Arial" w:hAnsi="Arial"/>
                <w:b/>
                <w:sz w:val="15"/>
              </w:rPr>
              <w:t xml:space="preserve">Total FY3/22–FY3/27 YTD</w:t>
            </w:r>
          </w:p>
        </w:tc>
        <w:tc>
          <w:tcPr>
            <w:tcW w:type="dxa" w:w="884"/>
            <w:shd w:val="clear" w:color="auto" w:fill="DCE4F2"/>
          </w:tcPr>
          <w:p>
            <w:pPr>
              <w:pStyle w:val="Compact"/>
              <w:spacing w:after="0" w:before="0" w:line="240" w:lineRule="auto"/>
            </w:pPr>
          </w:p>
        </w:tc>
        <w:tc>
          <w:tcPr>
            <w:tcW w:type="dxa" w:w="1148"/>
            <w:shd w:val="clear" w:color="auto" w:fill="DCE4F2"/>
          </w:tcPr>
          <w:p>
            <w:pPr>
              <w:pStyle w:val="Compact"/>
              <w:spacing w:after="0" w:before="0" w:line="240" w:lineRule="auto"/>
              <w:jc w:val="right"/>
            </w:pPr>
            <w:r>
              <w:rPr>
                <w:bCs/>
                <w:rFonts w:ascii="Arial" w:hAnsi="Arial"/>
                <w:b/>
                <w:sz w:val="15"/>
              </w:rPr>
              <w:t xml:space="preserve">~130</w:t>
            </w:r>
          </w:p>
        </w:tc>
        <w:tc>
          <w:tcPr>
            <w:tcW w:type="dxa" w:w="1575"/>
            <w:shd w:val="clear" w:color="auto" w:fill="DCE4F2"/>
          </w:tcPr>
          <w:p>
            <w:pPr>
              <w:pStyle w:val="Compact"/>
              <w:spacing w:after="0" w:before="0" w:line="240" w:lineRule="auto"/>
            </w:pPr>
          </w:p>
        </w:tc>
        <w:tc>
          <w:tcPr>
            <w:tcW w:type="dxa" w:w="1557"/>
            <w:shd w:val="clear" w:color="auto" w:fill="DCE4F2"/>
          </w:tcPr>
          <w:p>
            <w:pPr>
              <w:pStyle w:val="Compact"/>
              <w:spacing w:after="0" w:before="0" w:line="240" w:lineRule="auto"/>
              <w:jc w:val="left"/>
            </w:pPr>
            <w:r>
              <w:rPr>
                <w:bCs/>
                <w:rFonts w:ascii="Arial" w:hAnsi="Arial"/>
                <w:b/>
                <w:sz w:val="15"/>
              </w:rPr>
              <w:t xml:space="preserve">~470</w:t>
            </w:r>
          </w:p>
        </w:tc>
        <w:tc>
          <w:tcPr>
            <w:tcW w:type="dxa" w:w="1076"/>
            <w:shd w:val="clear" w:color="auto" w:fill="DCE4F2"/>
          </w:tcPr>
          <w:p>
            <w:pPr>
              <w:pStyle w:val="Compact"/>
              <w:spacing w:after="0" w:before="0" w:line="240" w:lineRule="auto"/>
            </w:pPr>
          </w:p>
        </w:tc>
        <w:tc>
          <w:tcPr>
            <w:tcW w:type="dxa" w:w="1381"/>
            <w:shd w:val="clear" w:color="auto" w:fill="DCE4F2"/>
          </w:tcPr>
          <w:p>
            <w:pPr>
              <w:pStyle w:val="Compact"/>
              <w:spacing w:after="0" w:before="0" w:line="240" w:lineRule="auto"/>
            </w:pPr>
          </w:p>
        </w:tc>
        <w:tc>
          <w:tcPr>
            <w:tcW w:type="dxa" w:w="837"/>
            <w:shd w:val="clear" w:color="auto" w:fill="DCE4F2"/>
          </w:tcPr>
          <w:p>
            <w:pPr>
              <w:pStyle w:val="Compact"/>
              <w:spacing w:after="0" w:before="0" w:line="240" w:lineRule="auto"/>
            </w:pPr>
          </w:p>
        </w:tc>
      </w:tr>
    </w:tbl>
    <w:p>
      <w:pPr>
        <w:pStyle w:val="BodyText"/>
      </w:pPr>
      <w:r>
        <w:rPr>
          <w:iCs/>
          <w:i/>
        </w:rPr>
        <w:t xml:space="preserve">Sources: tanshin, TSE releases, FilingReader. Payout ratio FY3/26: 48.9% (DOE 4.3%). Dividend policy changed in May-2026 from</w:t>
      </w:r>
      <w:r>
        <w:rPr>
          <w:iCs/>
          <w:i/>
        </w:rPr>
        <w:t xml:space="preserve"> </w:t>
      </w:r>
      <w:r>
        <w:rPr>
          <w:iCs/>
          <w:i/>
        </w:rPr>
        <w:t xml:space="preserve">“</w:t>
      </w:r>
      <w:r>
        <w:rPr>
          <w:iCs/>
          <w:i/>
        </w:rPr>
        <w:t xml:space="preserve">stable and gradual increases</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maintain DPS, with flexible buybacks</w:t>
      </w:r>
      <w:r>
        <w:rPr>
          <w:iCs/>
          <w:i/>
        </w:rPr>
        <w:t xml:space="preserve">”</w:t>
      </w:r>
      <w:r>
        <w:rPr>
          <w:iCs/>
          <w:i/>
        </w:rPr>
        <w:t xml:space="preserve">.</w:t>
      </w:r>
    </w:p>
    <w:p>
      <w:pPr>
        <w:pStyle w:val="BodyText"/>
      </w:pPr>
      <w:r>
        <w:rPr>
          <w:bCs/>
          <w:b/>
        </w:rPr>
        <w:t xml:space="preserve">Assessment.</w:t>
      </w:r>
    </w:p>
    <w:p>
      <w:pPr>
        <w:numPr>
          <w:ilvl w:val="0"/>
          <w:numId w:val="1045"/>
        </w:numPr>
        <w:pStyle w:val="Compact"/>
      </w:pPr>
      <w:r>
        <w:rPr>
          <w:bCs/>
          <w:b/>
        </w:rPr>
        <w:t xml:space="preserve">Shares outstanding have fallen from 1,285.6m (Mar-21) to 1,062.8m (Oct-26), -17%.</w:t>
      </w:r>
      <w:r>
        <w:t xml:space="preserve"> </w:t>
      </w:r>
      <w:r>
        <w:t xml:space="preserve">That is a ~3.4% annual shrink rate.</w:t>
      </w:r>
    </w:p>
    <w:p>
      <w:pPr>
        <w:numPr>
          <w:ilvl w:val="0"/>
          <w:numId w:val="1045"/>
        </w:numPr>
        <w:pStyle w:val="Compact"/>
      </w:pPr>
      <w:r>
        <w:t xml:space="preserve">The weighted average buyback price since FY3/22 is ~JPY2,100 [e], so the programme is underwater at JPY1,690. The May-2026 ToSTNeT-3 block at JPY1,540 was well timed, however.</w:t>
      </w:r>
    </w:p>
    <w:p>
      <w:pPr>
        <w:numPr>
          <w:ilvl w:val="0"/>
          <w:numId w:val="1045"/>
        </w:numPr>
        <w:pStyle w:val="Compact"/>
      </w:pPr>
      <w:r>
        <w:rPr>
          <w:bCs/>
          <w:b/>
        </w:rPr>
        <w:t xml:space="preserve">Buybacks have been announced at FY results (May) in 2023–26 and at 2Q (Nov) in 2022–23.</w:t>
      </w:r>
      <w:r>
        <w:t xml:space="preserve"> </w:t>
      </w:r>
      <w:r>
        <w:t xml:space="preserve">With the JPY60bn programme fully used, a new authorisation at 2Q FY3/27 (early-to-mid Nov-2026) is a live possibility [e]. That would be the most direct way to show confidence after the Warning Letter.</w:t>
      </w:r>
    </w:p>
    <w:bookmarkEnd w:id="120"/>
    <w:bookmarkStart w:id="126" w:name="Xb066d6c9f18251ad48833c0e755d68a26d11fc7"/>
    <w:p>
      <w:pPr>
        <w:pStyle w:val="Heading1"/>
      </w:pPr>
      <w:r>
        <w:t xml:space="preserve">Adversarial analysis: bull case, bear case, pre-mortem and contrarian view</w:t>
      </w:r>
    </w:p>
    <w:bookmarkStart w:id="121" w:name="bull-case"/>
    <w:p>
      <w:pPr>
        <w:pStyle w:val="Heading2"/>
      </w:pPr>
      <w:r>
        <w:t xml:space="preserve">Bull case</w:t>
      </w:r>
    </w:p>
    <w:p>
      <w:pPr>
        <w:numPr>
          <w:ilvl w:val="0"/>
          <w:numId w:val="1046"/>
        </w:numPr>
        <w:pStyle w:val="Compact"/>
      </w:pPr>
      <w:r>
        <w:rPr>
          <w:bCs/>
          <w:b/>
        </w:rPr>
        <w:t xml:space="preserve">The Warning Letter is a lagging indicator, not a new problem.</w:t>
      </w:r>
      <w:r>
        <w:t xml:space="preserve"> </w:t>
      </w:r>
      <w:r>
        <w:t xml:space="preserve">The letter concerns the</w:t>
      </w:r>
      <w:r>
        <w:t xml:space="preserve"> </w:t>
      </w:r>
      <w:r>
        <w:rPr>
          <w:iCs/>
          <w:i/>
        </w:rPr>
        <w:t xml:space="preserve">responses</w:t>
      </w:r>
      <w:r>
        <w:t xml:space="preserve"> </w:t>
      </w:r>
      <w:r>
        <w:t xml:space="preserve">to Form 483s from inspections in late 2025, and that damage is already in the P&amp;L:</w:t>
      </w:r>
    </w:p>
    <w:p>
      <w:pPr>
        <w:numPr>
          <w:ilvl w:val="1"/>
          <w:numId w:val="1047"/>
        </w:numPr>
        <w:pStyle w:val="Compact"/>
      </w:pPr>
      <w:r>
        <w:t xml:space="preserve">~20 products were ship-held in FY3/26, most since released.</w:t>
      </w:r>
    </w:p>
    <w:p>
      <w:pPr>
        <w:numPr>
          <w:ilvl w:val="1"/>
          <w:numId w:val="1047"/>
        </w:numPr>
        <w:pStyle w:val="Compact"/>
      </w:pPr>
      <w:r>
        <w:t xml:space="preserve">~JPY30bn of FY3/26 impact.</w:t>
      </w:r>
    </w:p>
    <w:p>
      <w:pPr>
        <w:numPr>
          <w:ilvl w:val="1"/>
          <w:numId w:val="1047"/>
        </w:numPr>
        <w:pStyle w:val="Compact"/>
      </w:pPr>
      <w:r>
        <w:t xml:space="preserve">It imposes no restriction on sales or 510(k)s.</w:t>
      </w:r>
    </w:p>
    <w:p>
      <w:pPr>
        <w:numPr>
          <w:ilvl w:val="0"/>
          <w:numId w:val="1000"/>
        </w:numPr>
        <w:pStyle w:val="Compact"/>
      </w:pPr>
      <w:r>
        <w:t xml:space="preserve">Under a new ex-Medtronic CQO and an ex-BD manufacturing chief, a credible corrective-action plan and re-inspection over 12–18 months would remove the single largest discount factor.</w:t>
      </w:r>
    </w:p>
    <w:p>
      <w:pPr>
        <w:numPr>
          <w:ilvl w:val="0"/>
          <w:numId w:val="1046"/>
        </w:numPr>
        <w:pStyle w:val="Compact"/>
      </w:pPr>
      <w:r>
        <w:rPr>
          <w:bCs/>
          <w:b/>
        </w:rPr>
        <w:t xml:space="preserve">Earnings are inflecting.</w:t>
      </w:r>
      <w:r>
        <w:t xml:space="preserve"> </w:t>
      </w:r>
      <w:r>
        <w:t xml:space="preserve">1Q FY3/27 adjusted OP more than doubled and SG&amp;A fell 7pp of sales. FY3/26 absorbed ~JPY55bn of tariff and FDA costs that will not fully recur. Our FY3/29E EPS of JPY135 puts the stock on 12.5x.</w:t>
      </w:r>
    </w:p>
    <w:p>
      <w:pPr>
        <w:numPr>
          <w:ilvl w:val="0"/>
          <w:numId w:val="1046"/>
        </w:numPr>
        <w:pStyle w:val="Compact"/>
      </w:pPr>
      <w:r>
        <w:rPr>
          <w:bCs/>
          <w:b/>
        </w:rPr>
        <w:t xml:space="preserve">SIS optionality is free.</w:t>
      </w:r>
      <w:r>
        <w:t xml:space="preserve"> </w:t>
      </w:r>
      <w:r>
        <w:t xml:space="preserve">At JPY1,690, the market values the whole group at less than our GIS-only value: 12x GIS EBITDA less corporate costs and net debt is ~JPY2,020 per share [e]. A sale of SIS at 1.0–1.6x sales (JPY330–520bn) would crystallise JPY300–490 per share. PENTAX’s sale process will publish a fresh endoscopy multiple.</w:t>
      </w:r>
    </w:p>
    <w:p>
      <w:pPr>
        <w:numPr>
          <w:ilvl w:val="0"/>
          <w:numId w:val="1046"/>
        </w:numPr>
        <w:pStyle w:val="Compact"/>
      </w:pPr>
      <w:r>
        <w:rPr>
          <w:bCs/>
          <w:b/>
        </w:rPr>
        <w:t xml:space="preserve">Shareholder-aligned governance and an active buyback.</w:t>
      </w:r>
      <w:r>
        <w:t xml:space="preserve"> </w:t>
      </w:r>
      <w:r>
        <w:t xml:space="preserve">The board is 90% independent with a ValueAct director, ~JPY470bn has been bought back since 2021, and a new programme at 2Q is possible.</w:t>
      </w:r>
    </w:p>
    <w:p>
      <w:pPr>
        <w:numPr>
          <w:ilvl w:val="0"/>
          <w:numId w:val="1046"/>
        </w:numPr>
        <w:pStyle w:val="Compact"/>
      </w:pPr>
      <w:r>
        <w:rPr>
          <w:bCs/>
          <w:b/>
        </w:rPr>
        <w:t xml:space="preserve">Take-private optionality.</w:t>
      </w:r>
      <w:r>
        <w:t xml:space="preserve"> </w:t>
      </w:r>
      <w:r>
        <w:t xml:space="preserve">The Topcon (KKR/JIC) and Hologic (Blackstone/TPG) templates fit. Our 13–17x FY3/27E EBITDA range gives JPY2,450–3,270.</w:t>
      </w:r>
    </w:p>
    <w:bookmarkEnd w:id="121"/>
    <w:bookmarkStart w:id="122" w:name="X20d78e618132c0c2cef024c5a6af6db13daf8b1"/>
    <w:p>
      <w:pPr>
        <w:pStyle w:val="Heading2"/>
      </w:pPr>
      <w:r>
        <w:t xml:space="preserve">Bear case: risks that could permanently impair the business</w:t>
      </w:r>
    </w:p>
    <w:p>
      <w:pPr>
        <w:numPr>
          <w:ilvl w:val="0"/>
          <w:numId w:val="1048"/>
        </w:numPr>
        <w:pStyle w:val="Compact"/>
      </w:pPr>
      <w:r>
        <w:rPr>
          <w:bCs/>
          <w:b/>
        </w:rPr>
        <w:t xml:space="preserve">FDA escalation.</w:t>
      </w:r>
      <w:r>
        <w:t xml:space="preserve"> </w:t>
      </w:r>
      <w:r>
        <w:t xml:space="preserve">Olympus has received three warning letters in 2022–23, an import alert in 2025 and a six-site letter in 2026. The next steps up are:</w:t>
      </w:r>
    </w:p>
    <w:p>
      <w:pPr>
        <w:numPr>
          <w:ilvl w:val="1"/>
          <w:numId w:val="1049"/>
        </w:numPr>
        <w:pStyle w:val="Compact"/>
      </w:pPr>
      <w:r>
        <w:t xml:space="preserve">A</w:t>
      </w:r>
      <w:r>
        <w:t xml:space="preserve"> </w:t>
      </w:r>
      <w:r>
        <w:rPr>
          <w:bCs/>
          <w:b/>
        </w:rPr>
        <w:t xml:space="preserve">consent decree</w:t>
      </w:r>
      <w:r>
        <w:t xml:space="preserve">, which could mean production stoppages, third-party oversight and years of remediation cost. Philips Respironics is the precedent.</w:t>
      </w:r>
    </w:p>
    <w:p>
      <w:pPr>
        <w:numPr>
          <w:ilvl w:val="1"/>
          <w:numId w:val="1049"/>
        </w:numPr>
        <w:pStyle w:val="Compact"/>
      </w:pPr>
      <w:r>
        <w:rPr>
          <w:bCs/>
          <w:b/>
        </w:rPr>
        <w:t xml:space="preserve">Wider import alerts</w:t>
      </w:r>
      <w:r>
        <w:t xml:space="preserve"> </w:t>
      </w:r>
      <w:r>
        <w:t xml:space="preserve">covering Hachioji, Hinode, Aomori or Shirakawa, which make the GI scopes.</w:t>
      </w:r>
    </w:p>
    <w:p>
      <w:pPr>
        <w:numPr>
          <w:ilvl w:val="1"/>
          <w:numId w:val="1049"/>
        </w:numPr>
        <w:pStyle w:val="Compact"/>
      </w:pPr>
      <w:r>
        <w:rPr>
          <w:bCs/>
          <w:b/>
        </w:rPr>
        <w:t xml:space="preserve">Certificate-to-Foreign-Government and 510(k) holds.</w:t>
      </w:r>
    </w:p>
    <w:p>
      <w:pPr>
        <w:numPr>
          <w:ilvl w:val="0"/>
          <w:numId w:val="1000"/>
        </w:numPr>
        <w:pStyle w:val="Compact"/>
      </w:pPr>
      <w:r>
        <w:t xml:space="preserve">A GI import alert would hit the 40% of revenue sold in North America.</w:t>
      </w:r>
    </w:p>
    <w:p>
      <w:pPr>
        <w:numPr>
          <w:ilvl w:val="0"/>
          <w:numId w:val="1048"/>
        </w:numPr>
        <w:pStyle w:val="Compact"/>
      </w:pPr>
      <w:r>
        <w:rPr>
          <w:bCs/>
          <w:b/>
        </w:rPr>
        <w:t xml:space="preserve">Structural share loss in China and single-use cannibalisation.</w:t>
      </w:r>
      <w:r>
        <w:t xml:space="preserve"> </w:t>
      </w:r>
      <w:r>
        <w:t xml:space="preserve">China fell 34% in four years. Domestic substitution targets 95% local share in county hospitals by 2030 [u]. Single-use duodenoscopes and bronchoscopes (BSX, Ambu) could erode the reusable-scope and service annuity.</w:t>
      </w:r>
    </w:p>
    <w:p>
      <w:pPr>
        <w:numPr>
          <w:ilvl w:val="0"/>
          <w:numId w:val="1048"/>
        </w:numPr>
        <w:pStyle w:val="Compact"/>
      </w:pPr>
      <w:r>
        <w:rPr>
          <w:bCs/>
          <w:b/>
        </w:rPr>
        <w:t xml:space="preserve">Execution and credibility.</w:t>
      </w:r>
      <w:r>
        <w:t xml:space="preserve"> </w:t>
      </w:r>
      <w:r>
        <w:t xml:space="preserve">Guidance has been cut in four consecutive Februaries. The 20% margin target has been</w:t>
      </w:r>
      <w:r>
        <w:t xml:space="preserve"> </w:t>
      </w:r>
      <w:r>
        <w:t xml:space="preserve">“</w:t>
      </w:r>
      <w:r>
        <w:t xml:space="preserve">the destination</w:t>
      </w:r>
      <w:r>
        <w:t xml:space="preserve">”</w:t>
      </w:r>
      <w:r>
        <w:t xml:space="preserve"> </w:t>
      </w:r>
      <w:r>
        <w:t xml:space="preserve">since 2019, and the adjusted-OP definition excludes recurring</w:t>
      </w:r>
      <w:r>
        <w:t xml:space="preserve"> </w:t>
      </w:r>
      <w:r>
        <w:t xml:space="preserve">“</w:t>
      </w:r>
      <w:r>
        <w:t xml:space="preserve">one-offs</w:t>
      </w:r>
      <w:r>
        <w:t xml:space="preserve">”</w:t>
      </w:r>
      <w:r>
        <w:t xml:space="preserve"> </w:t>
      </w:r>
      <w:r>
        <w:t xml:space="preserve">(JPY167bn over five years).</w:t>
      </w:r>
    </w:p>
    <w:p>
      <w:pPr>
        <w:numPr>
          <w:ilvl w:val="0"/>
          <w:numId w:val="1048"/>
        </w:numPr>
        <w:pStyle w:val="Compact"/>
      </w:pPr>
      <w:r>
        <w:rPr>
          <w:bCs/>
          <w:b/>
        </w:rPr>
        <w:t xml:space="preserve">Capital allocation.</w:t>
      </w:r>
      <w:r>
        <w:t xml:space="preserve"> </w:t>
      </w:r>
      <w:r>
        <w:t xml:space="preserve">Buybacks at an average ~JPY2,100 are underwater. Net debt has swung to JPY200bn. M&amp;A ambitions (</w:t>
      </w:r>
      <w:r>
        <w:t xml:space="preserve">“</w:t>
      </w:r>
      <w:r>
        <w:t xml:space="preserve">M&amp;A machine</w:t>
      </w:r>
      <w:r>
        <w:t xml:space="preserve">”</w:t>
      </w:r>
      <w:r>
        <w:t xml:space="preserve">) carry the risk of another Veran.</w:t>
      </w:r>
    </w:p>
    <w:p>
      <w:pPr>
        <w:numPr>
          <w:ilvl w:val="0"/>
          <w:numId w:val="1048"/>
        </w:numPr>
        <w:pStyle w:val="Compact"/>
      </w:pPr>
      <w:r>
        <w:rPr>
          <w:bCs/>
          <w:b/>
        </w:rPr>
        <w:t xml:space="preserve">Tariffs and FX.</w:t>
      </w:r>
      <w:r>
        <w:t xml:space="preserve"> </w:t>
      </w:r>
      <w:r>
        <w:t xml:space="preserve">A Section 232 device tariff, or a sharp yen rebound if the BoJ hikes faster, would hit an export-heavy cost base made in Japan.</w:t>
      </w:r>
    </w:p>
    <w:bookmarkEnd w:id="122"/>
    <w:bookmarkStart w:id="123" w:name="X0d2e4e16c524cdf9d609414111a6e103c9e9d3f"/>
    <w:p>
      <w:pPr>
        <w:pStyle w:val="Heading2"/>
      </w:pPr>
      <w:r>
        <w:t xml:space="preserve">Pre-mortem: it is October 2027 and the stock is at JPY1,200. What happened?</w:t>
      </w:r>
    </w:p>
    <w:p>
      <w:pPr>
        <w:numPr>
          <w:ilvl w:val="0"/>
          <w:numId w:val="1050"/>
        </w:numPr>
        <w:pStyle w:val="Compact"/>
      </w:pPr>
      <w:r>
        <w:rPr>
          <w:bCs/>
          <w:b/>
        </w:rPr>
        <w:t xml:space="preserve">The FDA rejected the corrective-action plan.</w:t>
      </w:r>
      <w:r>
        <w:t xml:space="preserve"> </w:t>
      </w:r>
      <w:r>
        <w:t xml:space="preserve">A re-inspection of Aizu and Hachioji found repeat observations, and the FDA expanded Import Alert 89-04 to GI scopes. US capital sales stalled for two quarters and Olympus took a JPY40bn remediation provision.</w:t>
      </w:r>
    </w:p>
    <w:p>
      <w:pPr>
        <w:numPr>
          <w:ilvl w:val="0"/>
          <w:numId w:val="1050"/>
        </w:numPr>
        <w:pStyle w:val="Compact"/>
      </w:pPr>
      <w:r>
        <w:rPr>
          <w:bCs/>
          <w:b/>
        </w:rPr>
        <w:t xml:space="preserve">Guidance was cut again</w:t>
      </w:r>
      <w:r>
        <w:t xml:space="preserve"> </w:t>
      </w:r>
      <w:r>
        <w:t xml:space="preserve">in Feb-2027, and FY3/27 OP came in at JPY120bn.</w:t>
      </w:r>
    </w:p>
    <w:p>
      <w:pPr>
        <w:numPr>
          <w:ilvl w:val="0"/>
          <w:numId w:val="1050"/>
        </w:numPr>
        <w:pStyle w:val="Compact"/>
      </w:pPr>
      <w:r>
        <w:rPr>
          <w:bCs/>
          <w:b/>
        </w:rPr>
        <w:t xml:space="preserve">The Surgical review ended in</w:t>
      </w:r>
      <w:r>
        <w:rPr>
          <w:bCs/>
          <w:b/>
        </w:rPr>
        <w:t xml:space="preserve"> </w:t>
      </w:r>
      <w:r>
        <w:rPr>
          <w:bCs/>
          <w:b/>
        </w:rPr>
        <w:t xml:space="preserve">“</w:t>
      </w:r>
      <w:r>
        <w:rPr>
          <w:bCs/>
          <w:b/>
        </w:rPr>
        <w:t xml:space="preserve">retain and fix</w:t>
      </w:r>
      <w:r>
        <w:rPr>
          <w:bCs/>
          <w:b/>
        </w:rPr>
        <w:t xml:space="preserve">”</w:t>
      </w:r>
      <w:r>
        <w:rPr>
          <w:bCs/>
          <w:b/>
        </w:rPr>
        <w:t xml:space="preserve">.</w:t>
      </w:r>
      <w:r>
        <w:t xml:space="preserve"> </w:t>
      </w:r>
      <w:r>
        <w:t xml:space="preserve">No buyer would pay above 0.8x sales for a business under FDA scrutiny.</w:t>
      </w:r>
    </w:p>
    <w:p>
      <w:pPr>
        <w:numPr>
          <w:ilvl w:val="0"/>
          <w:numId w:val="1050"/>
        </w:numPr>
        <w:pStyle w:val="Compact"/>
      </w:pPr>
      <w:r>
        <w:rPr>
          <w:bCs/>
          <w:b/>
        </w:rPr>
        <w:t xml:space="preserve">The new CFO paused buybacks</w:t>
      </w:r>
      <w:r>
        <w:t xml:space="preserve"> </w:t>
      </w:r>
      <w:r>
        <w:t xml:space="preserve">to protect the rating after a downgrade to BBB, and the stock de-rated to 7x EBITDA.</w:t>
      </w:r>
    </w:p>
    <w:p>
      <w:pPr>
        <w:pStyle w:val="FirstParagraph"/>
      </w:pPr>
      <w:r>
        <w:rPr>
          <w:bCs/>
          <w:b/>
        </w:rPr>
        <w:t xml:space="preserve">What would have warned us:</w:t>
      </w:r>
    </w:p>
    <w:p>
      <w:pPr>
        <w:numPr>
          <w:ilvl w:val="0"/>
          <w:numId w:val="1051"/>
        </w:numPr>
        <w:pStyle w:val="Compact"/>
      </w:pPr>
      <w:r>
        <w:t xml:space="preserve">No third-party auditor named in the November response.</w:t>
      </w:r>
    </w:p>
    <w:p>
      <w:pPr>
        <w:numPr>
          <w:ilvl w:val="0"/>
          <w:numId w:val="1051"/>
        </w:numPr>
        <w:pStyle w:val="Compact"/>
      </w:pPr>
      <w:r>
        <w:t xml:space="preserve">New ship-holds announced at 2Q.</w:t>
      </w:r>
    </w:p>
    <w:p>
      <w:pPr>
        <w:numPr>
          <w:ilvl w:val="0"/>
          <w:numId w:val="1051"/>
        </w:numPr>
        <w:pStyle w:val="Compact"/>
      </w:pPr>
      <w:r>
        <w:t xml:space="preserve">Departure of the CQO or the CMSO.</w:t>
      </w:r>
    </w:p>
    <w:p>
      <w:pPr>
        <w:numPr>
          <w:ilvl w:val="0"/>
          <w:numId w:val="1051"/>
        </w:numPr>
        <w:pStyle w:val="Compact"/>
      </w:pPr>
      <w:r>
        <w:t xml:space="preserve">Silence on the FDA re-inspection date by the May-2027 results.</w:t>
      </w:r>
    </w:p>
    <w:bookmarkEnd w:id="123"/>
    <w:bookmarkStart w:id="124" w:name="are-current-multiples-too-high"/>
    <w:p>
      <w:pPr>
        <w:pStyle w:val="Heading2"/>
      </w:pPr>
      <w:r>
        <w:t xml:space="preserve">Are current multiples too high?</w:t>
      </w:r>
    </w:p>
    <w:p>
      <w:pPr>
        <w:pStyle w:val="FirstParagraph"/>
      </w:pPr>
      <w:r>
        <w:t xml:space="preserve">No. On every measure the stock is cheap against peers and its own history:</w:t>
      </w:r>
    </w:p>
    <w:p>
      <w:pPr>
        <w:numPr>
          <w:ilvl w:val="0"/>
          <w:numId w:val="1052"/>
        </w:numPr>
        <w:pStyle w:val="Compact"/>
      </w:pPr>
      <w:r>
        <w:t xml:space="preserve">9.35x LTM EBITDA (6th percentile of 10 years) and 1.91x sales.</w:t>
      </w:r>
    </w:p>
    <w:p>
      <w:pPr>
        <w:numPr>
          <w:ilvl w:val="0"/>
          <w:numId w:val="1052"/>
        </w:numPr>
        <w:pStyle w:val="Compact"/>
      </w:pPr>
      <w:r>
        <w:t xml:space="preserve">18.2x FY3/27E and 14.8x FY3/28E P/E.</w:t>
      </w:r>
    </w:p>
    <w:p>
      <w:pPr>
        <w:numPr>
          <w:ilvl w:val="0"/>
          <w:numId w:val="1052"/>
        </w:numPr>
        <w:pStyle w:val="Compact"/>
      </w:pPr>
      <w:r>
        <w:t xml:space="preserve">A 32% discount to the peer median at a peer-median margin.</w:t>
      </w:r>
    </w:p>
    <w:p>
      <w:pPr>
        <w:pStyle w:val="FirstParagraph"/>
      </w:pPr>
      <w:r>
        <w:t xml:space="preserve">The risk is not the multiple but the denominator. If FDA action took 20% off EBITDA, the stock would be on ~11.5x, roughly the Japan medtech median.</w:t>
      </w:r>
      <w:r>
        <w:t xml:space="preserve"> </w:t>
      </w:r>
      <w:r>
        <w:rPr>
          <w:bCs/>
          <w:b/>
        </w:rPr>
        <w:t xml:space="preserve">That is why the bear case is JPY1,250 rather than lower:</w:t>
      </w:r>
      <w:r>
        <w:t xml:space="preserve"> </w:t>
      </w:r>
      <w:r>
        <w:t xml:space="preserve">the franchise and the balance sheet put a floor under value.</w:t>
      </w:r>
    </w:p>
    <w:bookmarkEnd w:id="124"/>
    <w:bookmarkStart w:id="125" w:name="Xe019ba43ddf0cd98b245c609b6af6de54804614"/>
    <w:p>
      <w:pPr>
        <w:pStyle w:val="Heading2"/>
      </w:pPr>
      <w:r>
        <w:t xml:space="preserve">Contrarian view: what the market is refusing to see</w:t>
      </w:r>
    </w:p>
    <w:p>
      <w:pPr>
        <w:numPr>
          <w:ilvl w:val="0"/>
          <w:numId w:val="1053"/>
        </w:numPr>
        <w:pStyle w:val="Compact"/>
      </w:pPr>
      <w:r>
        <w:rPr>
          <w:bCs/>
          <w:b/>
        </w:rPr>
        <w:t xml:space="preserve">The market is treating the Warning Letter as the beginning of the FDA problem. We think it is closer to the end.</w:t>
      </w:r>
    </w:p>
    <w:p>
      <w:pPr>
        <w:numPr>
          <w:ilvl w:val="1"/>
          <w:numId w:val="1054"/>
        </w:numPr>
        <w:pStyle w:val="Compact"/>
      </w:pPr>
      <w:r>
        <w:t xml:space="preserve">The inspections took place in late 2025.</w:t>
      </w:r>
    </w:p>
    <w:p>
      <w:pPr>
        <w:numPr>
          <w:ilvl w:val="1"/>
          <w:numId w:val="1054"/>
        </w:numPr>
        <w:pStyle w:val="Compact"/>
      </w:pPr>
      <w:r>
        <w:t xml:space="preserve">The ship-holds have happened, and ~70% of the products had been released by Feb-2026.</w:t>
      </w:r>
    </w:p>
    <w:p>
      <w:pPr>
        <w:numPr>
          <w:ilvl w:val="1"/>
          <w:numId w:val="1054"/>
        </w:numPr>
        <w:pStyle w:val="Compact"/>
      </w:pPr>
      <w:r>
        <w:t xml:space="preserve">The costs are in the base.</w:t>
      </w:r>
    </w:p>
    <w:p>
      <w:pPr>
        <w:numPr>
          <w:ilvl w:val="1"/>
          <w:numId w:val="1054"/>
        </w:numPr>
        <w:pStyle w:val="Compact"/>
      </w:pPr>
      <w:r>
        <w:t xml:space="preserve">Management, CQO, CMSO and two board members are now drawn from Medtronic, BD and Bard quality organisations.</w:t>
      </w:r>
    </w:p>
    <w:p>
      <w:pPr>
        <w:numPr>
          <w:ilvl w:val="0"/>
          <w:numId w:val="1000"/>
        </w:numPr>
        <w:pStyle w:val="Compact"/>
      </w:pPr>
      <w:r>
        <w:t xml:space="preserve">Warning-letter close-outs typically take 1–3 years. The stock usually bottoms well before close-out, when the remediation plan becomes credible [e].</w:t>
      </w:r>
    </w:p>
    <w:p>
      <w:pPr>
        <w:numPr>
          <w:ilvl w:val="0"/>
          <w:numId w:val="1053"/>
        </w:numPr>
        <w:pStyle w:val="Compact"/>
      </w:pPr>
      <w:r>
        <w:rPr>
          <w:bCs/>
          <w:b/>
        </w:rPr>
        <w:t xml:space="preserve">SIS is valued at roughly zero.</w:t>
      </w:r>
      <w:r>
        <w:t xml:space="preserve"> </w:t>
      </w:r>
      <w:r>
        <w:t xml:space="preserve">The market is pricing a whole-company discount for a problem that is concentrated in SIS. SIS had the ship-holds, includes two of the six cited sites (Hamburg and Gyrus ACMI) and is loss-making. A separation would leave a ~25%-margin GI franchise that deserves a peer multiple of 13–15x.</w:t>
      </w:r>
    </w:p>
    <w:p>
      <w:pPr>
        <w:numPr>
          <w:ilvl w:val="0"/>
          <w:numId w:val="1053"/>
        </w:numPr>
        <w:pStyle w:val="Compact"/>
      </w:pPr>
      <w:r>
        <w:rPr>
          <w:bCs/>
          <w:b/>
        </w:rPr>
        <w:t xml:space="preserve">Consensus is too low in the out-years.</w:t>
      </w:r>
      <w:r>
        <w:t xml:space="preserve"> </w:t>
      </w:r>
      <w:r>
        <w:t xml:space="preserve">FY3/29 consensus EBIT (JPY187bn) implies no progress beyond FY3/28 on margins. That is despite ~JPY24bn of run-rate savings, ~JPY50bn a year of buybacks and the absence of FY3/26’s one-off costs.</w:t>
      </w:r>
    </w:p>
    <w:bookmarkEnd w:id="125"/>
    <w:bookmarkEnd w:id="126"/>
    <w:bookmarkStart w:id="133" w:name="scenario-analysis"/>
    <w:p>
      <w:pPr>
        <w:pStyle w:val="Heading1"/>
      </w:pPr>
      <w:r>
        <w:t xml:space="preserve">Scenario analysis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745"/>
        <w:gridCol w:w="2692"/>
        <w:gridCol w:w="2702"/>
        <w:gridCol w:w="2837"/>
      </w:tblGrid>
      <w:tr>
        <w:trPr>
          <w:tblHeader w:val="true"/>
          <w:tblHeader w:val="true"/>
          <w:cantSplit/>
        </w:trPr>
        <w:tc>
          <w:tcPr>
            <w:tcW w:type="dxa" w:w="1746"/>
            <w:shd w:val="clear" w:color="auto" w:fill="13213F"/>
          </w:tcPr>
          <w:p>
            <w:pPr>
              <w:pStyle w:val="Compact"/>
              <w:spacing w:after="0" w:before="0" w:line="240" w:lineRule="auto"/>
              <w:jc w:val="left"/>
            </w:pPr>
            <w:r>
              <w:rPr>
                <w:rFonts w:ascii="Arial" w:hAnsi="Arial"/>
                <w:b/>
                <w:color w:val="FFFFFF"/>
                <w:sz w:val="15"/>
              </w:rPr>
              <w:t xml:space="preserve">Assumption</w:t>
            </w:r>
          </w:p>
        </w:tc>
        <w:tc>
          <w:tcPr>
            <w:tcW w:type="dxa" w:w="2693"/>
            <w:shd w:val="clear" w:color="auto" w:fill="13213F"/>
          </w:tcPr>
          <w:p>
            <w:pPr>
              <w:pStyle w:val="Compact"/>
              <w:spacing w:after="0" w:before="0" w:line="240" w:lineRule="auto"/>
              <w:jc w:val="left"/>
            </w:pPr>
            <w:r>
              <w:rPr>
                <w:rFonts w:ascii="Arial" w:hAnsi="Arial"/>
                <w:b/>
                <w:color w:val="FFFFFF"/>
                <w:sz w:val="15"/>
              </w:rPr>
              <w:t xml:space="preserve">Bear (25%)</w:t>
            </w:r>
          </w:p>
        </w:tc>
        <w:tc>
          <w:tcPr>
            <w:tcW w:type="dxa" w:w="2702"/>
            <w:shd w:val="clear" w:color="auto" w:fill="13213F"/>
          </w:tcPr>
          <w:p>
            <w:pPr>
              <w:pStyle w:val="Compact"/>
              <w:spacing w:after="0" w:before="0" w:line="240" w:lineRule="auto"/>
              <w:jc w:val="left"/>
            </w:pPr>
            <w:r>
              <w:rPr>
                <w:rFonts w:ascii="Arial" w:hAnsi="Arial"/>
                <w:b/>
                <w:color w:val="FFFFFF"/>
                <w:sz w:val="15"/>
              </w:rPr>
              <w:t xml:space="preserve">Base (50%)</w:t>
            </w:r>
          </w:p>
        </w:tc>
        <w:tc>
          <w:tcPr>
            <w:tcW w:type="dxa" w:w="2837"/>
            <w:shd w:val="clear" w:color="auto" w:fill="13213F"/>
          </w:tcPr>
          <w:p>
            <w:pPr>
              <w:pStyle w:val="Compact"/>
              <w:spacing w:after="0" w:before="0" w:line="240" w:lineRule="auto"/>
              <w:jc w:val="left"/>
            </w:pPr>
            <w:r>
              <w:rPr>
                <w:rFonts w:ascii="Arial" w:hAnsi="Arial"/>
                <w:b/>
                <w:color w:val="FFFFFF"/>
                <w:sz w:val="15"/>
              </w:rPr>
              <w:t xml:space="preserve">Bull (25%)</w:t>
            </w:r>
          </w:p>
        </w:tc>
      </w:tr>
      <w:tr>
        <w:trPr>
          <w:cantSplit/>
        </w:trPr>
        <w:tc>
          <w:tcPr>
            <w:tcW w:type="dxa" w:w="1746"/>
          </w:tcPr>
          <w:p>
            <w:pPr>
              <w:pStyle w:val="Compact"/>
              <w:spacing w:after="0" w:before="0" w:line="240" w:lineRule="auto"/>
              <w:jc w:val="left"/>
            </w:pPr>
            <w:r>
              <w:rPr>
                <w:rFonts w:ascii="Arial" w:hAnsi="Arial"/>
                <w:sz w:val="15"/>
              </w:rPr>
              <w:t xml:space="preserve">FDA outcome</w:t>
            </w:r>
          </w:p>
        </w:tc>
        <w:tc>
          <w:tcPr>
            <w:tcW w:type="dxa" w:w="2693"/>
          </w:tcPr>
          <w:p>
            <w:pPr>
              <w:pStyle w:val="Compact"/>
              <w:spacing w:after="0" w:before="0" w:line="240" w:lineRule="auto"/>
              <w:jc w:val="left"/>
            </w:pPr>
            <w:r>
              <w:rPr>
                <w:rFonts w:ascii="Arial" w:hAnsi="Arial"/>
                <w:sz w:val="15"/>
              </w:rPr>
              <w:t xml:space="preserve">Escalation: wider import alert or consent-decree talk; GI ship-holds</w:t>
            </w:r>
          </w:p>
        </w:tc>
        <w:tc>
          <w:tcPr>
            <w:tcW w:type="dxa" w:w="2702"/>
          </w:tcPr>
          <w:p>
            <w:pPr>
              <w:pStyle w:val="Compact"/>
              <w:spacing w:after="0" w:before="0" w:line="240" w:lineRule="auto"/>
              <w:jc w:val="left"/>
            </w:pPr>
            <w:r>
              <w:rPr>
                <w:rFonts w:ascii="Arial" w:hAnsi="Arial"/>
                <w:sz w:val="15"/>
              </w:rPr>
              <w:t xml:space="preserve">Corrective plan accepted; re-inspection in 2027; WL closed in 12–18 months</w:t>
            </w:r>
          </w:p>
        </w:tc>
        <w:tc>
          <w:tcPr>
            <w:tcW w:type="dxa" w:w="2837"/>
          </w:tcPr>
          <w:p>
            <w:pPr>
              <w:pStyle w:val="Compact"/>
              <w:spacing w:after="0" w:before="0" w:line="240" w:lineRule="auto"/>
              <w:jc w:val="left"/>
            </w:pPr>
            <w:r>
              <w:rPr>
                <w:rFonts w:ascii="Arial" w:hAnsi="Arial"/>
                <w:sz w:val="15"/>
              </w:rPr>
              <w:t xml:space="preserve">Rapid close-out; Aizu import alert lifted</w:t>
            </w:r>
          </w:p>
        </w:tc>
      </w:tr>
      <w:tr>
        <w:trPr>
          <w:cantSplit/>
        </w:trPr>
        <w:tc>
          <w:tcPr>
            <w:tcW w:type="dxa" w:w="1746"/>
            <w:shd w:val="clear" w:color="auto" w:fill="F1F2F5"/>
          </w:tcPr>
          <w:p>
            <w:pPr>
              <w:pStyle w:val="Compact"/>
              <w:spacing w:after="0" w:before="0" w:line="240" w:lineRule="auto"/>
              <w:jc w:val="left"/>
            </w:pPr>
            <w:r>
              <w:rPr>
                <w:rFonts w:ascii="Arial" w:hAnsi="Arial"/>
                <w:sz w:val="15"/>
              </w:rPr>
              <w:t xml:space="preserve">FY3/28E revenue</w:t>
            </w:r>
          </w:p>
        </w:tc>
        <w:tc>
          <w:tcPr>
            <w:tcW w:type="dxa" w:w="2693"/>
            <w:shd w:val="clear" w:color="auto" w:fill="F1F2F5"/>
          </w:tcPr>
          <w:p>
            <w:pPr>
              <w:pStyle w:val="Compact"/>
              <w:spacing w:after="0" w:before="0" w:line="240" w:lineRule="auto"/>
              <w:jc w:val="left"/>
            </w:pPr>
            <w:r>
              <w:rPr>
                <w:rFonts w:ascii="Arial" w:hAnsi="Arial"/>
                <w:sz w:val="15"/>
              </w:rPr>
              <w:t xml:space="preserve">~JPY1,040bn</w:t>
            </w:r>
          </w:p>
        </w:tc>
        <w:tc>
          <w:tcPr>
            <w:tcW w:type="dxa" w:w="2702"/>
            <w:shd w:val="clear" w:color="auto" w:fill="F1F2F5"/>
          </w:tcPr>
          <w:p>
            <w:pPr>
              <w:pStyle w:val="Compact"/>
              <w:spacing w:after="0" w:before="0" w:line="240" w:lineRule="auto"/>
              <w:jc w:val="left"/>
            </w:pPr>
            <w:r>
              <w:rPr>
                <w:rFonts w:ascii="Arial" w:hAnsi="Arial"/>
                <w:sz w:val="15"/>
              </w:rPr>
              <w:t xml:space="preserve">JPY1,119bn</w:t>
            </w:r>
          </w:p>
        </w:tc>
        <w:tc>
          <w:tcPr>
            <w:tcW w:type="dxa" w:w="2837"/>
            <w:shd w:val="clear" w:color="auto" w:fill="F1F2F5"/>
          </w:tcPr>
          <w:p>
            <w:pPr>
              <w:pStyle w:val="Compact"/>
              <w:spacing w:after="0" w:before="0" w:line="240" w:lineRule="auto"/>
              <w:jc w:val="left"/>
            </w:pPr>
            <w:r>
              <w:rPr>
                <w:rFonts w:ascii="Arial" w:hAnsi="Arial"/>
                <w:sz w:val="15"/>
              </w:rPr>
              <w:t xml:space="preserve">~JPY1,150bn</w:t>
            </w:r>
          </w:p>
        </w:tc>
      </w:tr>
      <w:tr>
        <w:trPr>
          <w:cantSplit/>
        </w:trPr>
        <w:tc>
          <w:tcPr>
            <w:tcW w:type="dxa" w:w="1746"/>
          </w:tcPr>
          <w:p>
            <w:pPr>
              <w:pStyle w:val="Compact"/>
              <w:spacing w:after="0" w:before="0" w:line="240" w:lineRule="auto"/>
              <w:jc w:val="left"/>
            </w:pPr>
            <w:r>
              <w:rPr>
                <w:rFonts w:ascii="Arial" w:hAnsi="Arial"/>
                <w:sz w:val="15"/>
              </w:rPr>
              <w:t xml:space="preserve">FY3/28E adjusted OP margin</w:t>
            </w:r>
          </w:p>
        </w:tc>
        <w:tc>
          <w:tcPr>
            <w:tcW w:type="dxa" w:w="2693"/>
          </w:tcPr>
          <w:p>
            <w:pPr>
              <w:pStyle w:val="Compact"/>
              <w:spacing w:after="0" w:before="0" w:line="240" w:lineRule="auto"/>
              <w:jc w:val="left"/>
            </w:pPr>
            <w:r>
              <w:rPr>
                <w:rFonts w:ascii="Arial" w:hAnsi="Arial"/>
                <w:sz w:val="15"/>
              </w:rPr>
              <w:t xml:space="preserve">~13%</w:t>
            </w:r>
          </w:p>
        </w:tc>
        <w:tc>
          <w:tcPr>
            <w:tcW w:type="dxa" w:w="2702"/>
          </w:tcPr>
          <w:p>
            <w:pPr>
              <w:pStyle w:val="Compact"/>
              <w:spacing w:after="0" w:before="0" w:line="240" w:lineRule="auto"/>
              <w:jc w:val="left"/>
            </w:pPr>
            <w:r>
              <w:rPr>
                <w:rFonts w:ascii="Arial" w:hAnsi="Arial"/>
                <w:sz w:val="15"/>
              </w:rPr>
              <w:t xml:space="preserve">16.8%</w:t>
            </w:r>
          </w:p>
        </w:tc>
        <w:tc>
          <w:tcPr>
            <w:tcW w:type="dxa" w:w="2837"/>
          </w:tcPr>
          <w:p>
            <w:pPr>
              <w:pStyle w:val="Compact"/>
              <w:spacing w:after="0" w:before="0" w:line="240" w:lineRule="auto"/>
              <w:jc w:val="left"/>
            </w:pPr>
            <w:r>
              <w:rPr>
                <w:rFonts w:ascii="Arial" w:hAnsi="Arial"/>
                <w:sz w:val="15"/>
              </w:rPr>
              <w:t xml:space="preserve">~18.5%</w:t>
            </w:r>
          </w:p>
        </w:tc>
      </w:tr>
      <w:tr>
        <w:trPr>
          <w:cantSplit/>
        </w:trPr>
        <w:tc>
          <w:tcPr>
            <w:tcW w:type="dxa" w:w="1746"/>
            <w:shd w:val="clear" w:color="auto" w:fill="F1F2F5"/>
          </w:tcPr>
          <w:p>
            <w:pPr>
              <w:pStyle w:val="Compact"/>
              <w:spacing w:after="0" w:before="0" w:line="240" w:lineRule="auto"/>
              <w:jc w:val="left"/>
            </w:pPr>
            <w:r>
              <w:rPr>
                <w:rFonts w:ascii="Arial" w:hAnsi="Arial"/>
                <w:sz w:val="15"/>
              </w:rPr>
              <w:t xml:space="preserve">FY3/28E EPS</w:t>
            </w:r>
          </w:p>
        </w:tc>
        <w:tc>
          <w:tcPr>
            <w:tcW w:type="dxa" w:w="2693"/>
            <w:shd w:val="clear" w:color="auto" w:fill="F1F2F5"/>
          </w:tcPr>
          <w:p>
            <w:pPr>
              <w:pStyle w:val="Compact"/>
              <w:spacing w:after="0" w:before="0" w:line="240" w:lineRule="auto"/>
              <w:jc w:val="left"/>
            </w:pPr>
            <w:r>
              <w:rPr>
                <w:rFonts w:ascii="Arial" w:hAnsi="Arial"/>
                <w:sz w:val="15"/>
              </w:rPr>
              <w:t xml:space="preserve">~JPY80</w:t>
            </w:r>
          </w:p>
        </w:tc>
        <w:tc>
          <w:tcPr>
            <w:tcW w:type="dxa" w:w="2702"/>
            <w:shd w:val="clear" w:color="auto" w:fill="F1F2F5"/>
          </w:tcPr>
          <w:p>
            <w:pPr>
              <w:pStyle w:val="Compact"/>
              <w:spacing w:after="0" w:before="0" w:line="240" w:lineRule="auto"/>
              <w:jc w:val="left"/>
            </w:pPr>
            <w:r>
              <w:rPr>
                <w:rFonts w:ascii="Arial" w:hAnsi="Arial"/>
                <w:sz w:val="15"/>
              </w:rPr>
              <w:t xml:space="preserve">JPY114</w:t>
            </w:r>
          </w:p>
        </w:tc>
        <w:tc>
          <w:tcPr>
            <w:tcW w:type="dxa" w:w="2837"/>
            <w:shd w:val="clear" w:color="auto" w:fill="F1F2F5"/>
          </w:tcPr>
          <w:p>
            <w:pPr>
              <w:pStyle w:val="Compact"/>
              <w:spacing w:after="0" w:before="0" w:line="240" w:lineRule="auto"/>
              <w:jc w:val="left"/>
            </w:pPr>
            <w:r>
              <w:rPr>
                <w:rFonts w:ascii="Arial" w:hAnsi="Arial"/>
                <w:sz w:val="15"/>
              </w:rPr>
              <w:t xml:space="preserve">~JPY130</w:t>
            </w:r>
          </w:p>
        </w:tc>
      </w:tr>
      <w:tr>
        <w:trPr>
          <w:cantSplit/>
        </w:trPr>
        <w:tc>
          <w:tcPr>
            <w:tcW w:type="dxa" w:w="1746"/>
          </w:tcPr>
          <w:p>
            <w:pPr>
              <w:pStyle w:val="Compact"/>
              <w:spacing w:after="0" w:before="0" w:line="240" w:lineRule="auto"/>
              <w:jc w:val="left"/>
            </w:pPr>
            <w:r>
              <w:rPr>
                <w:rFonts w:ascii="Arial" w:hAnsi="Arial"/>
                <w:sz w:val="15"/>
              </w:rPr>
              <w:t xml:space="preserve">SIS outcome</w:t>
            </w:r>
          </w:p>
        </w:tc>
        <w:tc>
          <w:tcPr>
            <w:tcW w:type="dxa" w:w="2693"/>
          </w:tcPr>
          <w:p>
            <w:pPr>
              <w:pStyle w:val="Compact"/>
              <w:spacing w:after="0" w:before="0" w:line="240" w:lineRule="auto"/>
              <w:jc w:val="left"/>
            </w:pPr>
            <w:r>
              <w:rPr>
                <w:rFonts w:ascii="Arial" w:hAnsi="Arial"/>
                <w:sz w:val="15"/>
              </w:rPr>
              <w:t xml:space="preserve">Retained; loss-making</w:t>
            </w:r>
          </w:p>
        </w:tc>
        <w:tc>
          <w:tcPr>
            <w:tcW w:type="dxa" w:w="2702"/>
          </w:tcPr>
          <w:p>
            <w:pPr>
              <w:pStyle w:val="Compact"/>
              <w:spacing w:after="0" w:before="0" w:line="240" w:lineRule="auto"/>
              <w:jc w:val="left"/>
            </w:pPr>
            <w:r>
              <w:rPr>
                <w:rFonts w:ascii="Arial" w:hAnsi="Arial"/>
                <w:sz w:val="15"/>
              </w:rPr>
              <w:t xml:space="preserve">Sale or JV at ~1.2x sales</w:t>
            </w:r>
          </w:p>
        </w:tc>
        <w:tc>
          <w:tcPr>
            <w:tcW w:type="dxa" w:w="2837"/>
          </w:tcPr>
          <w:p>
            <w:pPr>
              <w:pStyle w:val="Compact"/>
              <w:spacing w:after="0" w:before="0" w:line="240" w:lineRule="auto"/>
              <w:jc w:val="left"/>
            </w:pPr>
            <w:r>
              <w:rPr>
                <w:rFonts w:ascii="Arial" w:hAnsi="Arial"/>
                <w:sz w:val="15"/>
              </w:rPr>
              <w:t xml:space="preserve">Sale at 1.6x sales plus buyback</w:t>
            </w:r>
          </w:p>
        </w:tc>
      </w:tr>
      <w:tr>
        <w:trPr>
          <w:cantSplit/>
        </w:trPr>
        <w:tc>
          <w:tcPr>
            <w:tcW w:type="dxa" w:w="1746"/>
            <w:shd w:val="clear" w:color="auto" w:fill="F1F2F5"/>
          </w:tcPr>
          <w:p>
            <w:pPr>
              <w:pStyle w:val="Compact"/>
              <w:spacing w:after="0" w:before="0" w:line="240" w:lineRule="auto"/>
              <w:jc w:val="left"/>
            </w:pPr>
            <w:r>
              <w:rPr>
                <w:rFonts w:ascii="Arial" w:hAnsi="Arial"/>
                <w:sz w:val="15"/>
              </w:rPr>
              <w:t xml:space="preserve">Valuation method</w:t>
            </w:r>
          </w:p>
        </w:tc>
        <w:tc>
          <w:tcPr>
            <w:tcW w:type="dxa" w:w="2693"/>
            <w:shd w:val="clear" w:color="auto" w:fill="F1F2F5"/>
          </w:tcPr>
          <w:p>
            <w:pPr>
              <w:pStyle w:val="Compact"/>
              <w:spacing w:after="0" w:before="0" w:line="240" w:lineRule="auto"/>
              <w:jc w:val="left"/>
            </w:pPr>
            <w:r>
              <w:rPr>
                <w:rFonts w:ascii="Arial" w:hAnsi="Arial"/>
                <w:sz w:val="15"/>
              </w:rPr>
              <w:t xml:space="preserve">15.5x P/E on FY3/28E (≈ 8x EV/EBITDA)</w:t>
            </w:r>
          </w:p>
        </w:tc>
        <w:tc>
          <w:tcPr>
            <w:tcW w:type="dxa" w:w="2702"/>
            <w:shd w:val="clear" w:color="auto" w:fill="F1F2F5"/>
          </w:tcPr>
          <w:p>
            <w:pPr>
              <w:pStyle w:val="Compact"/>
              <w:spacing w:after="0" w:before="0" w:line="240" w:lineRule="auto"/>
              <w:jc w:val="left"/>
            </w:pPr>
            <w:r>
              <w:rPr>
                <w:rFonts w:ascii="Arial" w:hAnsi="Arial"/>
                <w:sz w:val="15"/>
              </w:rPr>
              <w:t xml:space="preserve">SOTP: GIS 12x EBITDA, SIS 1.2x sales</w:t>
            </w:r>
          </w:p>
        </w:tc>
        <w:tc>
          <w:tcPr>
            <w:tcW w:type="dxa" w:w="2837"/>
            <w:shd w:val="clear" w:color="auto" w:fill="F1F2F5"/>
          </w:tcPr>
          <w:p>
            <w:pPr>
              <w:pStyle w:val="Compact"/>
              <w:spacing w:after="0" w:before="0" w:line="240" w:lineRule="auto"/>
              <w:jc w:val="left"/>
            </w:pPr>
            <w:r>
              <w:rPr>
                <w:rFonts w:ascii="Arial" w:hAnsi="Arial"/>
                <w:sz w:val="15"/>
              </w:rPr>
              <w:t xml:space="preserve">Take-private or re-rating at ~15.7x FY3/27E EBITDA (≈ Hologic–Topcon range)</w:t>
            </w:r>
          </w:p>
        </w:tc>
      </w:tr>
      <w:tr>
        <w:trPr>
          <w:cantSplit/>
        </w:trPr>
        <w:tc>
          <w:tcPr>
            <w:tcW w:type="dxa" w:w="1746"/>
          </w:tcPr>
          <w:p>
            <w:pPr>
              <w:pStyle w:val="Compact"/>
              <w:spacing w:after="0" w:before="0" w:line="240" w:lineRule="auto"/>
              <w:jc w:val="left"/>
            </w:pPr>
            <w:r>
              <w:rPr>
                <w:bCs/>
                <w:rFonts w:ascii="Arial" w:hAnsi="Arial"/>
                <w:b/>
                <w:sz w:val="15"/>
              </w:rPr>
              <w:t xml:space="preserve">Value per share</w:t>
            </w:r>
          </w:p>
        </w:tc>
        <w:tc>
          <w:tcPr>
            <w:tcW w:type="dxa" w:w="2693"/>
          </w:tcPr>
          <w:p>
            <w:pPr>
              <w:pStyle w:val="Compact"/>
              <w:spacing w:after="0" w:before="0" w:line="240" w:lineRule="auto"/>
              <w:jc w:val="left"/>
            </w:pPr>
            <w:r>
              <w:rPr>
                <w:bCs/>
                <w:rFonts w:ascii="Arial" w:hAnsi="Arial"/>
                <w:b/>
                <w:sz w:val="15"/>
              </w:rPr>
              <w:t xml:space="preserve">JPY1,250 (-26%)</w:t>
            </w:r>
          </w:p>
        </w:tc>
        <w:tc>
          <w:tcPr>
            <w:tcW w:type="dxa" w:w="2702"/>
          </w:tcPr>
          <w:p>
            <w:pPr>
              <w:pStyle w:val="Compact"/>
              <w:spacing w:after="0" w:before="0" w:line="240" w:lineRule="auto"/>
              <w:jc w:val="left"/>
            </w:pPr>
            <w:r>
              <w:rPr>
                <w:bCs/>
                <w:rFonts w:ascii="Arial" w:hAnsi="Arial"/>
                <w:b/>
                <w:sz w:val="15"/>
              </w:rPr>
              <w:t xml:space="preserve">JPY2,390 (+41%)</w:t>
            </w:r>
          </w:p>
        </w:tc>
        <w:tc>
          <w:tcPr>
            <w:tcW w:type="dxa" w:w="2837"/>
          </w:tcPr>
          <w:p>
            <w:pPr>
              <w:pStyle w:val="Compact"/>
              <w:spacing w:after="0" w:before="0" w:line="240" w:lineRule="auto"/>
              <w:jc w:val="left"/>
            </w:pPr>
            <w:r>
              <w:rPr>
                <w:bCs/>
                <w:rFonts w:ascii="Arial" w:hAnsi="Arial"/>
                <w:b/>
                <w:sz w:val="15"/>
              </w:rPr>
              <w:t xml:space="preserve">JPY3,000 (+78%)</w:t>
            </w:r>
          </w:p>
        </w:tc>
      </w:tr>
      <w:tr>
        <w:trPr>
          <w:cantSplit/>
        </w:trPr>
        <w:tc>
          <w:tcPr>
            <w:tcW w:type="dxa" w:w="1746"/>
            <w:shd w:val="clear" w:color="auto" w:fill="DCE4F2"/>
          </w:tcPr>
          <w:p>
            <w:pPr>
              <w:pStyle w:val="Compact"/>
              <w:spacing w:after="0" w:before="0" w:line="240" w:lineRule="auto"/>
              <w:jc w:val="left"/>
            </w:pPr>
            <w:r>
              <w:rPr>
                <w:rFonts w:ascii="Arial" w:hAnsi="Arial"/>
                <w:b/>
                <w:sz w:val="15"/>
              </w:rPr>
              <w:t xml:space="preserve">Implied TEV / FY3/27E EBITDA</w:t>
            </w:r>
          </w:p>
        </w:tc>
        <w:tc>
          <w:tcPr>
            <w:tcW w:type="dxa" w:w="2693"/>
            <w:shd w:val="clear" w:color="auto" w:fill="DCE4F2"/>
          </w:tcPr>
          <w:p>
            <w:pPr>
              <w:pStyle w:val="Compact"/>
              <w:spacing w:after="0" w:before="0" w:line="240" w:lineRule="auto"/>
              <w:jc w:val="left"/>
            </w:pPr>
            <w:r>
              <w:rPr>
                <w:rFonts w:ascii="Arial" w:hAnsi="Arial"/>
                <w:b/>
                <w:sz w:val="15"/>
              </w:rPr>
              <w:t xml:space="preserve">~7.0x</w:t>
            </w:r>
          </w:p>
        </w:tc>
        <w:tc>
          <w:tcPr>
            <w:tcW w:type="dxa" w:w="2702"/>
            <w:shd w:val="clear" w:color="auto" w:fill="DCE4F2"/>
          </w:tcPr>
          <w:p>
            <w:pPr>
              <w:pStyle w:val="Compact"/>
              <w:spacing w:after="0" w:before="0" w:line="240" w:lineRule="auto"/>
              <w:jc w:val="left"/>
            </w:pPr>
            <w:r>
              <w:rPr>
                <w:rFonts w:ascii="Arial" w:hAnsi="Arial"/>
                <w:b/>
                <w:sz w:val="15"/>
              </w:rPr>
              <w:t xml:space="preserve">~12.7x</w:t>
            </w:r>
          </w:p>
        </w:tc>
        <w:tc>
          <w:tcPr>
            <w:tcW w:type="dxa" w:w="2837"/>
            <w:shd w:val="clear" w:color="auto" w:fill="DCE4F2"/>
          </w:tcPr>
          <w:p>
            <w:pPr>
              <w:pStyle w:val="Compact"/>
              <w:spacing w:after="0" w:before="0" w:line="240" w:lineRule="auto"/>
              <w:jc w:val="left"/>
            </w:pPr>
            <w:r>
              <w:rPr>
                <w:rFonts w:ascii="Arial" w:hAnsi="Arial"/>
                <w:b/>
                <w:sz w:val="15"/>
              </w:rPr>
              <w:t xml:space="preserve">~15.7x</w:t>
            </w:r>
          </w:p>
        </w:tc>
      </w:tr>
    </w:tbl>
    <w:p>
      <w:pPr>
        <w:pStyle w:val="BodyText"/>
      </w:pPr>
      <w:r>
        <w:rPr>
          <w:bCs/>
          <w:b/>
        </w:rPr>
        <w:t xml:space="preserve">Probability-weighted value JPY2,258 (+34%). Including the 1.8% dividend yield, the expected 12-month total return is ~36%.</w:t>
      </w:r>
      <w:r>
        <w:t xml:space="preserve"> </w:t>
      </w:r>
      <w:r>
        <w:t xml:space="preserve">The bull case needs an event (SIS sale, bid or FDA close-out). The base case needs only that the FDA does not escalate and the 3-4-5 plan stays on track.</w:t>
      </w:r>
    </w:p>
    <w:p>
      <w:pPr>
        <w:pStyle w:val="CaptionedFigure"/>
      </w:pPr>
      <w:r>
        <w:drawing>
          <wp:inline>
            <wp:extent cx="6261100" cy="2114181"/>
            <wp:effectExtent b="0" l="0" r="0" t="0"/>
            <wp:docPr descr="Scenario values" title="" id="128" name="Picture"/>
            <a:graphic>
              <a:graphicData uri="http://schemas.openxmlformats.org/drawingml/2006/picture">
                <pic:pic>
                  <pic:nvPicPr>
                    <pic:cNvPr descr="../charts/scenarios.png" id="129" name="Picture"/>
                    <pic:cNvPicPr>
                      <a:picLocks noChangeArrowheads="1" noChangeAspect="1"/>
                    </pic:cNvPicPr>
                  </pic:nvPicPr>
                  <pic:blipFill>
                    <a:blip r:embed="rId127"/>
                    <a:stretch>
                      <a:fillRect/>
                    </a:stretch>
                  </pic:blipFill>
                  <pic:spPr bwMode="auto">
                    <a:xfrm>
                      <a:off x="0" y="0"/>
                      <a:ext cx="6261100" cy="2114181"/>
                    </a:xfrm>
                    <a:prstGeom prst="rect">
                      <a:avLst/>
                    </a:prstGeom>
                    <a:noFill/>
                    <a:ln w="9525">
                      <a:noFill/>
                      <a:headEnd/>
                      <a:tailEnd/>
                    </a:ln>
                  </pic:spPr>
                </pic:pic>
              </a:graphicData>
            </a:graphic>
          </wp:inline>
        </w:drawing>
      </w:r>
    </w:p>
    <w:p>
      <w:pPr>
        <w:pStyle w:val="ImageCaption"/>
      </w:pPr>
      <w:r>
        <w:t xml:space="preserve">Scenario values</w:t>
      </w:r>
    </w:p>
    <w:p>
      <w:pPr>
        <w:pStyle w:val="CaptionedFigure"/>
      </w:pPr>
      <w:r>
        <w:drawing>
          <wp:inline>
            <wp:extent cx="6261100" cy="2777689"/>
            <wp:effectExtent b="0" l="0" r="0" t="0"/>
            <wp:docPr descr="Base-case sum-of-the-parts" title="" id="131" name="Picture"/>
            <a:graphic>
              <a:graphicData uri="http://schemas.openxmlformats.org/drawingml/2006/picture">
                <pic:pic>
                  <pic:nvPicPr>
                    <pic:cNvPr descr="../charts/sotp.png" id="132" name="Picture"/>
                    <pic:cNvPicPr>
                      <a:picLocks noChangeArrowheads="1" noChangeAspect="1"/>
                    </pic:cNvPicPr>
                  </pic:nvPicPr>
                  <pic:blipFill>
                    <a:blip r:embed="rId130"/>
                    <a:stretch>
                      <a:fillRect/>
                    </a:stretch>
                  </pic:blipFill>
                  <pic:spPr bwMode="auto">
                    <a:xfrm>
                      <a:off x="0" y="0"/>
                      <a:ext cx="6261100" cy="2777689"/>
                    </a:xfrm>
                    <a:prstGeom prst="rect">
                      <a:avLst/>
                    </a:prstGeom>
                    <a:noFill/>
                    <a:ln w="9525">
                      <a:noFill/>
                      <a:headEnd/>
                      <a:tailEnd/>
                    </a:ln>
                  </pic:spPr>
                </pic:pic>
              </a:graphicData>
            </a:graphic>
          </wp:inline>
        </w:drawing>
      </w:r>
    </w:p>
    <w:p>
      <w:pPr>
        <w:pStyle w:val="ImageCaption"/>
      </w:pPr>
      <w:r>
        <w:t xml:space="preserve">Base-case sum-of-the-parts</w:t>
      </w:r>
    </w:p>
    <w:p>
      <w:pPr>
        <w:pStyle w:val="BodyText"/>
      </w:pPr>
      <w:r>
        <w:rPr>
          <w:bCs/>
          <w:b/>
        </w:rPr>
        <w:t xml:space="preserve">SOTP sensitivity (JPY per share).</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3653"/>
        <w:gridCol w:w="1046"/>
        <w:gridCol w:w="1055"/>
        <w:gridCol w:w="1055"/>
        <w:gridCol w:w="1055"/>
        <w:gridCol w:w="1055"/>
        <w:gridCol w:w="1055"/>
      </w:tblGrid>
      <w:tr>
        <w:trPr>
          <w:tblHeader w:val="true"/>
          <w:tblHeader w:val="true"/>
          <w:cantSplit/>
        </w:trPr>
        <w:tc>
          <w:tcPr>
            <w:tcW w:type="dxa" w:w="3653"/>
            <w:shd w:val="clear" w:color="auto" w:fill="13213F"/>
          </w:tcPr>
          <w:p>
            <w:pPr>
              <w:pStyle w:val="Compact"/>
              <w:spacing w:after="0" w:before="0" w:line="240" w:lineRule="auto"/>
              <w:jc w:val="left"/>
            </w:pPr>
            <w:r>
              <w:rPr>
                <w:rFonts w:ascii="Arial" w:hAnsi="Arial"/>
                <w:b/>
                <w:color w:val="FFFFFF"/>
                <w:sz w:val="15"/>
              </w:rPr>
              <w:t xml:space="preserve">SIS EV/sales (rows) vs GIS EV/FY3/27E EBITDA (columns)</w:t>
            </w:r>
          </w:p>
        </w:tc>
        <w:tc>
          <w:tcPr>
            <w:tcW w:type="dxa" w:w="1047"/>
            <w:shd w:val="clear" w:color="auto" w:fill="13213F"/>
          </w:tcPr>
          <w:p>
            <w:pPr>
              <w:pStyle w:val="Compact"/>
              <w:spacing w:after="0" w:before="0" w:line="240" w:lineRule="auto"/>
              <w:jc w:val="right"/>
            </w:pPr>
            <w:r>
              <w:rPr>
                <w:rFonts w:ascii="Arial" w:hAnsi="Arial"/>
                <w:b/>
                <w:color w:val="FFFFFF"/>
                <w:sz w:val="15"/>
              </w:rPr>
              <w:t xml:space="preserve">9x</w:t>
            </w:r>
          </w:p>
        </w:tc>
        <w:tc>
          <w:tcPr>
            <w:tcW w:type="dxa" w:w="1056"/>
            <w:shd w:val="clear" w:color="auto" w:fill="13213F"/>
          </w:tcPr>
          <w:p>
            <w:pPr>
              <w:pStyle w:val="Compact"/>
              <w:spacing w:after="0" w:before="0" w:line="240" w:lineRule="auto"/>
              <w:jc w:val="right"/>
            </w:pPr>
            <w:r>
              <w:rPr>
                <w:rFonts w:ascii="Arial" w:hAnsi="Arial"/>
                <w:b/>
                <w:color w:val="FFFFFF"/>
                <w:sz w:val="15"/>
              </w:rPr>
              <w:t xml:space="preserve">10x</w:t>
            </w:r>
          </w:p>
        </w:tc>
        <w:tc>
          <w:tcPr>
            <w:tcW w:type="dxa" w:w="1056"/>
            <w:shd w:val="clear" w:color="auto" w:fill="13213F"/>
          </w:tcPr>
          <w:p>
            <w:pPr>
              <w:pStyle w:val="Compact"/>
              <w:spacing w:after="0" w:before="0" w:line="240" w:lineRule="auto"/>
              <w:jc w:val="right"/>
            </w:pPr>
            <w:r>
              <w:rPr>
                <w:rFonts w:ascii="Arial" w:hAnsi="Arial"/>
                <w:b/>
                <w:color w:val="FFFFFF"/>
                <w:sz w:val="15"/>
              </w:rPr>
              <w:t xml:space="preserve">11x</w:t>
            </w:r>
          </w:p>
        </w:tc>
        <w:tc>
          <w:tcPr>
            <w:tcW w:type="dxa" w:w="1056"/>
            <w:shd w:val="clear" w:color="auto" w:fill="13213F"/>
          </w:tcPr>
          <w:p>
            <w:pPr>
              <w:pStyle w:val="Compact"/>
              <w:spacing w:after="0" w:before="0" w:line="240" w:lineRule="auto"/>
              <w:jc w:val="right"/>
            </w:pPr>
            <w:r>
              <w:rPr>
                <w:rFonts w:ascii="Arial" w:hAnsi="Arial"/>
                <w:b/>
                <w:color w:val="FFFFFF"/>
                <w:sz w:val="15"/>
              </w:rPr>
              <w:t xml:space="preserve">12x</w:t>
            </w:r>
          </w:p>
        </w:tc>
        <w:tc>
          <w:tcPr>
            <w:tcW w:type="dxa" w:w="1056"/>
            <w:shd w:val="clear" w:color="auto" w:fill="13213F"/>
          </w:tcPr>
          <w:p>
            <w:pPr>
              <w:pStyle w:val="Compact"/>
              <w:spacing w:after="0" w:before="0" w:line="240" w:lineRule="auto"/>
              <w:jc w:val="right"/>
            </w:pPr>
            <w:r>
              <w:rPr>
                <w:rFonts w:ascii="Arial" w:hAnsi="Arial"/>
                <w:b/>
                <w:color w:val="FFFFFF"/>
                <w:sz w:val="15"/>
              </w:rPr>
              <w:t xml:space="preserve">13x</w:t>
            </w:r>
          </w:p>
        </w:tc>
        <w:tc>
          <w:tcPr>
            <w:tcW w:type="dxa" w:w="1056"/>
            <w:shd w:val="clear" w:color="auto" w:fill="13213F"/>
          </w:tcPr>
          <w:p>
            <w:pPr>
              <w:pStyle w:val="Compact"/>
              <w:spacing w:after="0" w:before="0" w:line="240" w:lineRule="auto"/>
              <w:jc w:val="right"/>
            </w:pPr>
            <w:r>
              <w:rPr>
                <w:rFonts w:ascii="Arial" w:hAnsi="Arial"/>
                <w:b/>
                <w:color w:val="FFFFFF"/>
                <w:sz w:val="15"/>
              </w:rPr>
              <w:t xml:space="preserve">14x</w:t>
            </w:r>
          </w:p>
        </w:tc>
      </w:tr>
      <w:tr>
        <w:trPr>
          <w:cantSplit/>
        </w:trPr>
        <w:tc>
          <w:tcPr>
            <w:tcW w:type="dxa" w:w="3653"/>
          </w:tcPr>
          <w:p>
            <w:pPr>
              <w:pStyle w:val="Compact"/>
              <w:spacing w:after="0" w:before="0" w:line="240" w:lineRule="auto"/>
              <w:jc w:val="left"/>
            </w:pPr>
            <w:r>
              <w:rPr>
                <w:rFonts w:ascii="Arial" w:hAnsi="Arial"/>
                <w:sz w:val="15"/>
              </w:rPr>
              <w:t xml:space="preserve">0.6x</w:t>
            </w:r>
          </w:p>
        </w:tc>
        <w:tc>
          <w:tcPr>
            <w:tcW w:type="dxa" w:w="1047"/>
          </w:tcPr>
          <w:p>
            <w:pPr>
              <w:pStyle w:val="Compact"/>
              <w:spacing w:after="0" w:before="0" w:line="240" w:lineRule="auto"/>
              <w:jc w:val="right"/>
            </w:pPr>
            <w:r>
              <w:rPr>
                <w:rFonts w:ascii="Arial" w:hAnsi="Arial"/>
                <w:sz w:val="15"/>
              </w:rPr>
              <w:t xml:space="preserve">1,616</w:t>
            </w:r>
          </w:p>
        </w:tc>
        <w:tc>
          <w:tcPr>
            <w:tcW w:type="dxa" w:w="1056"/>
          </w:tcPr>
          <w:p>
            <w:pPr>
              <w:pStyle w:val="Compact"/>
              <w:spacing w:after="0" w:before="0" w:line="240" w:lineRule="auto"/>
              <w:jc w:val="right"/>
            </w:pPr>
            <w:r>
              <w:rPr>
                <w:rFonts w:ascii="Arial" w:hAnsi="Arial"/>
                <w:sz w:val="15"/>
              </w:rPr>
              <w:t xml:space="preserve">1,812</w:t>
            </w:r>
          </w:p>
        </w:tc>
        <w:tc>
          <w:tcPr>
            <w:tcW w:type="dxa" w:w="1056"/>
          </w:tcPr>
          <w:p>
            <w:pPr>
              <w:pStyle w:val="Compact"/>
              <w:spacing w:after="0" w:before="0" w:line="240" w:lineRule="auto"/>
              <w:jc w:val="right"/>
            </w:pPr>
            <w:r>
              <w:rPr>
                <w:rFonts w:ascii="Arial" w:hAnsi="Arial"/>
                <w:sz w:val="15"/>
              </w:rPr>
              <w:t xml:space="preserve">2,008</w:t>
            </w:r>
          </w:p>
        </w:tc>
        <w:tc>
          <w:tcPr>
            <w:tcW w:type="dxa" w:w="1056"/>
          </w:tcPr>
          <w:p>
            <w:pPr>
              <w:pStyle w:val="Compact"/>
              <w:spacing w:after="0" w:before="0" w:line="240" w:lineRule="auto"/>
              <w:jc w:val="right"/>
            </w:pPr>
            <w:r>
              <w:rPr>
                <w:rFonts w:ascii="Arial" w:hAnsi="Arial"/>
                <w:sz w:val="15"/>
              </w:rPr>
              <w:t xml:space="preserve">2,204</w:t>
            </w:r>
          </w:p>
        </w:tc>
        <w:tc>
          <w:tcPr>
            <w:tcW w:type="dxa" w:w="1056"/>
          </w:tcPr>
          <w:p>
            <w:pPr>
              <w:pStyle w:val="Compact"/>
              <w:spacing w:after="0" w:before="0" w:line="240" w:lineRule="auto"/>
              <w:jc w:val="right"/>
            </w:pPr>
            <w:r>
              <w:rPr>
                <w:rFonts w:ascii="Arial" w:hAnsi="Arial"/>
                <w:sz w:val="15"/>
              </w:rPr>
              <w:t xml:space="preserve">2,401</w:t>
            </w:r>
          </w:p>
        </w:tc>
        <w:tc>
          <w:tcPr>
            <w:tcW w:type="dxa" w:w="1056"/>
          </w:tcPr>
          <w:p>
            <w:pPr>
              <w:pStyle w:val="Compact"/>
              <w:spacing w:after="0" w:before="0" w:line="240" w:lineRule="auto"/>
              <w:jc w:val="right"/>
            </w:pPr>
            <w:r>
              <w:rPr>
                <w:rFonts w:ascii="Arial" w:hAnsi="Arial"/>
                <w:sz w:val="15"/>
              </w:rPr>
              <w:t xml:space="preserve">2,597</w:t>
            </w:r>
          </w:p>
        </w:tc>
      </w:tr>
      <w:tr>
        <w:trPr>
          <w:cantSplit/>
        </w:trPr>
        <w:tc>
          <w:tcPr>
            <w:tcW w:type="dxa" w:w="3653"/>
            <w:shd w:val="clear" w:color="auto" w:fill="F1F2F5"/>
          </w:tcPr>
          <w:p>
            <w:pPr>
              <w:pStyle w:val="Compact"/>
              <w:spacing w:after="0" w:before="0" w:line="240" w:lineRule="auto"/>
              <w:jc w:val="left"/>
            </w:pPr>
            <w:r>
              <w:rPr>
                <w:rFonts w:ascii="Arial" w:hAnsi="Arial"/>
                <w:sz w:val="15"/>
              </w:rPr>
              <w:t xml:space="preserve">0.8x</w:t>
            </w:r>
          </w:p>
        </w:tc>
        <w:tc>
          <w:tcPr>
            <w:tcW w:type="dxa" w:w="1047"/>
            <w:shd w:val="clear" w:color="auto" w:fill="F1F2F5"/>
          </w:tcPr>
          <w:p>
            <w:pPr>
              <w:pStyle w:val="Compact"/>
              <w:spacing w:after="0" w:before="0" w:line="240" w:lineRule="auto"/>
              <w:jc w:val="right"/>
            </w:pPr>
            <w:r>
              <w:rPr>
                <w:rFonts w:ascii="Arial" w:hAnsi="Arial"/>
                <w:sz w:val="15"/>
              </w:rPr>
              <w:t xml:space="preserve">1,677</w:t>
            </w:r>
          </w:p>
        </w:tc>
        <w:tc>
          <w:tcPr>
            <w:tcW w:type="dxa" w:w="1056"/>
            <w:shd w:val="clear" w:color="auto" w:fill="F1F2F5"/>
          </w:tcPr>
          <w:p>
            <w:pPr>
              <w:pStyle w:val="Compact"/>
              <w:spacing w:after="0" w:before="0" w:line="240" w:lineRule="auto"/>
              <w:jc w:val="right"/>
            </w:pPr>
            <w:r>
              <w:rPr>
                <w:rFonts w:ascii="Arial" w:hAnsi="Arial"/>
                <w:sz w:val="15"/>
              </w:rPr>
              <w:t xml:space="preserve">1,873</w:t>
            </w:r>
          </w:p>
        </w:tc>
        <w:tc>
          <w:tcPr>
            <w:tcW w:type="dxa" w:w="1056"/>
            <w:shd w:val="clear" w:color="auto" w:fill="F1F2F5"/>
          </w:tcPr>
          <w:p>
            <w:pPr>
              <w:pStyle w:val="Compact"/>
              <w:spacing w:after="0" w:before="0" w:line="240" w:lineRule="auto"/>
              <w:jc w:val="right"/>
            </w:pPr>
            <w:r>
              <w:rPr>
                <w:rFonts w:ascii="Arial" w:hAnsi="Arial"/>
                <w:sz w:val="15"/>
              </w:rPr>
              <w:t xml:space="preserve">2,070</w:t>
            </w:r>
          </w:p>
        </w:tc>
        <w:tc>
          <w:tcPr>
            <w:tcW w:type="dxa" w:w="1056"/>
            <w:shd w:val="clear" w:color="auto" w:fill="F1F2F5"/>
          </w:tcPr>
          <w:p>
            <w:pPr>
              <w:pStyle w:val="Compact"/>
              <w:spacing w:after="0" w:before="0" w:line="240" w:lineRule="auto"/>
              <w:jc w:val="right"/>
            </w:pPr>
            <w:r>
              <w:rPr>
                <w:rFonts w:ascii="Arial" w:hAnsi="Arial"/>
                <w:sz w:val="15"/>
              </w:rPr>
              <w:t xml:space="preserve">2,266</w:t>
            </w:r>
          </w:p>
        </w:tc>
        <w:tc>
          <w:tcPr>
            <w:tcW w:type="dxa" w:w="1056"/>
            <w:shd w:val="clear" w:color="auto" w:fill="F1F2F5"/>
          </w:tcPr>
          <w:p>
            <w:pPr>
              <w:pStyle w:val="Compact"/>
              <w:spacing w:after="0" w:before="0" w:line="240" w:lineRule="auto"/>
              <w:jc w:val="right"/>
            </w:pPr>
            <w:r>
              <w:rPr>
                <w:rFonts w:ascii="Arial" w:hAnsi="Arial"/>
                <w:sz w:val="15"/>
              </w:rPr>
              <w:t xml:space="preserve">2,462</w:t>
            </w:r>
          </w:p>
        </w:tc>
        <w:tc>
          <w:tcPr>
            <w:tcW w:type="dxa" w:w="1056"/>
            <w:shd w:val="clear" w:color="auto" w:fill="F1F2F5"/>
          </w:tcPr>
          <w:p>
            <w:pPr>
              <w:pStyle w:val="Compact"/>
              <w:spacing w:after="0" w:before="0" w:line="240" w:lineRule="auto"/>
              <w:jc w:val="right"/>
            </w:pPr>
            <w:r>
              <w:rPr>
                <w:rFonts w:ascii="Arial" w:hAnsi="Arial"/>
                <w:sz w:val="15"/>
              </w:rPr>
              <w:t xml:space="preserve">2,658</w:t>
            </w:r>
          </w:p>
        </w:tc>
      </w:tr>
      <w:tr>
        <w:trPr>
          <w:cantSplit/>
        </w:trPr>
        <w:tc>
          <w:tcPr>
            <w:tcW w:type="dxa" w:w="3653"/>
          </w:tcPr>
          <w:p>
            <w:pPr>
              <w:pStyle w:val="Compact"/>
              <w:spacing w:after="0" w:before="0" w:line="240" w:lineRule="auto"/>
              <w:jc w:val="left"/>
            </w:pPr>
            <w:r>
              <w:rPr>
                <w:rFonts w:ascii="Arial" w:hAnsi="Arial"/>
                <w:sz w:val="15"/>
              </w:rPr>
              <w:t xml:space="preserve">1.0x</w:t>
            </w:r>
          </w:p>
        </w:tc>
        <w:tc>
          <w:tcPr>
            <w:tcW w:type="dxa" w:w="1047"/>
          </w:tcPr>
          <w:p>
            <w:pPr>
              <w:pStyle w:val="Compact"/>
              <w:spacing w:after="0" w:before="0" w:line="240" w:lineRule="auto"/>
              <w:jc w:val="right"/>
            </w:pPr>
            <w:r>
              <w:rPr>
                <w:rFonts w:ascii="Arial" w:hAnsi="Arial"/>
                <w:sz w:val="15"/>
              </w:rPr>
              <w:t xml:space="preserve">1,739</w:t>
            </w:r>
          </w:p>
        </w:tc>
        <w:tc>
          <w:tcPr>
            <w:tcW w:type="dxa" w:w="1056"/>
          </w:tcPr>
          <w:p>
            <w:pPr>
              <w:pStyle w:val="Compact"/>
              <w:spacing w:after="0" w:before="0" w:line="240" w:lineRule="auto"/>
              <w:jc w:val="right"/>
            </w:pPr>
            <w:r>
              <w:rPr>
                <w:rFonts w:ascii="Arial" w:hAnsi="Arial"/>
                <w:sz w:val="15"/>
              </w:rPr>
              <w:t xml:space="preserve">1,935</w:t>
            </w:r>
          </w:p>
        </w:tc>
        <w:tc>
          <w:tcPr>
            <w:tcW w:type="dxa" w:w="1056"/>
          </w:tcPr>
          <w:p>
            <w:pPr>
              <w:pStyle w:val="Compact"/>
              <w:spacing w:after="0" w:before="0" w:line="240" w:lineRule="auto"/>
              <w:jc w:val="right"/>
            </w:pPr>
            <w:r>
              <w:rPr>
                <w:rFonts w:ascii="Arial" w:hAnsi="Arial"/>
                <w:sz w:val="15"/>
              </w:rPr>
              <w:t xml:space="preserve">2,131</w:t>
            </w:r>
          </w:p>
        </w:tc>
        <w:tc>
          <w:tcPr>
            <w:tcW w:type="dxa" w:w="1056"/>
          </w:tcPr>
          <w:p>
            <w:pPr>
              <w:pStyle w:val="Compact"/>
              <w:spacing w:after="0" w:before="0" w:line="240" w:lineRule="auto"/>
              <w:jc w:val="right"/>
            </w:pPr>
            <w:r>
              <w:rPr>
                <w:rFonts w:ascii="Arial" w:hAnsi="Arial"/>
                <w:sz w:val="15"/>
              </w:rPr>
              <w:t xml:space="preserve">2,327</w:t>
            </w:r>
          </w:p>
        </w:tc>
        <w:tc>
          <w:tcPr>
            <w:tcW w:type="dxa" w:w="1056"/>
          </w:tcPr>
          <w:p>
            <w:pPr>
              <w:pStyle w:val="Compact"/>
              <w:spacing w:after="0" w:before="0" w:line="240" w:lineRule="auto"/>
              <w:jc w:val="right"/>
            </w:pPr>
            <w:r>
              <w:rPr>
                <w:rFonts w:ascii="Arial" w:hAnsi="Arial"/>
                <w:sz w:val="15"/>
              </w:rPr>
              <w:t xml:space="preserve">2,524</w:t>
            </w:r>
          </w:p>
        </w:tc>
        <w:tc>
          <w:tcPr>
            <w:tcW w:type="dxa" w:w="1056"/>
          </w:tcPr>
          <w:p>
            <w:pPr>
              <w:pStyle w:val="Compact"/>
              <w:spacing w:after="0" w:before="0" w:line="240" w:lineRule="auto"/>
              <w:jc w:val="right"/>
            </w:pPr>
            <w:r>
              <w:rPr>
                <w:rFonts w:ascii="Arial" w:hAnsi="Arial"/>
                <w:sz w:val="15"/>
              </w:rPr>
              <w:t xml:space="preserve">2,720</w:t>
            </w:r>
          </w:p>
        </w:tc>
      </w:tr>
      <w:tr>
        <w:trPr>
          <w:cantSplit/>
        </w:trPr>
        <w:tc>
          <w:tcPr>
            <w:tcW w:type="dxa" w:w="3653"/>
            <w:shd w:val="clear" w:color="auto" w:fill="F1F2F5"/>
          </w:tcPr>
          <w:p>
            <w:pPr>
              <w:pStyle w:val="Compact"/>
              <w:spacing w:after="0" w:before="0" w:line="240" w:lineRule="auto"/>
              <w:jc w:val="left"/>
            </w:pPr>
            <w:r>
              <w:rPr>
                <w:bCs/>
                <w:rFonts w:ascii="Arial" w:hAnsi="Arial"/>
                <w:b/>
                <w:sz w:val="15"/>
              </w:rPr>
              <w:t xml:space="preserve">1.2x</w:t>
            </w:r>
          </w:p>
        </w:tc>
        <w:tc>
          <w:tcPr>
            <w:tcW w:type="dxa" w:w="1047"/>
            <w:shd w:val="clear" w:color="auto" w:fill="F1F2F5"/>
          </w:tcPr>
          <w:p>
            <w:pPr>
              <w:pStyle w:val="Compact"/>
              <w:spacing w:after="0" w:before="0" w:line="240" w:lineRule="auto"/>
              <w:jc w:val="right"/>
            </w:pPr>
            <w:r>
              <w:rPr>
                <w:rFonts w:ascii="Arial" w:hAnsi="Arial"/>
                <w:sz w:val="15"/>
              </w:rPr>
              <w:t xml:space="preserve">1,800</w:t>
            </w:r>
          </w:p>
        </w:tc>
        <w:tc>
          <w:tcPr>
            <w:tcW w:type="dxa" w:w="1056"/>
            <w:shd w:val="clear" w:color="auto" w:fill="F1F2F5"/>
          </w:tcPr>
          <w:p>
            <w:pPr>
              <w:pStyle w:val="Compact"/>
              <w:spacing w:after="0" w:before="0" w:line="240" w:lineRule="auto"/>
              <w:jc w:val="right"/>
            </w:pPr>
            <w:r>
              <w:rPr>
                <w:rFonts w:ascii="Arial" w:hAnsi="Arial"/>
                <w:sz w:val="15"/>
              </w:rPr>
              <w:t xml:space="preserve">1,996</w:t>
            </w:r>
          </w:p>
        </w:tc>
        <w:tc>
          <w:tcPr>
            <w:tcW w:type="dxa" w:w="1056"/>
            <w:shd w:val="clear" w:color="auto" w:fill="F1F2F5"/>
          </w:tcPr>
          <w:p>
            <w:pPr>
              <w:pStyle w:val="Compact"/>
              <w:spacing w:after="0" w:before="0" w:line="240" w:lineRule="auto"/>
              <w:jc w:val="right"/>
            </w:pPr>
            <w:r>
              <w:rPr>
                <w:rFonts w:ascii="Arial" w:hAnsi="Arial"/>
                <w:sz w:val="15"/>
              </w:rPr>
              <w:t xml:space="preserve">2,193</w:t>
            </w:r>
          </w:p>
        </w:tc>
        <w:tc>
          <w:tcPr>
            <w:tcW w:type="dxa" w:w="1056"/>
            <w:shd w:val="clear" w:color="auto" w:fill="F1F2F5"/>
          </w:tcPr>
          <w:p>
            <w:pPr>
              <w:pStyle w:val="Compact"/>
              <w:spacing w:after="0" w:before="0" w:line="240" w:lineRule="auto"/>
              <w:jc w:val="right"/>
            </w:pPr>
            <w:r>
              <w:rPr>
                <w:bCs/>
                <w:rFonts w:ascii="Arial" w:hAnsi="Arial"/>
                <w:b/>
                <w:sz w:val="15"/>
              </w:rPr>
              <w:t xml:space="preserve">2,389</w:t>
            </w:r>
          </w:p>
        </w:tc>
        <w:tc>
          <w:tcPr>
            <w:tcW w:type="dxa" w:w="1056"/>
            <w:shd w:val="clear" w:color="auto" w:fill="F1F2F5"/>
          </w:tcPr>
          <w:p>
            <w:pPr>
              <w:pStyle w:val="Compact"/>
              <w:spacing w:after="0" w:before="0" w:line="240" w:lineRule="auto"/>
              <w:jc w:val="right"/>
            </w:pPr>
            <w:r>
              <w:rPr>
                <w:rFonts w:ascii="Arial" w:hAnsi="Arial"/>
                <w:sz w:val="15"/>
              </w:rPr>
              <w:t xml:space="preserve">2,585</w:t>
            </w:r>
          </w:p>
        </w:tc>
        <w:tc>
          <w:tcPr>
            <w:tcW w:type="dxa" w:w="1056"/>
            <w:shd w:val="clear" w:color="auto" w:fill="F1F2F5"/>
          </w:tcPr>
          <w:p>
            <w:pPr>
              <w:pStyle w:val="Compact"/>
              <w:spacing w:after="0" w:before="0" w:line="240" w:lineRule="auto"/>
              <w:jc w:val="right"/>
            </w:pPr>
            <w:r>
              <w:rPr>
                <w:rFonts w:ascii="Arial" w:hAnsi="Arial"/>
                <w:sz w:val="15"/>
              </w:rPr>
              <w:t xml:space="preserve">2,781</w:t>
            </w:r>
          </w:p>
        </w:tc>
      </w:tr>
      <w:tr>
        <w:trPr>
          <w:cantSplit/>
        </w:trPr>
        <w:tc>
          <w:tcPr>
            <w:tcW w:type="dxa" w:w="3653"/>
          </w:tcPr>
          <w:p>
            <w:pPr>
              <w:pStyle w:val="Compact"/>
              <w:spacing w:after="0" w:before="0" w:line="240" w:lineRule="auto"/>
              <w:jc w:val="left"/>
            </w:pPr>
            <w:r>
              <w:rPr>
                <w:rFonts w:ascii="Arial" w:hAnsi="Arial"/>
                <w:sz w:val="15"/>
              </w:rPr>
              <w:t xml:space="preserve">1.6x</w:t>
            </w:r>
          </w:p>
        </w:tc>
        <w:tc>
          <w:tcPr>
            <w:tcW w:type="dxa" w:w="1047"/>
          </w:tcPr>
          <w:p>
            <w:pPr>
              <w:pStyle w:val="Compact"/>
              <w:spacing w:after="0" w:before="0" w:line="240" w:lineRule="auto"/>
              <w:jc w:val="right"/>
            </w:pPr>
            <w:r>
              <w:rPr>
                <w:rFonts w:ascii="Arial" w:hAnsi="Arial"/>
                <w:sz w:val="15"/>
              </w:rPr>
              <w:t xml:space="preserve">1,923</w:t>
            </w:r>
          </w:p>
        </w:tc>
        <w:tc>
          <w:tcPr>
            <w:tcW w:type="dxa" w:w="1056"/>
          </w:tcPr>
          <w:p>
            <w:pPr>
              <w:pStyle w:val="Compact"/>
              <w:spacing w:after="0" w:before="0" w:line="240" w:lineRule="auto"/>
              <w:jc w:val="right"/>
            </w:pPr>
            <w:r>
              <w:rPr>
                <w:rFonts w:ascii="Arial" w:hAnsi="Arial"/>
                <w:sz w:val="15"/>
              </w:rPr>
              <w:t xml:space="preserve">2,119</w:t>
            </w:r>
          </w:p>
        </w:tc>
        <w:tc>
          <w:tcPr>
            <w:tcW w:type="dxa" w:w="1056"/>
          </w:tcPr>
          <w:p>
            <w:pPr>
              <w:pStyle w:val="Compact"/>
              <w:spacing w:after="0" w:before="0" w:line="240" w:lineRule="auto"/>
              <w:jc w:val="right"/>
            </w:pPr>
            <w:r>
              <w:rPr>
                <w:rFonts w:ascii="Arial" w:hAnsi="Arial"/>
                <w:sz w:val="15"/>
              </w:rPr>
              <w:t xml:space="preserve">2,316</w:t>
            </w:r>
          </w:p>
        </w:tc>
        <w:tc>
          <w:tcPr>
            <w:tcW w:type="dxa" w:w="1056"/>
          </w:tcPr>
          <w:p>
            <w:pPr>
              <w:pStyle w:val="Compact"/>
              <w:spacing w:after="0" w:before="0" w:line="240" w:lineRule="auto"/>
              <w:jc w:val="right"/>
            </w:pPr>
            <w:r>
              <w:rPr>
                <w:rFonts w:ascii="Arial" w:hAnsi="Arial"/>
                <w:sz w:val="15"/>
              </w:rPr>
              <w:t xml:space="preserve">2,512</w:t>
            </w:r>
          </w:p>
        </w:tc>
        <w:tc>
          <w:tcPr>
            <w:tcW w:type="dxa" w:w="1056"/>
          </w:tcPr>
          <w:p>
            <w:pPr>
              <w:pStyle w:val="Compact"/>
              <w:spacing w:after="0" w:before="0" w:line="240" w:lineRule="auto"/>
              <w:jc w:val="right"/>
            </w:pPr>
            <w:r>
              <w:rPr>
                <w:rFonts w:ascii="Arial" w:hAnsi="Arial"/>
                <w:sz w:val="15"/>
              </w:rPr>
              <w:t xml:space="preserve">2,708</w:t>
            </w:r>
          </w:p>
        </w:tc>
        <w:tc>
          <w:tcPr>
            <w:tcW w:type="dxa" w:w="1056"/>
          </w:tcPr>
          <w:p>
            <w:pPr>
              <w:pStyle w:val="Compact"/>
              <w:spacing w:after="0" w:before="0" w:line="240" w:lineRule="auto"/>
              <w:jc w:val="right"/>
            </w:pPr>
            <w:r>
              <w:rPr>
                <w:rFonts w:ascii="Arial" w:hAnsi="Arial"/>
                <w:sz w:val="15"/>
              </w:rPr>
              <w:t xml:space="preserve">2,904</w:t>
            </w:r>
          </w:p>
        </w:tc>
      </w:tr>
    </w:tbl>
    <w:p>
      <w:pPr>
        <w:pStyle w:val="BodyText"/>
      </w:pPr>
      <w:r>
        <w:rPr>
          <w:iCs/>
          <w:i/>
        </w:rPr>
        <w:t xml:space="preserve">Corporate costs capitalised at 9x; investments, 70% of the pension surplus and Jun-26 net debt included. The bear column at 9x GIS excludes the JPY60bn provision used in our bear SOTP.</w:t>
      </w:r>
    </w:p>
    <w:bookmarkEnd w:id="133"/>
    <w:bookmarkStart w:id="134" w:name="X3b59ec5290e3a719d5d55e3d93a5172c513fd03"/>
    <w:p>
      <w:pPr>
        <w:pStyle w:val="Heading1"/>
      </w:pPr>
      <w:r>
        <w:t xml:space="preserve">Fifteen questions for the CEO / Chairman (ordered by information value)</w:t>
      </w:r>
    </w:p>
    <w:p>
      <w:pPr>
        <w:numPr>
          <w:ilvl w:val="0"/>
          <w:numId w:val="1055"/>
        </w:numPr>
        <w:pStyle w:val="Compact"/>
      </w:pPr>
      <w:r>
        <w:rPr>
          <w:bCs/>
          <w:b/>
        </w:rPr>
        <w:t xml:space="preserve">Warning Letter scope.</w:t>
      </w:r>
      <w:r>
        <w:t xml:space="preserve"> </w:t>
      </w:r>
      <w:r>
        <w:t xml:space="preserve">Which specific observations did the FDA find inadequate in your Form 483 responses? Do any relate to design controls or complaint handling for GI scopes made at Hachioji, Aomori or Shirakawa?</w:t>
      </w:r>
    </w:p>
    <w:p>
      <w:pPr>
        <w:numPr>
          <w:ilvl w:val="0"/>
          <w:numId w:val="1055"/>
        </w:numPr>
        <w:pStyle w:val="Compact"/>
      </w:pPr>
      <w:r>
        <w:rPr>
          <w:bCs/>
          <w:b/>
        </w:rPr>
        <w:t xml:space="preserve">Remediation plan.</w:t>
      </w:r>
      <w:r>
        <w:t xml:space="preserve"> </w:t>
      </w:r>
      <w:r>
        <w:t xml:space="preserve">Will you appoint an independent third-party auditor and publish a close-out timetable? What incremental cost (opex and capex) is in FY3/27 and FY3/28 guidance?</w:t>
      </w:r>
    </w:p>
    <w:p>
      <w:pPr>
        <w:numPr>
          <w:ilvl w:val="0"/>
          <w:numId w:val="1055"/>
        </w:numPr>
        <w:pStyle w:val="Compact"/>
      </w:pPr>
      <w:r>
        <w:rPr>
          <w:bCs/>
          <w:b/>
        </w:rPr>
        <w:t xml:space="preserve">Escalation risk.</w:t>
      </w:r>
      <w:r>
        <w:t xml:space="preserve"> </w:t>
      </w:r>
      <w:r>
        <w:t xml:space="preserve">Has the FDA indicated any intention to seek a consent decree or expand Import Alert 89-04? What is the status of the Aizu re-inspection request?</w:t>
      </w:r>
    </w:p>
    <w:p>
      <w:pPr>
        <w:numPr>
          <w:ilvl w:val="0"/>
          <w:numId w:val="1055"/>
        </w:numPr>
        <w:pStyle w:val="Compact"/>
      </w:pPr>
      <w:r>
        <w:rPr>
          <w:bCs/>
          <w:b/>
        </w:rPr>
        <w:t xml:space="preserve">Surgical review.</w:t>
      </w:r>
      <w:r>
        <w:t xml:space="preserve"> </w:t>
      </w:r>
      <w:r>
        <w:t xml:space="preserve">Which outcomes are on the table (sale, JV, partial carve-out, closure of product lines)? When will the board decide? Would proceeds be returned to shareholders?</w:t>
      </w:r>
    </w:p>
    <w:p>
      <w:pPr>
        <w:numPr>
          <w:ilvl w:val="0"/>
          <w:numId w:val="1055"/>
        </w:numPr>
        <w:pStyle w:val="Compact"/>
      </w:pPr>
      <w:r>
        <w:rPr>
          <w:bCs/>
          <w:b/>
        </w:rPr>
        <w:t xml:space="preserve">SIS economics.</w:t>
      </w:r>
      <w:r>
        <w:t xml:space="preserve"> </w:t>
      </w:r>
      <w:r>
        <w:t xml:space="preserve">What is SIS’s margin excluding ship-hold and remediation costs? Which SIS sub-units (urology, respiratory, surgical endoscopy, ENT) earn above the cost of capital?</w:t>
      </w:r>
    </w:p>
    <w:p>
      <w:pPr>
        <w:numPr>
          <w:ilvl w:val="0"/>
          <w:numId w:val="1055"/>
        </w:numPr>
        <w:pStyle w:val="Compact"/>
      </w:pPr>
      <w:r>
        <w:rPr>
          <w:bCs/>
          <w:b/>
        </w:rPr>
        <w:t xml:space="preserve">3-4-5 credibility.</w:t>
      </w:r>
      <w:r>
        <w:t xml:space="preserve"> </w:t>
      </w:r>
      <w:r>
        <w:t xml:space="preserve">What revenue growth and margin are you tracking in FY3/27 at constant currency? Why should investors believe the 20%+ OP margin after misses in FY3/23–26?</w:t>
      </w:r>
    </w:p>
    <w:p>
      <w:pPr>
        <w:numPr>
          <w:ilvl w:val="0"/>
          <w:numId w:val="1055"/>
        </w:numPr>
        <w:pStyle w:val="Compact"/>
      </w:pPr>
      <w:r>
        <w:rPr>
          <w:bCs/>
          <w:b/>
        </w:rPr>
        <w:t xml:space="preserve">Adjusted vs reported.</w:t>
      </w:r>
      <w:r>
        <w:t xml:space="preserve"> </w:t>
      </w:r>
      <w:r>
        <w:t xml:space="preserve">Will the adjusted-OP-to-OP gap really fall from JPY46bn (FY3/26) to ~JPY24bn (FY3/27) and then to near zero? Which</w:t>
      </w:r>
      <w:r>
        <w:t xml:space="preserve"> </w:t>
      </w:r>
      <w:r>
        <w:t xml:space="preserve">“</w:t>
      </w:r>
      <w:r>
        <w:t xml:space="preserve">one-off</w:t>
      </w:r>
      <w:r>
        <w:t xml:space="preserve">”</w:t>
      </w:r>
      <w:r>
        <w:t xml:space="preserve"> </w:t>
      </w:r>
      <w:r>
        <w:t xml:space="preserve">items do you consider recurring?</w:t>
      </w:r>
    </w:p>
    <w:p>
      <w:pPr>
        <w:numPr>
          <w:ilvl w:val="0"/>
          <w:numId w:val="1055"/>
        </w:numPr>
        <w:pStyle w:val="Compact"/>
      </w:pPr>
      <w:r>
        <w:rPr>
          <w:bCs/>
          <w:b/>
        </w:rPr>
        <w:t xml:space="preserve">Capital returns.</w:t>
      </w:r>
      <w:r>
        <w:t xml:space="preserve"> </w:t>
      </w:r>
      <w:r>
        <w:t xml:space="preserve">With the JPY60bn programme complete, what leverage are you comfortable with? Will you formalise a total-return or payout policy?</w:t>
      </w:r>
    </w:p>
    <w:p>
      <w:pPr>
        <w:numPr>
          <w:ilvl w:val="0"/>
          <w:numId w:val="1055"/>
        </w:numPr>
        <w:pStyle w:val="Compact"/>
      </w:pPr>
      <w:r>
        <w:rPr>
          <w:bCs/>
          <w:b/>
        </w:rPr>
        <w:t xml:space="preserve">Cash conversion.</w:t>
      </w:r>
      <w:r>
        <w:t xml:space="preserve"> </w:t>
      </w:r>
      <w:r>
        <w:t xml:space="preserve">Why was FY3/26 FCF only JPY13bn? When will inventory days (~240) and receivable days (~86) normalise? How much of growth is financed through customer leases (JPY137bn)?</w:t>
      </w:r>
    </w:p>
    <w:p>
      <w:pPr>
        <w:numPr>
          <w:ilvl w:val="0"/>
          <w:numId w:val="1055"/>
        </w:numPr>
        <w:pStyle w:val="Compact"/>
      </w:pPr>
      <w:r>
        <w:rPr>
          <w:bCs/>
          <w:b/>
        </w:rPr>
        <w:t xml:space="preserve">China.</w:t>
      </w:r>
      <w:r>
        <w:t xml:space="preserve"> </w:t>
      </w:r>
      <w:r>
        <w:t xml:space="preserve">What share of China revenue is now exposed to VBP? Is local GI-scope production winning tenders against SonoScape and Aohua?</w:t>
      </w:r>
    </w:p>
    <w:p>
      <w:pPr>
        <w:numPr>
          <w:ilvl w:val="0"/>
          <w:numId w:val="1055"/>
        </w:numPr>
        <w:pStyle w:val="Compact"/>
      </w:pPr>
      <w:r>
        <w:rPr>
          <w:bCs/>
          <w:b/>
        </w:rPr>
        <w:t xml:space="preserve">Tariffs.</w:t>
      </w:r>
      <w:r>
        <w:t xml:space="preserve"> </w:t>
      </w:r>
      <w:r>
        <w:t xml:space="preserve">What is the FY3/27 net tariff cost after mitigation? Are you moving US-bound manufacturing out of Japan? What would a Section 232 device tariff cost?</w:t>
      </w:r>
    </w:p>
    <w:p>
      <w:pPr>
        <w:numPr>
          <w:ilvl w:val="0"/>
          <w:numId w:val="1055"/>
        </w:numPr>
        <w:pStyle w:val="Compact"/>
      </w:pPr>
      <w:r>
        <w:rPr>
          <w:bCs/>
          <w:b/>
        </w:rPr>
        <w:t xml:space="preserve">M&amp;A discipline.</w:t>
      </w:r>
      <w:r>
        <w:t xml:space="preserve"> </w:t>
      </w:r>
      <w:r>
        <w:t xml:space="preserve">What hurdle rate do tuck-ins have to clear? Why was BioProtect worth ~19x sales? Will the Swan call option be exercised, and at what price?</w:t>
      </w:r>
    </w:p>
    <w:p>
      <w:pPr>
        <w:numPr>
          <w:ilvl w:val="0"/>
          <w:numId w:val="1055"/>
        </w:numPr>
        <w:pStyle w:val="Compact"/>
      </w:pPr>
      <w:r>
        <w:rPr>
          <w:bCs/>
          <w:b/>
        </w:rPr>
        <w:t xml:space="preserve">Single-use.</w:t>
      </w:r>
      <w:r>
        <w:t xml:space="preserve"> </w:t>
      </w:r>
      <w:r>
        <w:t xml:space="preserve">What is your single-use revenue today? How do you protect the reusable-scope service annuity from single-use duodenoscopes and bronchoscopes?</w:t>
      </w:r>
    </w:p>
    <w:p>
      <w:pPr>
        <w:numPr>
          <w:ilvl w:val="0"/>
          <w:numId w:val="1055"/>
        </w:numPr>
        <w:pStyle w:val="Compact"/>
      </w:pPr>
      <w:r>
        <w:rPr>
          <w:bCs/>
          <w:b/>
        </w:rPr>
        <w:t xml:space="preserve">Pay.</w:t>
      </w:r>
      <w:r>
        <w:t xml:space="preserve"> </w:t>
      </w:r>
      <w:r>
        <w:t xml:space="preserve">Why did the CEO receive a JPY210m bonus in a year with two guidance cuts? Will LTI vesting be tied to FDA close-out and FCF rather than adjusted OP?</w:t>
      </w:r>
    </w:p>
    <w:p>
      <w:pPr>
        <w:numPr>
          <w:ilvl w:val="0"/>
          <w:numId w:val="1055"/>
        </w:numPr>
        <w:pStyle w:val="Compact"/>
      </w:pPr>
      <w:r>
        <w:rPr>
          <w:bCs/>
          <w:b/>
        </w:rPr>
        <w:t xml:space="preserve">Strategic alternatives.</w:t>
      </w:r>
      <w:r>
        <w:t xml:space="preserve"> </w:t>
      </w:r>
      <w:r>
        <w:t xml:space="preserve">If a credible party offered a significant premium for the company, how would the board evaluate it under the METI guidelines? Is the board open to a take-private with a Japanese co-investor?</w:t>
      </w:r>
    </w:p>
    <w:bookmarkEnd w:id="134"/>
    <w:bookmarkStart w:id="136" w:name="Xbbb49457129df0cb7d0c92e434184349f0267c8"/>
    <w:p>
      <w:pPr>
        <w:pStyle w:val="Heading1"/>
      </w:pPr>
      <w:r>
        <w:t xml:space="preserve">Short-seller and forensic perspective: dismantling the bull case</w:t>
      </w:r>
    </w:p>
    <w:p>
      <w:pPr>
        <w:pStyle w:val="FirstParagraph"/>
      </w:pPr>
      <w:r>
        <w:rPr>
          <w:bCs/>
          <w:b/>
        </w:rPr>
        <w:t xml:space="preserve">The short thesis in one line:</w:t>
      </w:r>
      <w:r>
        <w:t xml:space="preserve"> </w:t>
      </w:r>
      <w:r>
        <w:t xml:space="preserve">a chronically non-compliant manufacturer whose</w:t>
      </w:r>
      <w:r>
        <w:t xml:space="preserve"> </w:t>
      </w:r>
      <w:r>
        <w:t xml:space="preserve">“</w:t>
      </w:r>
      <w:r>
        <w:t xml:space="preserve">adjusted</w:t>
      </w:r>
      <w:r>
        <w:t xml:space="preserve">”</w:t>
      </w:r>
      <w:r>
        <w:t xml:space="preserve"> </w:t>
      </w:r>
      <w:r>
        <w:t xml:space="preserve">profits exclude recurring costs, whose growth is FX and leasing, and whose buybacks are now debt-funded.</w:t>
      </w:r>
    </w:p>
    <w:p>
      <w:pPr>
        <w:numPr>
          <w:ilvl w:val="0"/>
          <w:numId w:val="1056"/>
        </w:numPr>
        <w:pStyle w:val="Compact"/>
      </w:pPr>
      <w:r>
        <w:rPr>
          <w:bCs/>
          <w:b/>
        </w:rPr>
        <w:t xml:space="preserve">“</w:t>
      </w:r>
      <w:r>
        <w:rPr>
          <w:bCs/>
          <w:b/>
        </w:rPr>
        <w:t xml:space="preserve">Adjusted OP</w:t>
      </w:r>
      <w:r>
        <w:rPr>
          <w:bCs/>
          <w:b/>
        </w:rPr>
        <w:t xml:space="preserve">”</w:t>
      </w:r>
      <w:r>
        <w:rPr>
          <w:bCs/>
          <w:b/>
        </w:rPr>
        <w:t xml:space="preserve"> </w:t>
      </w:r>
      <w:r>
        <w:rPr>
          <w:bCs/>
          <w:b/>
        </w:rPr>
        <w:t xml:space="preserve">flatters the business.</w:t>
      </w:r>
      <w:r>
        <w:t xml:space="preserve"> </w:t>
      </w:r>
      <w:r>
        <w:t xml:space="preserve">“</w:t>
      </w:r>
      <w:r>
        <w:t xml:space="preserve">Other expenses</w:t>
      </w:r>
      <w:r>
        <w:t xml:space="preserve">”</w:t>
      </w:r>
      <w:r>
        <w:t xml:space="preserve"> </w:t>
      </w:r>
      <w:r>
        <w:t xml:space="preserve">were JPY103bn (FY3/24), JPY31bn (FY3/25) and JPY57bn (FY3/26). Restructuring, quality remediation and impairments recur every year. On reported OP, the stock trades on 13.7x FY3/27E EV/EBIT, not</w:t>
      </w:r>
      <w:r>
        <w:t xml:space="preserve"> </w:t>
      </w:r>
      <w:r>
        <w:t xml:space="preserve">“</w:t>
      </w:r>
      <w:r>
        <w:t xml:space="preserve">9x EBITDA</w:t>
      </w:r>
      <w:r>
        <w:t xml:space="preserve">”</w:t>
      </w:r>
      <w:r>
        <w:t xml:space="preserve">.</w:t>
      </w:r>
    </w:p>
    <w:p>
      <w:pPr>
        <w:numPr>
          <w:ilvl w:val="0"/>
          <w:numId w:val="1056"/>
        </w:numPr>
        <w:pStyle w:val="Compact"/>
      </w:pPr>
      <w:r>
        <w:rPr>
          <w:bCs/>
          <w:b/>
        </w:rPr>
        <w:t xml:space="preserve">Growth is mostly FX.</w:t>
      </w:r>
      <w:r>
        <w:t xml:space="preserve"> </w:t>
      </w:r>
      <w:r>
        <w:t xml:space="preserve">Constant-currency growth was ~0% in FY3/26 and +3.4% in FY3/25. 1Q FY3/27 was +16% reported but ~+5% cc against an easy comparison. Strip out the yen and there is little organic growth.</w:t>
      </w:r>
    </w:p>
    <w:p>
      <w:pPr>
        <w:numPr>
          <w:ilvl w:val="0"/>
          <w:numId w:val="1056"/>
        </w:numPr>
        <w:pStyle w:val="Compact"/>
      </w:pPr>
      <w:r>
        <w:rPr>
          <w:bCs/>
          <w:b/>
        </w:rPr>
        <w:t xml:space="preserve">Receivables and leasing.</w:t>
      </w:r>
      <w:r>
        <w:t xml:space="preserve"> </w:t>
      </w:r>
      <w:r>
        <w:t xml:space="preserve">Trade receivable days rose from 72 to 86. Lease receivables rose 59% in two years to JPY137bn, and there are JPY84bn of non-current receivables. Customer financing pulls forward capital sales and adds credit risk.</w:t>
      </w:r>
    </w:p>
    <w:p>
      <w:pPr>
        <w:numPr>
          <w:ilvl w:val="0"/>
          <w:numId w:val="1056"/>
        </w:numPr>
        <w:pStyle w:val="Compact"/>
      </w:pPr>
      <w:r>
        <w:rPr>
          <w:bCs/>
          <w:b/>
        </w:rPr>
        <w:t xml:space="preserve">Inventory.</w:t>
      </w:r>
      <w:r>
        <w:t xml:space="preserve"> </w:t>
      </w:r>
      <w:r>
        <w:t xml:space="preserve">Inventory is ~240 days (JPY221bn at Jun-26, up JPY14bn QoQ). Ship-held SIS inventory may need write-downs.</w:t>
      </w:r>
    </w:p>
    <w:p>
      <w:pPr>
        <w:numPr>
          <w:ilvl w:val="0"/>
          <w:numId w:val="1056"/>
        </w:numPr>
        <w:pStyle w:val="Compact"/>
      </w:pPr>
      <w:r>
        <w:rPr>
          <w:bCs/>
          <w:b/>
        </w:rPr>
        <w:t xml:space="preserve">Cash flow.</w:t>
      </w:r>
      <w:r>
        <w:t xml:space="preserve"> </w:t>
      </w:r>
      <w:r>
        <w:t xml:space="preserve">CFO was JPY101bn against JPY164bn of EBITDA in FY3/26, and FCF was JPY13bn. Since FY3/22, cumulative buybacks plus dividends (~JPY600bn) exceed cumulative FCF (~JPY260bn) [e]. The gap was funded by the Evident proceeds and now by debt.</w:t>
      </w:r>
    </w:p>
    <w:p>
      <w:pPr>
        <w:numPr>
          <w:ilvl w:val="0"/>
          <w:numId w:val="1056"/>
        </w:numPr>
        <w:pStyle w:val="Compact"/>
      </w:pPr>
      <w:r>
        <w:rPr>
          <w:bCs/>
          <w:b/>
        </w:rPr>
        <w:t xml:space="preserve">Quality culture.</w:t>
      </w:r>
      <w:r>
        <w:t xml:space="preserve"> </w:t>
      </w:r>
      <w:r>
        <w:t xml:space="preserve">The FDA has repeatedly found Olympus’s corrective actions inadequate. Three CQOs in 2.5 years and a</w:t>
      </w:r>
      <w:r>
        <w:t xml:space="preserve"> </w:t>
      </w:r>
      <w:r>
        <w:t xml:space="preserve">“</w:t>
      </w:r>
      <w:r>
        <w:t xml:space="preserve">no financial impact</w:t>
      </w:r>
      <w:r>
        <w:t xml:space="preserve">”</w:t>
      </w:r>
      <w:r>
        <w:t xml:space="preserve"> </w:t>
      </w:r>
      <w:r>
        <w:t xml:space="preserve">message on every FDA action suggest a culture that under-reacts. Recalls have involved patient harm.</w:t>
      </w:r>
    </w:p>
    <w:p>
      <w:pPr>
        <w:numPr>
          <w:ilvl w:val="0"/>
          <w:numId w:val="1056"/>
        </w:numPr>
        <w:pStyle w:val="Compact"/>
      </w:pPr>
      <w:r>
        <w:rPr>
          <w:bCs/>
          <w:b/>
        </w:rPr>
        <w:t xml:space="preserve">Guidance.</w:t>
      </w:r>
      <w:r>
        <w:t xml:space="preserve"> </w:t>
      </w:r>
      <w:r>
        <w:t xml:space="preserve">A February cut came in each of the last four years, and FY3/27 consensus is already above the midpoint.</w:t>
      </w:r>
    </w:p>
    <w:p>
      <w:pPr>
        <w:numPr>
          <w:ilvl w:val="0"/>
          <w:numId w:val="1056"/>
        </w:numPr>
        <w:pStyle w:val="Compact"/>
      </w:pPr>
      <w:r>
        <w:rPr>
          <w:bCs/>
          <w:b/>
        </w:rPr>
        <w:t xml:space="preserve">Pay.</w:t>
      </w:r>
      <w:r>
        <w:t xml:space="preserve"> </w:t>
      </w:r>
      <w:r>
        <w:t xml:space="preserve">Executive pay has escalated while value has fallen 47% from the 2022 peak.</w:t>
      </w:r>
    </w:p>
    <w:p>
      <w:pPr>
        <w:pStyle w:val="FirstParagraph"/>
      </w:pPr>
      <w:r>
        <w:rPr>
          <w:bCs/>
          <w:b/>
        </w:rPr>
        <w:t xml:space="preserve">Our rebuttal.</w:t>
      </w:r>
    </w:p>
    <w:p>
      <w:pPr>
        <w:numPr>
          <w:ilvl w:val="0"/>
          <w:numId w:val="1057"/>
        </w:numPr>
        <w:pStyle w:val="Compact"/>
      </w:pPr>
      <w:r>
        <w:t xml:space="preserve">Points 1, 2 and 5 are fair and are why we value on forward IFRS OP and use 12x (not 15x) for GIS.</w:t>
      </w:r>
    </w:p>
    <w:p>
      <w:pPr>
        <w:numPr>
          <w:ilvl w:val="0"/>
          <w:numId w:val="1057"/>
        </w:numPr>
        <w:pStyle w:val="Compact"/>
      </w:pPr>
      <w:r>
        <w:t xml:space="preserve">Point 3 is a real watch item, but it reflects the leasing model rather than channel stuffing: there are no distributors to stuff.</w:t>
      </w:r>
    </w:p>
    <w:p>
      <w:pPr>
        <w:numPr>
          <w:ilvl w:val="0"/>
          <w:numId w:val="1057"/>
        </w:numPr>
        <w:pStyle w:val="Compact"/>
      </w:pPr>
      <w:r>
        <w:t xml:space="preserve">Point 6 is the core risk and the reason for our 25% bear weight and two-step sizing.</w:t>
      </w:r>
    </w:p>
    <w:p>
      <w:pPr>
        <w:numPr>
          <w:ilvl w:val="0"/>
          <w:numId w:val="1057"/>
        </w:numPr>
        <w:pStyle w:val="Compact"/>
      </w:pPr>
      <w:r>
        <w:rPr>
          <w:bCs/>
          <w:b/>
        </w:rPr>
        <w:t xml:space="preserve">The short case ignores three things:</w:t>
      </w:r>
      <w:r>
        <w:t xml:space="preserve"> </w:t>
      </w:r>
      <w:r>
        <w:t xml:space="preserve">the franchise’s 65% gross margin and pricing, the sum-of-the-parts asymmetry, and a receptive board under governance pressure. Shorting a 6th-percentile multiple with a buyback-active, ValueAct-influenced board ahead of a strategic review is a poor risk-reward trade.</w:t>
      </w:r>
    </w:p>
    <w:bookmarkStart w:id="135" w:name="red-flags-and-accounting-risks"/>
    <w:p>
      <w:pPr>
        <w:pStyle w:val="Heading2"/>
      </w:pPr>
      <w:r>
        <w:t xml:space="preserve">Red flags and accounting risks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28"/>
        <w:gridCol w:w="3458"/>
        <w:gridCol w:w="1377"/>
        <w:gridCol w:w="3014"/>
      </w:tblGrid>
      <w:tr>
        <w:trPr>
          <w:tblHeader w:val="true"/>
          <w:tblHeader w:val="true"/>
          <w:cantSplit/>
        </w:trPr>
        <w:tc>
          <w:tcPr>
            <w:tcW w:type="dxa" w:w="2128"/>
            <w:shd w:val="clear" w:color="auto" w:fill="13213F"/>
          </w:tcPr>
          <w:p>
            <w:pPr>
              <w:pStyle w:val="Compact"/>
              <w:spacing w:after="0" w:before="0" w:line="240" w:lineRule="auto"/>
              <w:jc w:val="left"/>
            </w:pPr>
            <w:r>
              <w:rPr>
                <w:rFonts w:ascii="Arial" w:hAnsi="Arial"/>
                <w:b/>
                <w:color w:val="FFFFFF"/>
                <w:sz w:val="15"/>
              </w:rPr>
              <w:t xml:space="preserve">Area</w:t>
            </w:r>
          </w:p>
        </w:tc>
        <w:tc>
          <w:tcPr>
            <w:tcW w:type="dxa" w:w="3459"/>
            <w:shd w:val="clear" w:color="auto" w:fill="13213F"/>
          </w:tcPr>
          <w:p>
            <w:pPr>
              <w:pStyle w:val="Compact"/>
              <w:spacing w:after="0" w:before="0" w:line="240" w:lineRule="auto"/>
              <w:jc w:val="left"/>
            </w:pPr>
            <w:r>
              <w:rPr>
                <w:rFonts w:ascii="Arial" w:hAnsi="Arial"/>
                <w:b/>
                <w:color w:val="FFFFFF"/>
                <w:sz w:val="15"/>
              </w:rPr>
              <w:t xml:space="preserve">Flag</w:t>
            </w:r>
          </w:p>
        </w:tc>
        <w:tc>
          <w:tcPr>
            <w:tcW w:type="dxa" w:w="1377"/>
            <w:shd w:val="clear" w:color="auto" w:fill="13213F"/>
          </w:tcPr>
          <w:p>
            <w:pPr>
              <w:pStyle w:val="Compact"/>
              <w:spacing w:after="0" w:before="0" w:line="240" w:lineRule="auto"/>
              <w:jc w:val="center"/>
            </w:pPr>
            <w:r>
              <w:rPr>
                <w:rFonts w:ascii="Arial" w:hAnsi="Arial"/>
                <w:b/>
                <w:color w:val="FFFFFF"/>
                <w:sz w:val="15"/>
              </w:rPr>
              <w:t xml:space="preserve">Severity</w:t>
            </w:r>
          </w:p>
        </w:tc>
        <w:tc>
          <w:tcPr>
            <w:tcW w:type="dxa" w:w="3014"/>
            <w:shd w:val="clear" w:color="auto" w:fill="13213F"/>
          </w:tcPr>
          <w:p>
            <w:pPr>
              <w:pStyle w:val="Compact"/>
              <w:spacing w:after="0" w:before="0" w:line="240" w:lineRule="auto"/>
              <w:jc w:val="left"/>
            </w:pPr>
            <w:r>
              <w:rPr>
                <w:rFonts w:ascii="Arial" w:hAnsi="Arial"/>
                <w:b/>
                <w:color w:val="FFFFFF"/>
                <w:sz w:val="15"/>
              </w:rPr>
              <w:t xml:space="preserve">What to monitor</w:t>
            </w:r>
          </w:p>
        </w:tc>
      </w:tr>
      <w:tr>
        <w:trPr>
          <w:cantSplit/>
        </w:trPr>
        <w:tc>
          <w:tcPr>
            <w:tcW w:type="dxa" w:w="2128"/>
          </w:tcPr>
          <w:p>
            <w:pPr>
              <w:pStyle w:val="Compact"/>
              <w:spacing w:after="0" w:before="0" w:line="240" w:lineRule="auto"/>
              <w:jc w:val="left"/>
            </w:pPr>
            <w:r>
              <w:rPr>
                <w:rFonts w:ascii="Arial" w:hAnsi="Arial"/>
                <w:sz w:val="15"/>
              </w:rPr>
              <w:t xml:space="preserve">Non-GAAP</w:t>
            </w:r>
          </w:p>
        </w:tc>
        <w:tc>
          <w:tcPr>
            <w:tcW w:type="dxa" w:w="3459"/>
          </w:tcPr>
          <w:p>
            <w:pPr>
              <w:pStyle w:val="Compact"/>
              <w:spacing w:after="0" w:before="0" w:line="240" w:lineRule="auto"/>
              <w:jc w:val="left"/>
            </w:pPr>
            <w:r>
              <w:rPr>
                <w:rFonts w:ascii="Arial" w:hAnsi="Arial"/>
                <w:sz w:val="15"/>
              </w:rPr>
              <w:t xml:space="preserve">Adjusted OP excludes recurring other expenses (JPY167bn cumulative FY3/22–26 [e])</w:t>
            </w:r>
          </w:p>
        </w:tc>
        <w:tc>
          <w:tcPr>
            <w:tcW w:type="dxa" w:w="1377"/>
          </w:tcPr>
          <w:p>
            <w:pPr>
              <w:pStyle w:val="Compact"/>
              <w:spacing w:after="0" w:before="0" w:line="240" w:lineRule="auto"/>
              <w:jc w:val="center"/>
            </w:pPr>
            <w:r>
              <w:rPr>
                <w:rFonts w:ascii="Arial" w:hAnsi="Arial"/>
                <w:sz w:val="15"/>
              </w:rPr>
              <w:t xml:space="preserve">High</w:t>
            </w:r>
          </w:p>
        </w:tc>
        <w:tc>
          <w:tcPr>
            <w:tcW w:type="dxa" w:w="3014"/>
          </w:tcPr>
          <w:p>
            <w:pPr>
              <w:pStyle w:val="Compact"/>
              <w:spacing w:after="0" w:before="0" w:line="240" w:lineRule="auto"/>
              <w:jc w:val="left"/>
            </w:pPr>
            <w:r>
              <w:rPr>
                <w:rFonts w:ascii="Arial" w:hAnsi="Arial"/>
                <w:sz w:val="15"/>
              </w:rPr>
              <w:t xml:space="preserve">Gap between adjusted OP and OP; FY3/27 guide ~JPY24bn</w:t>
            </w:r>
          </w:p>
        </w:tc>
      </w:tr>
      <w:tr>
        <w:trPr>
          <w:cantSplit/>
        </w:trPr>
        <w:tc>
          <w:tcPr>
            <w:tcW w:type="dxa" w:w="2128"/>
            <w:shd w:val="clear" w:color="auto" w:fill="F1F2F5"/>
          </w:tcPr>
          <w:p>
            <w:pPr>
              <w:pStyle w:val="Compact"/>
              <w:spacing w:after="0" w:before="0" w:line="240" w:lineRule="auto"/>
              <w:jc w:val="left"/>
            </w:pPr>
            <w:r>
              <w:rPr>
                <w:rFonts w:ascii="Arial" w:hAnsi="Arial"/>
                <w:sz w:val="15"/>
              </w:rPr>
              <w:t xml:space="preserve">Revenue recognition</w:t>
            </w:r>
          </w:p>
        </w:tc>
        <w:tc>
          <w:tcPr>
            <w:tcW w:type="dxa" w:w="3459"/>
            <w:shd w:val="clear" w:color="auto" w:fill="F1F2F5"/>
          </w:tcPr>
          <w:p>
            <w:pPr>
              <w:pStyle w:val="Compact"/>
              <w:spacing w:after="0" w:before="0" w:line="240" w:lineRule="auto"/>
              <w:jc w:val="left"/>
            </w:pPr>
            <w:r>
              <w:rPr>
                <w:rFonts w:ascii="Arial" w:hAnsi="Arial"/>
                <w:sz w:val="15"/>
              </w:rPr>
              <w:t xml:space="preserve">Sales-type leases recognised up front; lease receivables +59% in two years</w:t>
            </w:r>
          </w:p>
        </w:tc>
        <w:tc>
          <w:tcPr>
            <w:tcW w:type="dxa" w:w="1377"/>
            <w:shd w:val="clear" w:color="auto" w:fill="F1F2F5"/>
          </w:tcPr>
          <w:p>
            <w:pPr>
              <w:pStyle w:val="Compact"/>
              <w:spacing w:after="0" w:before="0" w:line="240" w:lineRule="auto"/>
              <w:jc w:val="center"/>
            </w:pPr>
            <w:r>
              <w:rPr>
                <w:rFonts w:ascii="Arial" w:hAnsi="Arial"/>
                <w:sz w:val="15"/>
              </w:rPr>
              <w:t xml:space="preserve">Medium</w:t>
            </w:r>
          </w:p>
        </w:tc>
        <w:tc>
          <w:tcPr>
            <w:tcW w:type="dxa" w:w="3014"/>
            <w:shd w:val="clear" w:color="auto" w:fill="F1F2F5"/>
          </w:tcPr>
          <w:p>
            <w:pPr>
              <w:pStyle w:val="Compact"/>
              <w:spacing w:after="0" w:before="0" w:line="240" w:lineRule="auto"/>
              <w:jc w:val="left"/>
            </w:pPr>
            <w:r>
              <w:rPr>
                <w:rFonts w:ascii="Arial" w:hAnsi="Arial"/>
                <w:sz w:val="15"/>
              </w:rPr>
              <w:t xml:space="preserve">Lease receivable growth vs revenue growth; credit losses</w:t>
            </w:r>
          </w:p>
        </w:tc>
      </w:tr>
      <w:tr>
        <w:trPr>
          <w:cantSplit/>
        </w:trPr>
        <w:tc>
          <w:tcPr>
            <w:tcW w:type="dxa" w:w="2128"/>
          </w:tcPr>
          <w:p>
            <w:pPr>
              <w:pStyle w:val="Compact"/>
              <w:spacing w:after="0" w:before="0" w:line="240" w:lineRule="auto"/>
              <w:jc w:val="left"/>
            </w:pPr>
            <w:r>
              <w:rPr>
                <w:rFonts w:ascii="Arial" w:hAnsi="Arial"/>
                <w:sz w:val="15"/>
              </w:rPr>
              <w:t xml:space="preserve">Working capital</w:t>
            </w:r>
          </w:p>
        </w:tc>
        <w:tc>
          <w:tcPr>
            <w:tcW w:type="dxa" w:w="3459"/>
          </w:tcPr>
          <w:p>
            <w:pPr>
              <w:pStyle w:val="Compact"/>
              <w:spacing w:after="0" w:before="0" w:line="240" w:lineRule="auto"/>
              <w:jc w:val="left"/>
            </w:pPr>
            <w:r>
              <w:rPr>
                <w:rFonts w:ascii="Arial" w:hAnsi="Arial"/>
                <w:sz w:val="15"/>
              </w:rPr>
              <w:t xml:space="preserve">Receivable days 86; inventory days ~240</w:t>
            </w:r>
          </w:p>
        </w:tc>
        <w:tc>
          <w:tcPr>
            <w:tcW w:type="dxa" w:w="1377"/>
          </w:tcPr>
          <w:p>
            <w:pPr>
              <w:pStyle w:val="Compact"/>
              <w:spacing w:after="0" w:before="0" w:line="240" w:lineRule="auto"/>
              <w:jc w:val="center"/>
            </w:pPr>
            <w:r>
              <w:rPr>
                <w:rFonts w:ascii="Arial" w:hAnsi="Arial"/>
                <w:sz w:val="15"/>
              </w:rPr>
              <w:t xml:space="preserve">Medium</w:t>
            </w:r>
          </w:p>
        </w:tc>
        <w:tc>
          <w:tcPr>
            <w:tcW w:type="dxa" w:w="3014"/>
          </w:tcPr>
          <w:p>
            <w:pPr>
              <w:pStyle w:val="Compact"/>
              <w:spacing w:after="0" w:before="0" w:line="240" w:lineRule="auto"/>
              <w:jc w:val="left"/>
            </w:pPr>
            <w:r>
              <w:rPr>
                <w:rFonts w:ascii="Arial" w:hAnsi="Arial"/>
                <w:sz w:val="15"/>
              </w:rPr>
              <w:t xml:space="preserve">2Q balance sheet; inventory write-downs</w:t>
            </w:r>
          </w:p>
        </w:tc>
      </w:tr>
      <w:tr>
        <w:trPr>
          <w:cantSplit/>
        </w:trPr>
        <w:tc>
          <w:tcPr>
            <w:tcW w:type="dxa" w:w="2128"/>
            <w:shd w:val="clear" w:color="auto" w:fill="F1F2F5"/>
          </w:tcPr>
          <w:p>
            <w:pPr>
              <w:pStyle w:val="Compact"/>
              <w:spacing w:after="0" w:before="0" w:line="240" w:lineRule="auto"/>
              <w:jc w:val="left"/>
            </w:pPr>
            <w:r>
              <w:rPr>
                <w:rFonts w:ascii="Arial" w:hAnsi="Arial"/>
                <w:sz w:val="15"/>
              </w:rPr>
              <w:t xml:space="preserve">Provisions</w:t>
            </w:r>
          </w:p>
        </w:tc>
        <w:tc>
          <w:tcPr>
            <w:tcW w:type="dxa" w:w="3459"/>
            <w:shd w:val="clear" w:color="auto" w:fill="F1F2F5"/>
          </w:tcPr>
          <w:p>
            <w:pPr>
              <w:pStyle w:val="Compact"/>
              <w:spacing w:after="0" w:before="0" w:line="240" w:lineRule="auto"/>
              <w:jc w:val="left"/>
            </w:pPr>
            <w:r>
              <w:rPr>
                <w:rFonts w:ascii="Arial" w:hAnsi="Arial"/>
                <w:sz w:val="15"/>
              </w:rPr>
              <w:t xml:space="preserve">FDA, recall and duodenoscope litigation provisions;</w:t>
            </w:r>
            <w:r>
              <w:rPr>
                <w:rFonts w:ascii="Arial" w:hAnsi="Arial"/>
                <w:sz w:val="15"/>
              </w:rPr>
              <w:t xml:space="preserve"> </w:t>
            </w:r>
            <w:r>
              <w:rPr>
                <w:rFonts w:ascii="Arial" w:hAnsi="Arial"/>
                <w:sz w:val="15"/>
              </w:rPr>
              <w:t xml:space="preserve">“</w:t>
            </w:r>
            <w:r>
              <w:rPr>
                <w:rFonts w:ascii="Arial" w:hAnsi="Arial"/>
                <w:sz w:val="15"/>
              </w:rPr>
              <w:t xml:space="preserve">no significant change</w:t>
            </w:r>
            <w:r>
              <w:rPr>
                <w:rFonts w:ascii="Arial" w:hAnsi="Arial"/>
                <w:sz w:val="15"/>
              </w:rPr>
              <w:t xml:space="preserve">”</w:t>
            </w:r>
            <w:r>
              <w:rPr>
                <w:rFonts w:ascii="Arial" w:hAnsi="Arial"/>
                <w:sz w:val="15"/>
              </w:rPr>
              <w:t xml:space="preserve"> </w:t>
            </w:r>
            <w:r>
              <w:rPr>
                <w:rFonts w:ascii="Arial" w:hAnsi="Arial"/>
                <w:sz w:val="15"/>
              </w:rPr>
              <w:t xml:space="preserve">disclosure</w:t>
            </w:r>
          </w:p>
        </w:tc>
        <w:tc>
          <w:tcPr>
            <w:tcW w:type="dxa" w:w="1377"/>
            <w:shd w:val="clear" w:color="auto" w:fill="F1F2F5"/>
          </w:tcPr>
          <w:p>
            <w:pPr>
              <w:pStyle w:val="Compact"/>
              <w:spacing w:after="0" w:before="0" w:line="240" w:lineRule="auto"/>
              <w:jc w:val="center"/>
            </w:pPr>
            <w:r>
              <w:rPr>
                <w:rFonts w:ascii="Arial" w:hAnsi="Arial"/>
                <w:sz w:val="15"/>
              </w:rPr>
              <w:t xml:space="preserve">Medium–high</w:t>
            </w:r>
          </w:p>
        </w:tc>
        <w:tc>
          <w:tcPr>
            <w:tcW w:type="dxa" w:w="3014"/>
            <w:shd w:val="clear" w:color="auto" w:fill="F1F2F5"/>
          </w:tcPr>
          <w:p>
            <w:pPr>
              <w:pStyle w:val="Compact"/>
              <w:spacing w:after="0" w:before="0" w:line="240" w:lineRule="auto"/>
              <w:jc w:val="left"/>
            </w:pPr>
            <w:r>
              <w:rPr>
                <w:rFonts w:ascii="Arial" w:hAnsi="Arial"/>
                <w:sz w:val="15"/>
              </w:rPr>
              <w:t xml:space="preserve">Provision movements after the Warning Letter</w:t>
            </w:r>
          </w:p>
        </w:tc>
      </w:tr>
      <w:tr>
        <w:trPr>
          <w:cantSplit/>
        </w:trPr>
        <w:tc>
          <w:tcPr>
            <w:tcW w:type="dxa" w:w="2128"/>
          </w:tcPr>
          <w:p>
            <w:pPr>
              <w:pStyle w:val="Compact"/>
              <w:spacing w:after="0" w:before="0" w:line="240" w:lineRule="auto"/>
              <w:jc w:val="left"/>
            </w:pPr>
            <w:r>
              <w:rPr>
                <w:rFonts w:ascii="Arial" w:hAnsi="Arial"/>
                <w:sz w:val="15"/>
              </w:rPr>
              <w:t xml:space="preserve">Capitalised development</w:t>
            </w:r>
          </w:p>
        </w:tc>
        <w:tc>
          <w:tcPr>
            <w:tcW w:type="dxa" w:w="3459"/>
          </w:tcPr>
          <w:p>
            <w:pPr>
              <w:pStyle w:val="Compact"/>
              <w:spacing w:after="0" w:before="0" w:line="240" w:lineRule="auto"/>
              <w:jc w:val="left"/>
            </w:pPr>
            <w:r>
              <w:rPr>
                <w:rFonts w:ascii="Arial" w:hAnsi="Arial"/>
                <w:sz w:val="15"/>
              </w:rPr>
              <w:t xml:space="preserve">Development-asset impairments (GIS +3.4bn, SIS +2.5bn y/y in FY3/26)</w:t>
            </w:r>
          </w:p>
        </w:tc>
        <w:tc>
          <w:tcPr>
            <w:tcW w:type="dxa" w:w="1377"/>
          </w:tcPr>
          <w:p>
            <w:pPr>
              <w:pStyle w:val="Compact"/>
              <w:spacing w:after="0" w:before="0" w:line="240" w:lineRule="auto"/>
              <w:jc w:val="center"/>
            </w:pPr>
            <w:r>
              <w:rPr>
                <w:rFonts w:ascii="Arial" w:hAnsi="Arial"/>
                <w:sz w:val="15"/>
              </w:rPr>
              <w:t xml:space="preserve">Medium</w:t>
            </w:r>
          </w:p>
        </w:tc>
        <w:tc>
          <w:tcPr>
            <w:tcW w:type="dxa" w:w="3014"/>
          </w:tcPr>
          <w:p>
            <w:pPr>
              <w:pStyle w:val="Compact"/>
              <w:spacing w:after="0" w:before="0" w:line="240" w:lineRule="auto"/>
              <w:jc w:val="left"/>
            </w:pPr>
            <w:r>
              <w:rPr>
                <w:rFonts w:ascii="Arial" w:hAnsi="Arial"/>
                <w:sz w:val="15"/>
              </w:rPr>
              <w:t xml:space="preserve">Capitalisation rate vs R&amp;D expense</w:t>
            </w:r>
          </w:p>
        </w:tc>
      </w:tr>
      <w:tr>
        <w:trPr>
          <w:cantSplit/>
        </w:trPr>
        <w:tc>
          <w:tcPr>
            <w:tcW w:type="dxa" w:w="2128"/>
            <w:shd w:val="clear" w:color="auto" w:fill="F1F2F5"/>
          </w:tcPr>
          <w:p>
            <w:pPr>
              <w:pStyle w:val="Compact"/>
              <w:spacing w:after="0" w:before="0" w:line="240" w:lineRule="auto"/>
              <w:jc w:val="left"/>
            </w:pPr>
            <w:r>
              <w:rPr>
                <w:rFonts w:ascii="Arial" w:hAnsi="Arial"/>
                <w:sz w:val="15"/>
              </w:rPr>
              <w:t xml:space="preserve">Goodwill</w:t>
            </w:r>
          </w:p>
        </w:tc>
        <w:tc>
          <w:tcPr>
            <w:tcW w:type="dxa" w:w="3459"/>
            <w:shd w:val="clear" w:color="auto" w:fill="F1F2F5"/>
          </w:tcPr>
          <w:p>
            <w:pPr>
              <w:pStyle w:val="Compact"/>
              <w:spacing w:after="0" w:before="0" w:line="240" w:lineRule="auto"/>
              <w:jc w:val="left"/>
            </w:pPr>
            <w:r>
              <w:rPr>
                <w:rFonts w:ascii="Arial" w:hAnsi="Arial"/>
                <w:sz w:val="15"/>
              </w:rPr>
              <w:t xml:space="preserve">JPY240bn after BioProtect (US$270m for US$14.5m of sales)</w:t>
            </w:r>
          </w:p>
        </w:tc>
        <w:tc>
          <w:tcPr>
            <w:tcW w:type="dxa" w:w="1377"/>
            <w:shd w:val="clear" w:color="auto" w:fill="F1F2F5"/>
          </w:tcPr>
          <w:p>
            <w:pPr>
              <w:pStyle w:val="Compact"/>
              <w:spacing w:after="0" w:before="0" w:line="240" w:lineRule="auto"/>
              <w:jc w:val="center"/>
            </w:pPr>
            <w:r>
              <w:rPr>
                <w:rFonts w:ascii="Arial" w:hAnsi="Arial"/>
                <w:sz w:val="15"/>
              </w:rPr>
              <w:t xml:space="preserve">Medium</w:t>
            </w:r>
          </w:p>
        </w:tc>
        <w:tc>
          <w:tcPr>
            <w:tcW w:type="dxa" w:w="3014"/>
            <w:shd w:val="clear" w:color="auto" w:fill="F1F2F5"/>
          </w:tcPr>
          <w:p>
            <w:pPr>
              <w:pStyle w:val="Compact"/>
              <w:spacing w:after="0" w:before="0" w:line="240" w:lineRule="auto"/>
              <w:jc w:val="left"/>
            </w:pPr>
            <w:r>
              <w:rPr>
                <w:rFonts w:ascii="Arial" w:hAnsi="Arial"/>
                <w:sz w:val="15"/>
              </w:rPr>
              <w:t xml:space="preserve">SIS goodwill impairment if the review ends in a sale below book (SIS segment assets JPY555bn)</w:t>
            </w:r>
          </w:p>
        </w:tc>
      </w:tr>
      <w:tr>
        <w:trPr>
          <w:cantSplit/>
        </w:trPr>
        <w:tc>
          <w:tcPr>
            <w:tcW w:type="dxa" w:w="2128"/>
          </w:tcPr>
          <w:p>
            <w:pPr>
              <w:pStyle w:val="Compact"/>
              <w:spacing w:after="0" w:before="0" w:line="240" w:lineRule="auto"/>
              <w:jc w:val="left"/>
            </w:pPr>
            <w:r>
              <w:rPr>
                <w:rFonts w:ascii="Arial" w:hAnsi="Arial"/>
                <w:sz w:val="15"/>
              </w:rPr>
              <w:t xml:space="preserve">Off-balance-sheet</w:t>
            </w:r>
          </w:p>
        </w:tc>
        <w:tc>
          <w:tcPr>
            <w:tcW w:type="dxa" w:w="3459"/>
          </w:tcPr>
          <w:p>
            <w:pPr>
              <w:pStyle w:val="Compact"/>
              <w:spacing w:after="0" w:before="0" w:line="240" w:lineRule="auto"/>
              <w:jc w:val="left"/>
            </w:pPr>
            <w:r>
              <w:rPr>
                <w:rFonts w:ascii="Arial" w:hAnsi="Arial"/>
                <w:sz w:val="15"/>
              </w:rPr>
              <w:t xml:space="preserve">Swan JV call/put options; up to US$458m of joint milestone funding</w:t>
            </w:r>
          </w:p>
        </w:tc>
        <w:tc>
          <w:tcPr>
            <w:tcW w:type="dxa" w:w="1377"/>
          </w:tcPr>
          <w:p>
            <w:pPr>
              <w:pStyle w:val="Compact"/>
              <w:spacing w:after="0" w:before="0" w:line="240" w:lineRule="auto"/>
              <w:jc w:val="center"/>
            </w:pPr>
            <w:r>
              <w:rPr>
                <w:rFonts w:ascii="Arial" w:hAnsi="Arial"/>
                <w:sz w:val="15"/>
              </w:rPr>
              <w:t xml:space="preserve">Low–medium</w:t>
            </w:r>
          </w:p>
        </w:tc>
        <w:tc>
          <w:tcPr>
            <w:tcW w:type="dxa" w:w="3014"/>
          </w:tcPr>
          <w:p>
            <w:pPr>
              <w:pStyle w:val="Compact"/>
              <w:spacing w:after="0" w:before="0" w:line="240" w:lineRule="auto"/>
              <w:jc w:val="left"/>
            </w:pPr>
            <w:r>
              <w:rPr>
                <w:rFonts w:ascii="Arial" w:hAnsi="Arial"/>
                <w:sz w:val="15"/>
              </w:rPr>
              <w:t xml:space="preserve">Option fair value; equity-method losses</w:t>
            </w:r>
          </w:p>
        </w:tc>
      </w:tr>
      <w:tr>
        <w:trPr>
          <w:cantSplit/>
        </w:trPr>
        <w:tc>
          <w:tcPr>
            <w:tcW w:type="dxa" w:w="2128"/>
            <w:shd w:val="clear" w:color="auto" w:fill="F1F2F5"/>
          </w:tcPr>
          <w:p>
            <w:pPr>
              <w:pStyle w:val="Compact"/>
              <w:spacing w:after="0" w:before="0" w:line="240" w:lineRule="auto"/>
              <w:jc w:val="left"/>
            </w:pPr>
            <w:r>
              <w:rPr>
                <w:rFonts w:ascii="Arial" w:hAnsi="Arial"/>
                <w:sz w:val="15"/>
              </w:rPr>
              <w:t xml:space="preserve">Tax</w:t>
            </w:r>
          </w:p>
        </w:tc>
        <w:tc>
          <w:tcPr>
            <w:tcW w:type="dxa" w:w="3459"/>
            <w:shd w:val="clear" w:color="auto" w:fill="F1F2F5"/>
          </w:tcPr>
          <w:p>
            <w:pPr>
              <w:pStyle w:val="Compact"/>
              <w:spacing w:after="0" w:before="0" w:line="240" w:lineRule="auto"/>
              <w:jc w:val="left"/>
            </w:pPr>
            <w:r>
              <w:rPr>
                <w:rFonts w:ascii="Arial" w:hAnsi="Arial"/>
                <w:sz w:val="15"/>
              </w:rPr>
              <w:t xml:space="preserve">FY3/26 cash taxes ~JPY62bn (above P&amp;L tax) depressed CFO</w:t>
            </w:r>
          </w:p>
        </w:tc>
        <w:tc>
          <w:tcPr>
            <w:tcW w:type="dxa" w:w="1377"/>
            <w:shd w:val="clear" w:color="auto" w:fill="F1F2F5"/>
          </w:tcPr>
          <w:p>
            <w:pPr>
              <w:pStyle w:val="Compact"/>
              <w:spacing w:after="0" w:before="0" w:line="240" w:lineRule="auto"/>
              <w:jc w:val="center"/>
            </w:pPr>
            <w:r>
              <w:rPr>
                <w:rFonts w:ascii="Arial" w:hAnsi="Arial"/>
                <w:sz w:val="15"/>
              </w:rPr>
              <w:t xml:space="preserve">Low</w:t>
            </w:r>
          </w:p>
        </w:tc>
        <w:tc>
          <w:tcPr>
            <w:tcW w:type="dxa" w:w="3014"/>
            <w:shd w:val="clear" w:color="auto" w:fill="F1F2F5"/>
          </w:tcPr>
          <w:p>
            <w:pPr>
              <w:pStyle w:val="Compact"/>
              <w:spacing w:after="0" w:before="0" w:line="240" w:lineRule="auto"/>
              <w:jc w:val="left"/>
            </w:pPr>
            <w:r>
              <w:rPr>
                <w:rFonts w:ascii="Arial" w:hAnsi="Arial"/>
                <w:sz w:val="15"/>
              </w:rPr>
              <w:t xml:space="preserve">Normalisation in FY3/27</w:t>
            </w:r>
          </w:p>
        </w:tc>
      </w:tr>
      <w:tr>
        <w:trPr>
          <w:cantSplit/>
        </w:trPr>
        <w:tc>
          <w:tcPr>
            <w:tcW w:type="dxa" w:w="2128"/>
          </w:tcPr>
          <w:p>
            <w:pPr>
              <w:pStyle w:val="Compact"/>
              <w:spacing w:after="0" w:before="0" w:line="240" w:lineRule="auto"/>
              <w:jc w:val="left"/>
            </w:pPr>
            <w:r>
              <w:rPr>
                <w:rFonts w:ascii="Arial" w:hAnsi="Arial"/>
                <w:sz w:val="15"/>
              </w:rPr>
              <w:t xml:space="preserve">Related parties</w:t>
            </w:r>
          </w:p>
        </w:tc>
        <w:tc>
          <w:tcPr>
            <w:tcW w:type="dxa" w:w="3459"/>
          </w:tcPr>
          <w:p>
            <w:pPr>
              <w:pStyle w:val="Compact"/>
              <w:spacing w:after="0" w:before="0" w:line="240" w:lineRule="auto"/>
              <w:jc w:val="left"/>
            </w:pPr>
            <w:r>
              <w:rPr>
                <w:rFonts w:ascii="Arial" w:hAnsi="Arial"/>
                <w:sz w:val="15"/>
              </w:rPr>
              <w:t xml:space="preserve">SOMED (Sony) JV; Evident licence</w:t>
            </w:r>
          </w:p>
        </w:tc>
        <w:tc>
          <w:tcPr>
            <w:tcW w:type="dxa" w:w="1377"/>
          </w:tcPr>
          <w:p>
            <w:pPr>
              <w:pStyle w:val="Compact"/>
              <w:spacing w:after="0" w:before="0" w:line="240" w:lineRule="auto"/>
              <w:jc w:val="center"/>
            </w:pPr>
            <w:r>
              <w:rPr>
                <w:rFonts w:ascii="Arial" w:hAnsi="Arial"/>
                <w:sz w:val="15"/>
              </w:rPr>
              <w:t xml:space="preserve">Low</w:t>
            </w:r>
          </w:p>
        </w:tc>
        <w:tc>
          <w:tcPr>
            <w:tcW w:type="dxa" w:w="3014"/>
          </w:tcPr>
          <w:p>
            <w:pPr>
              <w:pStyle w:val="Compact"/>
              <w:spacing w:after="0" w:before="0" w:line="240" w:lineRule="auto"/>
              <w:jc w:val="left"/>
            </w:pPr>
            <w:r>
              <w:rPr>
                <w:rFonts w:ascii="Arial" w:hAnsi="Arial"/>
                <w:sz w:val="15"/>
              </w:rPr>
              <w:t xml:space="preserve">Yuho related-party note (not reviewed)</w:t>
            </w:r>
          </w:p>
        </w:tc>
      </w:tr>
      <w:tr>
        <w:trPr>
          <w:cantSplit/>
        </w:trPr>
        <w:tc>
          <w:tcPr>
            <w:tcW w:type="dxa" w:w="2128"/>
            <w:shd w:val="clear" w:color="auto" w:fill="F1F2F5"/>
          </w:tcPr>
          <w:p>
            <w:pPr>
              <w:pStyle w:val="Compact"/>
              <w:spacing w:after="0" w:before="0" w:line="240" w:lineRule="auto"/>
              <w:jc w:val="left"/>
            </w:pPr>
            <w:r>
              <w:rPr>
                <w:rFonts w:ascii="Arial" w:hAnsi="Arial"/>
                <w:sz w:val="15"/>
              </w:rPr>
              <w:t xml:space="preserve">Governance legacy</w:t>
            </w:r>
          </w:p>
        </w:tc>
        <w:tc>
          <w:tcPr>
            <w:tcW w:type="dxa" w:w="3459"/>
            <w:shd w:val="clear" w:color="auto" w:fill="F1F2F5"/>
          </w:tcPr>
          <w:p>
            <w:pPr>
              <w:pStyle w:val="Compact"/>
              <w:spacing w:after="0" w:before="0" w:line="240" w:lineRule="auto"/>
              <w:jc w:val="left"/>
            </w:pPr>
            <w:r>
              <w:rPr>
                <w:rFonts w:ascii="Arial" w:hAnsi="Arial"/>
                <w:sz w:val="15"/>
              </w:rPr>
              <w:t xml:space="preserve">2011</w:t>
            </w:r>
            <w:r>
              <w:rPr>
                <w:rFonts w:ascii="Arial" w:hAnsi="Arial"/>
                <w:sz w:val="15"/>
              </w:rPr>
              <w:t xml:space="preserve"> </w:t>
            </w:r>
            <w:r>
              <w:rPr>
                <w:rFonts w:ascii="Arial" w:hAnsi="Arial"/>
                <w:sz w:val="15"/>
              </w:rPr>
              <w:t xml:space="preserve">“</w:t>
            </w:r>
            <w:r>
              <w:rPr>
                <w:rFonts w:ascii="Arial" w:hAnsi="Arial"/>
                <w:sz w:val="15"/>
              </w:rPr>
              <w:t xml:space="preserve">tobashi</w:t>
            </w:r>
            <w:r>
              <w:rPr>
                <w:rFonts w:ascii="Arial" w:hAnsi="Arial"/>
                <w:sz w:val="15"/>
              </w:rPr>
              <w:t xml:space="preserve">”</w:t>
            </w:r>
            <w:r>
              <w:rPr>
                <w:rFonts w:ascii="Arial" w:hAnsi="Arial"/>
                <w:sz w:val="15"/>
              </w:rPr>
              <w:t xml:space="preserve"> </w:t>
            </w:r>
            <w:r>
              <w:rPr>
                <w:rFonts w:ascii="Arial" w:hAnsi="Arial"/>
                <w:sz w:val="15"/>
              </w:rPr>
              <w:t xml:space="preserve">fraud (~JPY118bn of hidden losses); Shenzhen allegation (2016–18)</w:t>
            </w:r>
          </w:p>
        </w:tc>
        <w:tc>
          <w:tcPr>
            <w:tcW w:type="dxa" w:w="1377"/>
            <w:shd w:val="clear" w:color="auto" w:fill="F1F2F5"/>
          </w:tcPr>
          <w:p>
            <w:pPr>
              <w:pStyle w:val="Compact"/>
              <w:spacing w:after="0" w:before="0" w:line="240" w:lineRule="auto"/>
              <w:jc w:val="center"/>
            </w:pPr>
            <w:r>
              <w:rPr>
                <w:rFonts w:ascii="Arial" w:hAnsi="Arial"/>
                <w:sz w:val="15"/>
              </w:rPr>
              <w:t xml:space="preserve">Low today</w:t>
            </w:r>
          </w:p>
        </w:tc>
        <w:tc>
          <w:tcPr>
            <w:tcW w:type="dxa" w:w="3014"/>
            <w:shd w:val="clear" w:color="auto" w:fill="F1F2F5"/>
          </w:tcPr>
          <w:p>
            <w:pPr>
              <w:pStyle w:val="Compact"/>
              <w:spacing w:after="0" w:before="0" w:line="240" w:lineRule="auto"/>
              <w:jc w:val="left"/>
            </w:pPr>
            <w:r>
              <w:rPr>
                <w:rFonts w:ascii="Arial" w:hAnsi="Arial"/>
                <w:sz w:val="15"/>
              </w:rPr>
              <w:t xml:space="preserve">Historical; cited by bears for a governance discount</w:t>
            </w:r>
          </w:p>
        </w:tc>
      </w:tr>
    </w:tbl>
    <w:p>
      <w:pPr>
        <w:pStyle w:val="BodyText"/>
      </w:pPr>
      <w:r>
        <w:rPr>
          <w:bCs/>
          <w:b/>
        </w:rPr>
        <w:t xml:space="preserve">A potential SIS sale below book is an accounting risk but an economic positive.</w:t>
      </w:r>
      <w:r>
        <w:t xml:space="preserve"> </w:t>
      </w:r>
      <w:r>
        <w:t xml:space="preserve">SIS segment assets are JPY555bn against our base-case value of ~JPY390bn. Selling at our base value would trigger a book loss of ~JPY150–170bn [e] while raising per-share value. The market may initially focus on the headline loss.</w:t>
      </w:r>
    </w:p>
    <w:bookmarkEnd w:id="135"/>
    <w:bookmarkEnd w:id="136"/>
    <w:bookmarkStart w:id="139" w:name="X504b81d5fb94c61f27644976a2d55666a18e6c6"/>
    <w:p>
      <w:pPr>
        <w:pStyle w:val="Heading1"/>
      </w:pPr>
      <w:r>
        <w:t xml:space="preserve">Timeline of key events and catalyst calendar</w:t>
      </w:r>
    </w:p>
    <w:bookmarkStart w:id="137" w:name="key-past-events"/>
    <w:p>
      <w:pPr>
        <w:pStyle w:val="Heading2"/>
      </w:pPr>
      <w:r>
        <w:t xml:space="preserve">Key past events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1845"/>
        <w:gridCol w:w="5242"/>
        <w:gridCol w:w="2890"/>
      </w:tblGrid>
      <w:tr>
        <w:trPr>
          <w:tblHeader w:val="true"/>
          <w:tblHeader w:val="true"/>
          <w:cantSplit/>
        </w:trPr>
        <w:tc>
          <w:tcPr>
            <w:tcW w:type="dxa" w:w="1845"/>
            <w:shd w:val="clear" w:color="auto" w:fill="13213F"/>
          </w:tcPr>
          <w:p>
            <w:pPr>
              <w:pStyle w:val="Compact"/>
              <w:spacing w:after="0" w:before="0" w:line="240" w:lineRule="auto"/>
              <w:jc w:val="left"/>
            </w:pPr>
            <w:r>
              <w:rPr>
                <w:rFonts w:ascii="Arial" w:hAnsi="Arial"/>
                <w:b/>
                <w:color w:val="FFFFFF"/>
                <w:sz w:val="15"/>
              </w:rPr>
              <w:t xml:space="preserve">Date</w:t>
            </w:r>
          </w:p>
        </w:tc>
        <w:tc>
          <w:tcPr>
            <w:tcW w:type="dxa" w:w="5242"/>
            <w:shd w:val="clear" w:color="auto" w:fill="13213F"/>
          </w:tcPr>
          <w:p>
            <w:pPr>
              <w:pStyle w:val="Compact"/>
              <w:spacing w:after="0" w:before="0" w:line="240" w:lineRule="auto"/>
              <w:jc w:val="left"/>
            </w:pPr>
            <w:r>
              <w:rPr>
                <w:rFonts w:ascii="Arial" w:hAnsi="Arial"/>
                <w:b/>
                <w:color w:val="FFFFFF"/>
                <w:sz w:val="15"/>
              </w:rPr>
              <w:t xml:space="preserve">Event</w:t>
            </w:r>
          </w:p>
        </w:tc>
        <w:tc>
          <w:tcPr>
            <w:tcW w:type="dxa" w:w="2890"/>
            <w:shd w:val="clear" w:color="auto" w:fill="13213F"/>
          </w:tcPr>
          <w:p>
            <w:pPr>
              <w:pStyle w:val="Compact"/>
              <w:spacing w:after="0" w:before="0" w:line="240" w:lineRule="auto"/>
              <w:jc w:val="left"/>
            </w:pPr>
            <w:r>
              <w:rPr>
                <w:rFonts w:ascii="Arial" w:hAnsi="Arial"/>
                <w:b/>
                <w:color w:val="FFFFFF"/>
                <w:sz w:val="15"/>
              </w:rPr>
              <w:t xml:space="preserve">Share price impact</w:t>
            </w:r>
          </w:p>
        </w:tc>
      </w:tr>
      <w:tr>
        <w:trPr>
          <w:cantSplit/>
        </w:trPr>
        <w:tc>
          <w:tcPr>
            <w:tcW w:type="dxa" w:w="1845"/>
          </w:tcPr>
          <w:p>
            <w:pPr>
              <w:pStyle w:val="Compact"/>
              <w:spacing w:after="0" w:before="0" w:line="240" w:lineRule="auto"/>
              <w:jc w:val="left"/>
            </w:pPr>
            <w:r>
              <w:rPr>
                <w:rFonts w:ascii="Arial" w:hAnsi="Arial"/>
                <w:sz w:val="15"/>
              </w:rPr>
              <w:t xml:space="preserve">Oct–Nov 2011</w:t>
            </w:r>
          </w:p>
        </w:tc>
        <w:tc>
          <w:tcPr>
            <w:tcW w:type="dxa" w:w="5242"/>
          </w:tcPr>
          <w:p>
            <w:pPr>
              <w:pStyle w:val="Compact"/>
              <w:spacing w:after="0" w:before="0" w:line="240" w:lineRule="auto"/>
              <w:jc w:val="left"/>
            </w:pPr>
            <w:r>
              <w:rPr>
                <w:rFonts w:ascii="Arial" w:hAnsi="Arial"/>
                <w:sz w:val="15"/>
              </w:rPr>
              <w:t xml:space="preserve">Woodford dismissal;</w:t>
            </w:r>
            <w:r>
              <w:rPr>
                <w:rFonts w:ascii="Arial" w:hAnsi="Arial"/>
                <w:sz w:val="15"/>
              </w:rPr>
              <w:t xml:space="preserve"> </w:t>
            </w:r>
            <w:r>
              <w:rPr>
                <w:rFonts w:ascii="Arial" w:hAnsi="Arial"/>
                <w:sz w:val="15"/>
              </w:rPr>
              <w:t xml:space="preserve">“</w:t>
            </w:r>
            <w:r>
              <w:rPr>
                <w:rFonts w:ascii="Arial" w:hAnsi="Arial"/>
                <w:sz w:val="15"/>
              </w:rPr>
              <w:t xml:space="preserve">tobashi</w:t>
            </w:r>
            <w:r>
              <w:rPr>
                <w:rFonts w:ascii="Arial" w:hAnsi="Arial"/>
                <w:sz w:val="15"/>
              </w:rPr>
              <w:t xml:space="preserve">”</w:t>
            </w:r>
            <w:r>
              <w:rPr>
                <w:rFonts w:ascii="Arial" w:hAnsi="Arial"/>
                <w:sz w:val="15"/>
              </w:rPr>
              <w:t xml:space="preserve"> </w:t>
            </w:r>
            <w:r>
              <w:rPr>
                <w:rFonts w:ascii="Arial" w:hAnsi="Arial"/>
                <w:sz w:val="15"/>
              </w:rPr>
              <w:t xml:space="preserve">loss concealment admitted</w:t>
            </w:r>
          </w:p>
        </w:tc>
        <w:tc>
          <w:tcPr>
            <w:tcW w:type="dxa" w:w="2890"/>
          </w:tcPr>
          <w:p>
            <w:pPr>
              <w:pStyle w:val="Compact"/>
              <w:spacing w:after="0" w:before="0" w:line="240" w:lineRule="auto"/>
              <w:jc w:val="left"/>
            </w:pPr>
            <w:r>
              <w:rPr>
                <w:rFonts w:ascii="Arial" w:hAnsi="Arial"/>
                <w:sz w:val="15"/>
              </w:rPr>
              <w:t xml:space="preserve">~-80% at trough</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Sep-2012</w:t>
            </w:r>
          </w:p>
        </w:tc>
        <w:tc>
          <w:tcPr>
            <w:tcW w:type="dxa" w:w="5242"/>
            <w:shd w:val="clear" w:color="auto" w:fill="F1F2F5"/>
          </w:tcPr>
          <w:p>
            <w:pPr>
              <w:pStyle w:val="Compact"/>
              <w:spacing w:after="0" w:before="0" w:line="240" w:lineRule="auto"/>
              <w:jc w:val="left"/>
            </w:pPr>
            <w:r>
              <w:rPr>
                <w:rFonts w:ascii="Arial" w:hAnsi="Arial"/>
                <w:sz w:val="15"/>
              </w:rPr>
              <w:t xml:space="preserve">Sony capital alliance (~JPY50bn for ~11%); SOMED JV</w:t>
            </w:r>
          </w:p>
        </w:tc>
        <w:tc>
          <w:tcPr>
            <w:tcW w:type="dxa" w:w="2890"/>
            <w:shd w:val="clear" w:color="auto" w:fill="F1F2F5"/>
          </w:tcPr>
          <w:p>
            <w:pPr>
              <w:pStyle w:val="Compact"/>
              <w:spacing w:after="0" w:before="0" w:line="240" w:lineRule="auto"/>
              <w:jc w:val="left"/>
            </w:pPr>
            <w:r>
              <w:rPr>
                <w:rFonts w:ascii="Arial" w:hAnsi="Arial"/>
                <w:sz w:val="15"/>
              </w:rPr>
              <w:t xml:space="preserve">Recapitalisation</w:t>
            </w:r>
          </w:p>
        </w:tc>
      </w:tr>
      <w:tr>
        <w:trPr>
          <w:cantSplit/>
        </w:trPr>
        <w:tc>
          <w:tcPr>
            <w:tcW w:type="dxa" w:w="1845"/>
          </w:tcPr>
          <w:p>
            <w:pPr>
              <w:pStyle w:val="Compact"/>
              <w:spacing w:after="0" w:before="0" w:line="240" w:lineRule="auto"/>
              <w:jc w:val="left"/>
            </w:pPr>
            <w:r>
              <w:rPr>
                <w:rFonts w:ascii="Arial" w:hAnsi="Arial"/>
                <w:sz w:val="15"/>
              </w:rPr>
              <w:t xml:space="preserve">2015–18</w:t>
            </w:r>
          </w:p>
        </w:tc>
        <w:tc>
          <w:tcPr>
            <w:tcW w:type="dxa" w:w="5242"/>
          </w:tcPr>
          <w:p>
            <w:pPr>
              <w:pStyle w:val="Compact"/>
              <w:spacing w:after="0" w:before="0" w:line="240" w:lineRule="auto"/>
              <w:jc w:val="left"/>
            </w:pPr>
            <w:r>
              <w:rPr>
                <w:rFonts w:ascii="Arial" w:hAnsi="Arial"/>
                <w:sz w:val="15"/>
              </w:rPr>
              <w:t xml:space="preserve">US duodenoscope infections; DOJ FCPA/AKS settlement (2016) [u]; guilty plea (2018) [u]</w:t>
            </w:r>
          </w:p>
        </w:tc>
        <w:tc>
          <w:tcPr>
            <w:tcW w:type="dxa" w:w="2890"/>
          </w:tcPr>
          <w:p>
            <w:pPr>
              <w:pStyle w:val="Compact"/>
              <w:spacing w:after="0" w:before="0" w:line="240" w:lineRule="auto"/>
              <w:jc w:val="left"/>
            </w:pPr>
            <w:r>
              <w:rPr>
                <w:rFonts w:ascii="Arial" w:hAnsi="Arial"/>
                <w:sz w:val="15"/>
              </w:rPr>
              <w:t xml:space="preserve">–</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11-Jan-2019</w:t>
            </w:r>
          </w:p>
        </w:tc>
        <w:tc>
          <w:tcPr>
            <w:tcW w:type="dxa" w:w="5242"/>
            <w:shd w:val="clear" w:color="auto" w:fill="F1F2F5"/>
          </w:tcPr>
          <w:p>
            <w:pPr>
              <w:pStyle w:val="Compact"/>
              <w:spacing w:after="0" w:before="0" w:line="240" w:lineRule="auto"/>
              <w:jc w:val="left"/>
            </w:pPr>
            <w:r>
              <w:rPr>
                <w:bCs/>
                <w:rFonts w:ascii="Arial" w:hAnsi="Arial"/>
                <w:b/>
                <w:sz w:val="15"/>
              </w:rPr>
              <w:t xml:space="preserve">Transform Olympus</w:t>
            </w:r>
            <w:r>
              <w:rPr>
                <w:rFonts w:ascii="Arial" w:hAnsi="Arial"/>
                <w:sz w:val="15"/>
              </w:rPr>
              <w:t xml:space="preserve"> </w:t>
            </w:r>
            <w:r>
              <w:rPr>
                <w:rFonts w:ascii="Arial" w:hAnsi="Arial"/>
                <w:sz w:val="15"/>
              </w:rPr>
              <w:t xml:space="preserve">with ValueAct (Hale, Beasley join the board in Jun-2019)</w:t>
            </w:r>
          </w:p>
        </w:tc>
        <w:tc>
          <w:tcPr>
            <w:tcW w:type="dxa" w:w="2890"/>
            <w:shd w:val="clear" w:color="auto" w:fill="F1F2F5"/>
          </w:tcPr>
          <w:p>
            <w:pPr>
              <w:pStyle w:val="Compact"/>
              <w:spacing w:after="0" w:before="0" w:line="240" w:lineRule="auto"/>
              <w:jc w:val="left"/>
            </w:pPr>
            <w:r>
              <w:rPr>
                <w:rFonts w:ascii="Arial" w:hAnsi="Arial"/>
                <w:sz w:val="15"/>
              </w:rPr>
              <w:t xml:space="preserve">+41.5% in 2 weeks</w:t>
            </w:r>
          </w:p>
        </w:tc>
      </w:tr>
      <w:tr>
        <w:trPr>
          <w:cantSplit/>
        </w:trPr>
        <w:tc>
          <w:tcPr>
            <w:tcW w:type="dxa" w:w="1845"/>
          </w:tcPr>
          <w:p>
            <w:pPr>
              <w:pStyle w:val="Compact"/>
              <w:spacing w:after="0" w:before="0" w:line="240" w:lineRule="auto"/>
              <w:jc w:val="left"/>
            </w:pPr>
            <w:r>
              <w:rPr>
                <w:rFonts w:ascii="Arial" w:hAnsi="Arial"/>
                <w:sz w:val="15"/>
              </w:rPr>
              <w:t xml:space="preserve">1-Jan-2021</w:t>
            </w:r>
          </w:p>
        </w:tc>
        <w:tc>
          <w:tcPr>
            <w:tcW w:type="dxa" w:w="5242"/>
          </w:tcPr>
          <w:p>
            <w:pPr>
              <w:pStyle w:val="Compact"/>
              <w:spacing w:after="0" w:before="0" w:line="240" w:lineRule="auto"/>
              <w:jc w:val="left"/>
            </w:pPr>
            <w:r>
              <w:rPr>
                <w:rFonts w:ascii="Arial" w:hAnsi="Arial"/>
                <w:sz w:val="15"/>
              </w:rPr>
              <w:t xml:space="preserve">Cameras transferred to JIP (OM Digital Solutions)</w:t>
            </w:r>
          </w:p>
        </w:tc>
        <w:tc>
          <w:tcPr>
            <w:tcW w:type="dxa" w:w="2890"/>
          </w:tcPr>
          <w:p>
            <w:pPr>
              <w:pStyle w:val="Compact"/>
              <w:spacing w:after="0" w:before="0" w:line="240" w:lineRule="auto"/>
              <w:jc w:val="left"/>
            </w:pPr>
            <w:r>
              <w:rPr>
                <w:rFonts w:ascii="Arial" w:hAnsi="Arial"/>
                <w:sz w:val="15"/>
              </w:rPr>
              <w:t xml:space="preserve">–</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29-Aug-2022</w:t>
            </w:r>
          </w:p>
        </w:tc>
        <w:tc>
          <w:tcPr>
            <w:tcW w:type="dxa" w:w="5242"/>
            <w:shd w:val="clear" w:color="auto" w:fill="F1F2F5"/>
          </w:tcPr>
          <w:p>
            <w:pPr>
              <w:pStyle w:val="Compact"/>
              <w:spacing w:after="0" w:before="0" w:line="240" w:lineRule="auto"/>
              <w:jc w:val="left"/>
            </w:pPr>
            <w:r>
              <w:rPr>
                <w:bCs/>
                <w:rFonts w:ascii="Arial" w:hAnsi="Arial"/>
                <w:b/>
                <w:sz w:val="15"/>
              </w:rPr>
              <w:t xml:space="preserve">Evident sold to Bain (~JPY430bn)</w:t>
            </w:r>
            <w:r>
              <w:rPr>
                <w:rFonts w:ascii="Arial" w:hAnsi="Arial"/>
                <w:sz w:val="15"/>
              </w:rPr>
              <w:t xml:space="preserve">; closed Apr-2023</w:t>
            </w:r>
          </w:p>
        </w:tc>
        <w:tc>
          <w:tcPr>
            <w:tcW w:type="dxa" w:w="2890"/>
            <w:shd w:val="clear" w:color="auto" w:fill="F1F2F5"/>
          </w:tcPr>
          <w:p>
            <w:pPr>
              <w:pStyle w:val="Compact"/>
              <w:spacing w:after="0" w:before="0" w:line="240" w:lineRule="auto"/>
              <w:jc w:val="left"/>
            </w:pPr>
            <w:r>
              <w:rPr>
                <w:rFonts w:ascii="Arial" w:hAnsi="Arial"/>
                <w:sz w:val="15"/>
              </w:rPr>
              <w:t xml:space="preserve">5-yr high JPY3,177 (Sep-22)</w:t>
            </w:r>
          </w:p>
        </w:tc>
      </w:tr>
      <w:tr>
        <w:trPr>
          <w:cantSplit/>
        </w:trPr>
        <w:tc>
          <w:tcPr>
            <w:tcW w:type="dxa" w:w="1845"/>
          </w:tcPr>
          <w:p>
            <w:pPr>
              <w:pStyle w:val="Compact"/>
              <w:spacing w:after="0" w:before="0" w:line="240" w:lineRule="auto"/>
              <w:jc w:val="left"/>
            </w:pPr>
            <w:r>
              <w:rPr>
                <w:rFonts w:ascii="Arial" w:hAnsi="Arial"/>
                <w:sz w:val="15"/>
              </w:rPr>
              <w:t xml:space="preserve">Nov–Dec 2022</w:t>
            </w:r>
          </w:p>
        </w:tc>
        <w:tc>
          <w:tcPr>
            <w:tcW w:type="dxa" w:w="5242"/>
          </w:tcPr>
          <w:p>
            <w:pPr>
              <w:pStyle w:val="Compact"/>
              <w:spacing w:after="0" w:before="0" w:line="240" w:lineRule="auto"/>
              <w:jc w:val="left"/>
            </w:pPr>
            <w:r>
              <w:rPr>
                <w:rFonts w:ascii="Arial" w:hAnsi="Arial"/>
                <w:sz w:val="15"/>
              </w:rPr>
              <w:t xml:space="preserve">FDA Warning Letters (Aizu, Hachioji)</w:t>
            </w:r>
          </w:p>
        </w:tc>
        <w:tc>
          <w:tcPr>
            <w:tcW w:type="dxa" w:w="2890"/>
          </w:tcPr>
          <w:p>
            <w:pPr>
              <w:pStyle w:val="Compact"/>
              <w:spacing w:after="0" w:before="0" w:line="240" w:lineRule="auto"/>
              <w:jc w:val="left"/>
            </w:pPr>
            <w:r>
              <w:rPr>
                <w:rFonts w:ascii="Arial" w:hAnsi="Arial"/>
                <w:sz w:val="15"/>
              </w:rPr>
              <w:t xml:space="preserve">-29% Nov-22 to Mar-23</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Sep-2023</w:t>
            </w:r>
          </w:p>
        </w:tc>
        <w:tc>
          <w:tcPr>
            <w:tcW w:type="dxa" w:w="5242"/>
            <w:shd w:val="clear" w:color="auto" w:fill="F1F2F5"/>
          </w:tcPr>
          <w:p>
            <w:pPr>
              <w:pStyle w:val="Compact"/>
              <w:spacing w:after="0" w:before="0" w:line="240" w:lineRule="auto"/>
              <w:jc w:val="left"/>
            </w:pPr>
            <w:r>
              <w:rPr>
                <w:rFonts w:ascii="Arial" w:hAnsi="Arial"/>
                <w:sz w:val="15"/>
              </w:rPr>
              <w:t xml:space="preserve">Veran product line terminated (JPY52bn loss)</w:t>
            </w:r>
          </w:p>
        </w:tc>
        <w:tc>
          <w:tcPr>
            <w:tcW w:type="dxa" w:w="2890"/>
            <w:shd w:val="clear" w:color="auto" w:fill="F1F2F5"/>
          </w:tcPr>
          <w:p>
            <w:pPr>
              <w:pStyle w:val="Compact"/>
              <w:spacing w:after="0" w:before="0" w:line="240" w:lineRule="auto"/>
              <w:jc w:val="left"/>
            </w:pPr>
            <w:r>
              <w:rPr>
                <w:rFonts w:ascii="Arial" w:hAnsi="Arial"/>
                <w:sz w:val="15"/>
              </w:rPr>
              <w:t xml:space="preserve">-3.9%</w:t>
            </w:r>
          </w:p>
        </w:tc>
      </w:tr>
      <w:tr>
        <w:trPr>
          <w:cantSplit/>
        </w:trPr>
        <w:tc>
          <w:tcPr>
            <w:tcW w:type="dxa" w:w="1845"/>
          </w:tcPr>
          <w:p>
            <w:pPr>
              <w:pStyle w:val="Compact"/>
              <w:spacing w:after="0" w:before="0" w:line="240" w:lineRule="auto"/>
              <w:jc w:val="left"/>
            </w:pPr>
            <w:r>
              <w:rPr>
                <w:rFonts w:ascii="Arial" w:hAnsi="Arial"/>
                <w:sz w:val="15"/>
              </w:rPr>
              <w:t xml:space="preserve">Mar-2024</w:t>
            </w:r>
          </w:p>
        </w:tc>
        <w:tc>
          <w:tcPr>
            <w:tcW w:type="dxa" w:w="5242"/>
          </w:tcPr>
          <w:p>
            <w:pPr>
              <w:pStyle w:val="Compact"/>
              <w:spacing w:after="0" w:before="0" w:line="240" w:lineRule="auto"/>
              <w:jc w:val="left"/>
            </w:pPr>
            <w:r>
              <w:rPr>
                <w:rFonts w:ascii="Arial" w:hAnsi="Arial"/>
                <w:sz w:val="15"/>
              </w:rPr>
              <w:t xml:space="preserve">Taewoong acquisition rescinded</w:t>
            </w:r>
          </w:p>
        </w:tc>
        <w:tc>
          <w:tcPr>
            <w:tcW w:type="dxa" w:w="2890"/>
          </w:tcPr>
          <w:p>
            <w:pPr>
              <w:pStyle w:val="Compact"/>
              <w:spacing w:after="0" w:before="0" w:line="240" w:lineRule="auto"/>
              <w:jc w:val="left"/>
            </w:pPr>
            <w:r>
              <w:rPr>
                <w:rFonts w:ascii="Arial" w:hAnsi="Arial"/>
                <w:sz w:val="15"/>
              </w:rPr>
              <w:t xml:space="preserve">–</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28-Oct-2024</w:t>
            </w:r>
          </w:p>
        </w:tc>
        <w:tc>
          <w:tcPr>
            <w:tcW w:type="dxa" w:w="5242"/>
            <w:shd w:val="clear" w:color="auto" w:fill="F1F2F5"/>
          </w:tcPr>
          <w:p>
            <w:pPr>
              <w:pStyle w:val="Compact"/>
              <w:spacing w:after="0" w:before="0" w:line="240" w:lineRule="auto"/>
              <w:jc w:val="left"/>
            </w:pPr>
            <w:r>
              <w:rPr>
                <w:bCs/>
                <w:rFonts w:ascii="Arial" w:hAnsi="Arial"/>
                <w:b/>
                <w:sz w:val="15"/>
              </w:rPr>
              <w:t xml:space="preserve">CEO Kaufmann resigns</w:t>
            </w:r>
            <w:r>
              <w:rPr>
                <w:rFonts w:ascii="Arial" w:hAnsi="Arial"/>
                <w:sz w:val="15"/>
              </w:rPr>
              <w:t xml:space="preserve"> </w:t>
            </w:r>
            <w:r>
              <w:rPr>
                <w:rFonts w:ascii="Arial" w:hAnsi="Arial"/>
                <w:sz w:val="15"/>
              </w:rPr>
              <w:t xml:space="preserve">(illegal-drug allegation)</w:t>
            </w:r>
          </w:p>
        </w:tc>
        <w:tc>
          <w:tcPr>
            <w:tcW w:type="dxa" w:w="2890"/>
            <w:shd w:val="clear" w:color="auto" w:fill="F1F2F5"/>
          </w:tcPr>
          <w:p>
            <w:pPr>
              <w:pStyle w:val="Compact"/>
              <w:spacing w:after="0" w:before="0" w:line="240" w:lineRule="auto"/>
              <w:jc w:val="left"/>
            </w:pPr>
            <w:r>
              <w:rPr>
                <w:rFonts w:ascii="Arial" w:hAnsi="Arial"/>
                <w:sz w:val="15"/>
              </w:rPr>
              <w:t xml:space="preserve">-5.6% (TOPIX +1.8%)</w:t>
            </w:r>
          </w:p>
        </w:tc>
      </w:tr>
      <w:tr>
        <w:trPr>
          <w:cantSplit/>
        </w:trPr>
        <w:tc>
          <w:tcPr>
            <w:tcW w:type="dxa" w:w="1845"/>
          </w:tcPr>
          <w:p>
            <w:pPr>
              <w:pStyle w:val="Compact"/>
              <w:spacing w:after="0" w:before="0" w:line="240" w:lineRule="auto"/>
              <w:jc w:val="left"/>
            </w:pPr>
            <w:r>
              <w:rPr>
                <w:rFonts w:ascii="Arial" w:hAnsi="Arial"/>
                <w:sz w:val="15"/>
              </w:rPr>
              <w:t xml:space="preserve">25-Apr-2025</w:t>
            </w:r>
          </w:p>
        </w:tc>
        <w:tc>
          <w:tcPr>
            <w:tcW w:type="dxa" w:w="5242"/>
          </w:tcPr>
          <w:p>
            <w:pPr>
              <w:pStyle w:val="Compact"/>
              <w:spacing w:after="0" w:before="0" w:line="240" w:lineRule="auto"/>
              <w:jc w:val="left"/>
            </w:pPr>
            <w:r>
              <w:rPr>
                <w:bCs/>
                <w:rFonts w:ascii="Arial" w:hAnsi="Arial"/>
                <w:b/>
                <w:sz w:val="15"/>
              </w:rPr>
              <w:t xml:space="preserve">Bob White named CEO</w:t>
            </w:r>
            <w:r>
              <w:rPr>
                <w:rFonts w:ascii="Arial" w:hAnsi="Arial"/>
                <w:sz w:val="15"/>
              </w:rPr>
              <w:t xml:space="preserve"> </w:t>
            </w:r>
            <w:r>
              <w:rPr>
                <w:rFonts w:ascii="Arial" w:hAnsi="Arial"/>
                <w:sz w:val="15"/>
              </w:rPr>
              <w:t xml:space="preserve">(from 1-Jun-2025)</w:t>
            </w:r>
          </w:p>
        </w:tc>
        <w:tc>
          <w:tcPr>
            <w:tcW w:type="dxa" w:w="2890"/>
          </w:tcPr>
          <w:p>
            <w:pPr>
              <w:pStyle w:val="Compact"/>
              <w:spacing w:after="0" w:before="0" w:line="240" w:lineRule="auto"/>
              <w:jc w:val="left"/>
            </w:pPr>
            <w:r>
              <w:rPr>
                <w:rFonts w:ascii="Arial" w:hAnsi="Arial"/>
                <w:sz w:val="15"/>
              </w:rPr>
              <w:t xml:space="preserve">+1.2%</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24-Jun-2025</w:t>
            </w:r>
          </w:p>
        </w:tc>
        <w:tc>
          <w:tcPr>
            <w:tcW w:type="dxa" w:w="5242"/>
            <w:shd w:val="clear" w:color="auto" w:fill="F1F2F5"/>
          </w:tcPr>
          <w:p>
            <w:pPr>
              <w:pStyle w:val="Compact"/>
              <w:spacing w:after="0" w:before="0" w:line="240" w:lineRule="auto"/>
              <w:jc w:val="left"/>
            </w:pPr>
            <w:r>
              <w:rPr>
                <w:bCs/>
                <w:rFonts w:ascii="Arial" w:hAnsi="Arial"/>
                <w:b/>
                <w:sz w:val="15"/>
              </w:rPr>
              <w:t xml:space="preserve">FDA Import Alert 89-04</w:t>
            </w:r>
            <w:r>
              <w:rPr>
                <w:rFonts w:ascii="Arial" w:hAnsi="Arial"/>
                <w:sz w:val="15"/>
              </w:rPr>
              <w:t xml:space="preserve"> </w:t>
            </w:r>
            <w:r>
              <w:rPr>
                <w:rFonts w:ascii="Arial" w:hAnsi="Arial"/>
                <w:sz w:val="15"/>
              </w:rPr>
              <w:t xml:space="preserve">(Aizu, 58 models)</w:t>
            </w:r>
          </w:p>
        </w:tc>
        <w:tc>
          <w:tcPr>
            <w:tcW w:type="dxa" w:w="2890"/>
            <w:shd w:val="clear" w:color="auto" w:fill="F1F2F5"/>
          </w:tcPr>
          <w:p>
            <w:pPr>
              <w:pStyle w:val="Compact"/>
              <w:spacing w:after="0" w:before="0" w:line="240" w:lineRule="auto"/>
              <w:jc w:val="left"/>
            </w:pPr>
            <w:r>
              <w:rPr>
                <w:rFonts w:ascii="Arial" w:hAnsi="Arial"/>
                <w:sz w:val="15"/>
              </w:rPr>
              <w:t xml:space="preserve">-10.6%</w:t>
            </w:r>
          </w:p>
        </w:tc>
      </w:tr>
      <w:tr>
        <w:trPr>
          <w:cantSplit/>
        </w:trPr>
        <w:tc>
          <w:tcPr>
            <w:tcW w:type="dxa" w:w="1845"/>
          </w:tcPr>
          <w:p>
            <w:pPr>
              <w:pStyle w:val="Compact"/>
              <w:spacing w:after="0" w:before="0" w:line="240" w:lineRule="auto"/>
              <w:jc w:val="left"/>
            </w:pPr>
            <w:r>
              <w:rPr>
                <w:rFonts w:ascii="Arial" w:hAnsi="Arial"/>
                <w:sz w:val="15"/>
              </w:rPr>
              <w:t xml:space="preserve">7-Nov-2025</w:t>
            </w:r>
          </w:p>
        </w:tc>
        <w:tc>
          <w:tcPr>
            <w:tcW w:type="dxa" w:w="5242"/>
          </w:tcPr>
          <w:p>
            <w:pPr>
              <w:pStyle w:val="Compact"/>
              <w:spacing w:after="0" w:before="0" w:line="240" w:lineRule="auto"/>
              <w:jc w:val="left"/>
            </w:pPr>
            <w:r>
              <w:rPr>
                <w:rFonts w:ascii="Arial" w:hAnsi="Arial"/>
                <w:sz w:val="15"/>
              </w:rPr>
              <w:t xml:space="preserve">New strategy; ~2,000 job cuts; 3-4-5 plan</w:t>
            </w:r>
          </w:p>
        </w:tc>
        <w:tc>
          <w:tcPr>
            <w:tcW w:type="dxa" w:w="2890"/>
          </w:tcPr>
          <w:p>
            <w:pPr>
              <w:pStyle w:val="Compact"/>
              <w:spacing w:after="0" w:before="0" w:line="240" w:lineRule="auto"/>
              <w:jc w:val="left"/>
            </w:pPr>
            <w:r>
              <w:rPr>
                <w:rFonts w:ascii="Arial" w:hAnsi="Arial"/>
                <w:sz w:val="15"/>
              </w:rPr>
              <w:t xml:space="preserve">+11.5%</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13-Feb-2026</w:t>
            </w:r>
          </w:p>
        </w:tc>
        <w:tc>
          <w:tcPr>
            <w:tcW w:type="dxa" w:w="5242"/>
            <w:shd w:val="clear" w:color="auto" w:fill="F1F2F5"/>
          </w:tcPr>
          <w:p>
            <w:pPr>
              <w:pStyle w:val="Compact"/>
              <w:spacing w:after="0" w:before="0" w:line="240" w:lineRule="auto"/>
              <w:jc w:val="left"/>
            </w:pPr>
            <w:r>
              <w:rPr>
                <w:rFonts w:ascii="Arial" w:hAnsi="Arial"/>
                <w:sz w:val="15"/>
              </w:rPr>
              <w:t xml:space="preserve">FY3/26 OP guidance cut to JPY75–87bn (ship-holds)</w:t>
            </w:r>
          </w:p>
        </w:tc>
        <w:tc>
          <w:tcPr>
            <w:tcW w:type="dxa" w:w="2890"/>
            <w:shd w:val="clear" w:color="auto" w:fill="F1F2F5"/>
          </w:tcPr>
          <w:p>
            <w:pPr>
              <w:pStyle w:val="Compact"/>
              <w:spacing w:after="0" w:before="0" w:line="240" w:lineRule="auto"/>
              <w:jc w:val="left"/>
            </w:pPr>
            <w:r>
              <w:rPr>
                <w:rFonts w:ascii="Arial" w:hAnsi="Arial"/>
                <w:sz w:val="15"/>
              </w:rPr>
              <w:t xml:space="preserve">-12.9%; 5-yr low JPY1,310 (13-Mar)</w:t>
            </w:r>
          </w:p>
        </w:tc>
      </w:tr>
      <w:tr>
        <w:trPr>
          <w:cantSplit/>
        </w:trPr>
        <w:tc>
          <w:tcPr>
            <w:tcW w:type="dxa" w:w="1845"/>
          </w:tcPr>
          <w:p>
            <w:pPr>
              <w:pStyle w:val="Compact"/>
              <w:spacing w:after="0" w:before="0" w:line="240" w:lineRule="auto"/>
              <w:jc w:val="left"/>
            </w:pPr>
            <w:r>
              <w:rPr>
                <w:rFonts w:ascii="Arial" w:hAnsi="Arial"/>
                <w:sz w:val="15"/>
              </w:rPr>
              <w:t xml:space="preserve">12-May-2026</w:t>
            </w:r>
          </w:p>
        </w:tc>
        <w:tc>
          <w:tcPr>
            <w:tcW w:type="dxa" w:w="5242"/>
          </w:tcPr>
          <w:p>
            <w:pPr>
              <w:pStyle w:val="Compact"/>
              <w:spacing w:after="0" w:before="0" w:line="240" w:lineRule="auto"/>
              <w:jc w:val="left"/>
            </w:pPr>
            <w:r>
              <w:rPr>
                <w:rFonts w:ascii="Arial" w:hAnsi="Arial"/>
                <w:sz w:val="15"/>
              </w:rPr>
              <w:t xml:space="preserve">FY3/27 guidance;</w:t>
            </w:r>
            <w:r>
              <w:rPr>
                <w:rFonts w:ascii="Arial" w:hAnsi="Arial"/>
                <w:sz w:val="15"/>
              </w:rPr>
              <w:t xml:space="preserve"> </w:t>
            </w:r>
            <w:r>
              <w:rPr>
                <w:bCs/>
                <w:rFonts w:ascii="Arial" w:hAnsi="Arial"/>
                <w:b/>
                <w:sz w:val="15"/>
              </w:rPr>
              <w:t xml:space="preserve">Surgical strategic review</w:t>
            </w:r>
            <w:r>
              <w:rPr>
                <w:rFonts w:ascii="Arial" w:hAnsi="Arial"/>
                <w:sz w:val="15"/>
              </w:rPr>
              <w:t xml:space="preserve">; JPY60bn ToSTNeT-3 buyback</w:t>
            </w:r>
          </w:p>
        </w:tc>
        <w:tc>
          <w:tcPr>
            <w:tcW w:type="dxa" w:w="2890"/>
          </w:tcPr>
          <w:p>
            <w:pPr>
              <w:pStyle w:val="Compact"/>
              <w:spacing w:after="0" w:before="0" w:line="240" w:lineRule="auto"/>
              <w:jc w:val="left"/>
            </w:pPr>
            <w:r>
              <w:rPr>
                <w:rFonts w:ascii="Arial" w:hAnsi="Arial"/>
                <w:sz w:val="15"/>
              </w:rPr>
              <w:t xml:space="preserve">+19.9%</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1-Jun-2026</w:t>
            </w:r>
          </w:p>
        </w:tc>
        <w:tc>
          <w:tcPr>
            <w:tcW w:type="dxa" w:w="5242"/>
            <w:shd w:val="clear" w:color="auto" w:fill="F1F2F5"/>
          </w:tcPr>
          <w:p>
            <w:pPr>
              <w:pStyle w:val="Compact"/>
              <w:spacing w:after="0" w:before="0" w:line="240" w:lineRule="auto"/>
              <w:jc w:val="left"/>
            </w:pPr>
            <w:r>
              <w:rPr>
                <w:rFonts w:ascii="Arial" w:hAnsi="Arial"/>
                <w:sz w:val="15"/>
              </w:rPr>
              <w:t xml:space="preserve">BioProtect acquisition closed (US$270m)</w:t>
            </w:r>
          </w:p>
        </w:tc>
        <w:tc>
          <w:tcPr>
            <w:tcW w:type="dxa" w:w="2890"/>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1845"/>
          </w:tcPr>
          <w:p>
            <w:pPr>
              <w:pStyle w:val="Compact"/>
              <w:spacing w:after="0" w:before="0" w:line="240" w:lineRule="auto"/>
              <w:jc w:val="left"/>
            </w:pPr>
            <w:r>
              <w:rPr>
                <w:rFonts w:ascii="Arial" w:hAnsi="Arial"/>
                <w:sz w:val="15"/>
              </w:rPr>
              <w:t xml:space="preserve">7-Jul-2026</w:t>
            </w:r>
          </w:p>
        </w:tc>
        <w:tc>
          <w:tcPr>
            <w:tcW w:type="dxa" w:w="5242"/>
          </w:tcPr>
          <w:p>
            <w:pPr>
              <w:pStyle w:val="Compact"/>
              <w:spacing w:after="0" w:before="0" w:line="240" w:lineRule="auto"/>
              <w:jc w:val="left"/>
            </w:pPr>
            <w:r>
              <w:rPr>
                <w:rFonts w:ascii="Arial" w:hAnsi="Arial"/>
                <w:sz w:val="15"/>
              </w:rPr>
              <w:t xml:space="preserve">Artisan Partners discloses 5.63%</w:t>
            </w:r>
          </w:p>
        </w:tc>
        <w:tc>
          <w:tcPr>
            <w:tcW w:type="dxa" w:w="2890"/>
          </w:tcPr>
          <w:p>
            <w:pPr>
              <w:pStyle w:val="Compact"/>
              <w:spacing w:after="0" w:before="0" w:line="240" w:lineRule="auto"/>
              <w:jc w:val="left"/>
            </w:pPr>
            <w:r>
              <w:rPr>
                <w:rFonts w:ascii="Arial" w:hAnsi="Arial"/>
                <w:sz w:val="15"/>
              </w:rPr>
              <w:t xml:space="preserve">–</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31-Jul-2026</w:t>
            </w:r>
          </w:p>
        </w:tc>
        <w:tc>
          <w:tcPr>
            <w:tcW w:type="dxa" w:w="5242"/>
            <w:shd w:val="clear" w:color="auto" w:fill="F1F2F5"/>
          </w:tcPr>
          <w:p>
            <w:pPr>
              <w:pStyle w:val="Compact"/>
              <w:spacing w:after="0" w:before="0" w:line="240" w:lineRule="auto"/>
              <w:jc w:val="left"/>
            </w:pPr>
            <w:r>
              <w:rPr>
                <w:rFonts w:ascii="Arial" w:hAnsi="Arial"/>
                <w:sz w:val="15"/>
              </w:rPr>
              <w:t xml:space="preserve">Hoya puts PENTAX Medical under strategic review (including sale)</w:t>
            </w:r>
          </w:p>
        </w:tc>
        <w:tc>
          <w:tcPr>
            <w:tcW w:type="dxa" w:w="2890"/>
            <w:shd w:val="clear" w:color="auto" w:fill="F1F2F5"/>
          </w:tcPr>
          <w:p>
            <w:pPr>
              <w:pStyle w:val="Compact"/>
              <w:spacing w:after="0" w:before="0" w:line="240" w:lineRule="auto"/>
              <w:jc w:val="left"/>
            </w:pPr>
            <w:r>
              <w:rPr>
                <w:rFonts w:ascii="Arial" w:hAnsi="Arial"/>
                <w:sz w:val="15"/>
              </w:rPr>
              <w:t xml:space="preserve">Read-across</w:t>
            </w:r>
          </w:p>
        </w:tc>
      </w:tr>
      <w:tr>
        <w:trPr>
          <w:cantSplit/>
        </w:trPr>
        <w:tc>
          <w:tcPr>
            <w:tcW w:type="dxa" w:w="1845"/>
          </w:tcPr>
          <w:p>
            <w:pPr>
              <w:pStyle w:val="Compact"/>
              <w:spacing w:after="0" w:before="0" w:line="240" w:lineRule="auto"/>
              <w:jc w:val="left"/>
            </w:pPr>
            <w:r>
              <w:rPr>
                <w:rFonts w:ascii="Arial" w:hAnsi="Arial"/>
                <w:sz w:val="15"/>
              </w:rPr>
              <w:t xml:space="preserve">7-Aug-2026</w:t>
            </w:r>
          </w:p>
        </w:tc>
        <w:tc>
          <w:tcPr>
            <w:tcW w:type="dxa" w:w="5242"/>
          </w:tcPr>
          <w:p>
            <w:pPr>
              <w:pStyle w:val="Compact"/>
              <w:spacing w:after="0" w:before="0" w:line="240" w:lineRule="auto"/>
              <w:jc w:val="left"/>
            </w:pPr>
            <w:r>
              <w:rPr>
                <w:rFonts w:ascii="Arial" w:hAnsi="Arial"/>
                <w:sz w:val="15"/>
              </w:rPr>
              <w:t xml:space="preserve">1Q FY3/27 beat; guidance held</w:t>
            </w:r>
          </w:p>
        </w:tc>
        <w:tc>
          <w:tcPr>
            <w:tcW w:type="dxa" w:w="2890"/>
          </w:tcPr>
          <w:p>
            <w:pPr>
              <w:pStyle w:val="Compact"/>
              <w:spacing w:after="0" w:before="0" w:line="240" w:lineRule="auto"/>
              <w:jc w:val="left"/>
            </w:pPr>
            <w:r>
              <w:rPr>
                <w:rFonts w:ascii="Arial" w:hAnsi="Arial"/>
                <w:sz w:val="15"/>
              </w:rPr>
              <w:t xml:space="preserve">+10.1%</w:t>
            </w:r>
          </w:p>
        </w:tc>
      </w:tr>
      <w:tr>
        <w:trPr>
          <w:cantSplit/>
        </w:trPr>
        <w:tc>
          <w:tcPr>
            <w:tcW w:type="dxa" w:w="1845"/>
            <w:shd w:val="clear" w:color="auto" w:fill="F1F2F5"/>
          </w:tcPr>
          <w:p>
            <w:pPr>
              <w:pStyle w:val="Compact"/>
              <w:spacing w:after="0" w:before="0" w:line="240" w:lineRule="auto"/>
              <w:jc w:val="left"/>
            </w:pPr>
            <w:r>
              <w:rPr>
                <w:rFonts w:ascii="Arial" w:hAnsi="Arial"/>
                <w:sz w:val="15"/>
              </w:rPr>
              <w:t xml:space="preserve">9-Sep-2026</w:t>
            </w:r>
          </w:p>
        </w:tc>
        <w:tc>
          <w:tcPr>
            <w:tcW w:type="dxa" w:w="5242"/>
            <w:shd w:val="clear" w:color="auto" w:fill="F1F2F5"/>
          </w:tcPr>
          <w:p>
            <w:pPr>
              <w:pStyle w:val="Compact"/>
              <w:spacing w:after="0" w:before="0" w:line="240" w:lineRule="auto"/>
              <w:jc w:val="left"/>
            </w:pPr>
            <w:r>
              <w:rPr>
                <w:rFonts w:ascii="Arial" w:hAnsi="Arial"/>
                <w:sz w:val="15"/>
              </w:rPr>
              <w:t xml:space="preserve">US$500m 5.526% 2031 notes issued (refinancing)</w:t>
            </w:r>
          </w:p>
        </w:tc>
        <w:tc>
          <w:tcPr>
            <w:tcW w:type="dxa" w:w="2890"/>
            <w:shd w:val="clear" w:color="auto" w:fill="F1F2F5"/>
          </w:tcPr>
          <w:p>
            <w:pPr>
              <w:pStyle w:val="Compact"/>
              <w:spacing w:after="0" w:before="0" w:line="240" w:lineRule="auto"/>
              <w:jc w:val="left"/>
            </w:pPr>
            <w:r>
              <w:rPr>
                <w:rFonts w:ascii="Arial" w:hAnsi="Arial"/>
                <w:sz w:val="15"/>
              </w:rPr>
              <w:t xml:space="preserve">–</w:t>
            </w:r>
          </w:p>
        </w:tc>
      </w:tr>
      <w:tr>
        <w:trPr>
          <w:cantSplit/>
        </w:trPr>
        <w:tc>
          <w:tcPr>
            <w:tcW w:type="dxa" w:w="1845"/>
          </w:tcPr>
          <w:p>
            <w:pPr>
              <w:pStyle w:val="Compact"/>
              <w:spacing w:after="0" w:before="0" w:line="240" w:lineRule="auto"/>
              <w:jc w:val="left"/>
            </w:pPr>
            <w:r>
              <w:rPr>
                <w:rFonts w:ascii="Arial" w:hAnsi="Arial"/>
                <w:sz w:val="15"/>
              </w:rPr>
              <w:t xml:space="preserve">13-Oct-2026</w:t>
            </w:r>
          </w:p>
        </w:tc>
        <w:tc>
          <w:tcPr>
            <w:tcW w:type="dxa" w:w="5242"/>
          </w:tcPr>
          <w:p>
            <w:pPr>
              <w:pStyle w:val="Compact"/>
              <w:spacing w:after="0" w:before="0" w:line="240" w:lineRule="auto"/>
              <w:jc w:val="left"/>
            </w:pPr>
            <w:r>
              <w:rPr>
                <w:bCs/>
                <w:rFonts w:ascii="Arial" w:hAnsi="Arial"/>
                <w:b/>
                <w:sz w:val="15"/>
              </w:rPr>
              <w:t xml:space="preserve">FDA Warning Letter (six sites)</w:t>
            </w:r>
          </w:p>
        </w:tc>
        <w:tc>
          <w:tcPr>
            <w:tcW w:type="dxa" w:w="2890"/>
          </w:tcPr>
          <w:p>
            <w:pPr>
              <w:pStyle w:val="Compact"/>
              <w:spacing w:after="0" w:before="0" w:line="240" w:lineRule="auto"/>
              <w:jc w:val="left"/>
            </w:pPr>
            <w:r>
              <w:rPr>
                <w:rFonts w:ascii="Arial" w:hAnsi="Arial"/>
                <w:sz w:val="15"/>
              </w:rPr>
              <w:t xml:space="preserve">-13.4%; -16.8% in 3 days</w:t>
            </w:r>
          </w:p>
        </w:tc>
      </w:tr>
    </w:tbl>
    <w:bookmarkEnd w:id="137"/>
    <w:bookmarkStart w:id="138" w:name="upcoming-catalysts"/>
    <w:p>
      <w:pPr>
        <w:pStyle w:val="Heading2"/>
      </w:pPr>
      <w:r>
        <w:t xml:space="preserve">Upcoming catalysts</w:t>
      </w:r>
    </w:p>
    <w:tbl>
      <w:tblPr>
        <w:tblStyle w:val="Table"/>
        <w:tblLook w:firstRow="1" w:lastRow="0" w:firstColumn="0" w:lastColumn="0" w:noHBand="0" w:noVBand="0" w:val="0020"/>
        <w:jc w:val="start"/>
        <w:tblBorders>
          <w:top w:val="single" w:sz="4" w:color="C9CCD3"/>
          <w:bottom w:val="single" w:sz="4" w:color="C9CCD3"/>
          <w:insideH w:val="single" w:sz="4" w:color="C9CCD3"/>
          <w:left w:val="nil"/>
          <w:right w:val="nil"/>
          <w:insideV w:val="nil"/>
        </w:tblBorders>
        <w:tblW w:w="5000" w:type="pct"/>
        <w:tblCellMar>
          <w:top w:w="30" w:type="dxa"/>
          <w:bottom w:w="30" w:type="dxa"/>
          <w:left w:w="70" w:type="dxa"/>
          <w:right w:w="70" w:type="dxa"/>
        </w:tblCellMar>
        <w:tblLayout w:type="fixed"/>
      </w:tblPr>
      <w:tblGrid>
        <w:gridCol w:w="2154"/>
        <w:gridCol w:w="3122"/>
        <w:gridCol w:w="3046"/>
        <w:gridCol w:w="1654"/>
      </w:tblGrid>
      <w:tr>
        <w:trPr>
          <w:tblHeader w:val="true"/>
          <w:tblHeader w:val="true"/>
          <w:cantSplit/>
        </w:trPr>
        <w:tc>
          <w:tcPr>
            <w:tcW w:type="dxa" w:w="2154"/>
            <w:shd w:val="clear" w:color="auto" w:fill="13213F"/>
          </w:tcPr>
          <w:p>
            <w:pPr>
              <w:pStyle w:val="Compact"/>
              <w:spacing w:after="0" w:before="0" w:line="240" w:lineRule="auto"/>
              <w:jc w:val="left"/>
            </w:pPr>
            <w:r>
              <w:rPr>
                <w:rFonts w:ascii="Arial" w:hAnsi="Arial"/>
                <w:b/>
                <w:color w:val="FFFFFF"/>
                <w:sz w:val="15"/>
              </w:rPr>
              <w:t xml:space="preserve">Expected date</w:t>
            </w:r>
          </w:p>
        </w:tc>
        <w:tc>
          <w:tcPr>
            <w:tcW w:type="dxa" w:w="3122"/>
            <w:shd w:val="clear" w:color="auto" w:fill="13213F"/>
          </w:tcPr>
          <w:p>
            <w:pPr>
              <w:pStyle w:val="Compact"/>
              <w:spacing w:after="0" w:before="0" w:line="240" w:lineRule="auto"/>
              <w:jc w:val="left"/>
            </w:pPr>
            <w:r>
              <w:rPr>
                <w:rFonts w:ascii="Arial" w:hAnsi="Arial"/>
                <w:b/>
                <w:color w:val="FFFFFF"/>
                <w:sz w:val="15"/>
              </w:rPr>
              <w:t xml:space="preserve">Catalyst</w:t>
            </w:r>
          </w:p>
        </w:tc>
        <w:tc>
          <w:tcPr>
            <w:tcW w:type="dxa" w:w="3047"/>
            <w:shd w:val="clear" w:color="auto" w:fill="13213F"/>
          </w:tcPr>
          <w:p>
            <w:pPr>
              <w:pStyle w:val="Compact"/>
              <w:spacing w:after="0" w:before="0" w:line="240" w:lineRule="auto"/>
              <w:jc w:val="left"/>
            </w:pPr>
            <w:r>
              <w:rPr>
                <w:rFonts w:ascii="Arial" w:hAnsi="Arial"/>
                <w:b/>
                <w:color w:val="FFFFFF"/>
                <w:sz w:val="15"/>
              </w:rPr>
              <w:t xml:space="preserve">What to watch</w:t>
            </w:r>
          </w:p>
        </w:tc>
        <w:tc>
          <w:tcPr>
            <w:tcW w:type="dxa" w:w="1654"/>
            <w:shd w:val="clear" w:color="auto" w:fill="13213F"/>
          </w:tcPr>
          <w:p>
            <w:pPr>
              <w:pStyle w:val="Compact"/>
              <w:spacing w:after="0" w:before="0" w:line="240" w:lineRule="auto"/>
              <w:jc w:val="center"/>
            </w:pPr>
            <w:r>
              <w:rPr>
                <w:rFonts w:ascii="Arial" w:hAnsi="Arial"/>
                <w:b/>
                <w:color w:val="FFFFFF"/>
                <w:sz w:val="15"/>
              </w:rPr>
              <w:t xml:space="preserve">Impact</w:t>
            </w:r>
          </w:p>
        </w:tc>
      </w:tr>
      <w:tr>
        <w:trPr>
          <w:cantSplit/>
        </w:trPr>
        <w:tc>
          <w:tcPr>
            <w:tcW w:type="dxa" w:w="2154"/>
          </w:tcPr>
          <w:p>
            <w:pPr>
              <w:pStyle w:val="Compact"/>
              <w:spacing w:after="0" w:before="0" w:line="240" w:lineRule="auto"/>
              <w:jc w:val="left"/>
            </w:pPr>
            <w:r>
              <w:rPr>
                <w:rFonts w:ascii="Arial" w:hAnsi="Arial"/>
                <w:sz w:val="15"/>
              </w:rPr>
              <w:t xml:space="preserve">19–21 Oct 2026</w:t>
            </w:r>
          </w:p>
        </w:tc>
        <w:tc>
          <w:tcPr>
            <w:tcW w:type="dxa" w:w="3122"/>
          </w:tcPr>
          <w:p>
            <w:pPr>
              <w:pStyle w:val="Compact"/>
              <w:spacing w:after="0" w:before="0" w:line="240" w:lineRule="auto"/>
              <w:jc w:val="left"/>
            </w:pPr>
            <w:r>
              <w:rPr>
                <w:rFonts w:ascii="Arial" w:hAnsi="Arial"/>
                <w:sz w:val="15"/>
              </w:rPr>
              <w:t xml:space="preserve">CHEST 2026: peripheral EBUS (BF-UCP190F) showcase</w:t>
            </w:r>
          </w:p>
        </w:tc>
        <w:tc>
          <w:tcPr>
            <w:tcW w:type="dxa" w:w="3047"/>
          </w:tcPr>
          <w:p>
            <w:pPr>
              <w:pStyle w:val="Compact"/>
              <w:spacing w:after="0" w:before="0" w:line="240" w:lineRule="auto"/>
              <w:jc w:val="left"/>
            </w:pPr>
            <w:r>
              <w:rPr>
                <w:rFonts w:ascii="Arial" w:hAnsi="Arial"/>
                <w:sz w:val="15"/>
              </w:rPr>
              <w:t xml:space="preserve">Respiratory messaging</w:t>
            </w:r>
          </w:p>
        </w:tc>
        <w:tc>
          <w:tcPr>
            <w:tcW w:type="dxa" w:w="1654"/>
          </w:tcPr>
          <w:p>
            <w:pPr>
              <w:pStyle w:val="Compact"/>
              <w:spacing w:after="0" w:before="0" w:line="240" w:lineRule="auto"/>
              <w:jc w:val="center"/>
            </w:pPr>
            <w:r>
              <w:rPr>
                <w:rFonts w:ascii="Arial" w:hAnsi="Arial"/>
                <w:sz w:val="15"/>
              </w:rPr>
              <w:t xml:space="preserve">Low</w:t>
            </w:r>
          </w:p>
        </w:tc>
      </w:tr>
      <w:tr>
        <w:trPr>
          <w:cantSplit/>
        </w:trPr>
        <w:tc>
          <w:tcPr>
            <w:tcW w:type="dxa" w:w="2154"/>
            <w:shd w:val="clear" w:color="auto" w:fill="F1F2F5"/>
          </w:tcPr>
          <w:p>
            <w:pPr>
              <w:pStyle w:val="Compact"/>
              <w:spacing w:after="0" w:before="0" w:line="240" w:lineRule="auto"/>
              <w:jc w:val="left"/>
            </w:pPr>
            <w:r>
              <w:rPr>
                <w:bCs/>
                <w:rFonts w:ascii="Arial" w:hAnsi="Arial"/>
                <w:b/>
                <w:sz w:val="15"/>
              </w:rPr>
              <w:t xml:space="preserve">~30-Oct to early Nov 2026 [e]</w:t>
            </w:r>
          </w:p>
        </w:tc>
        <w:tc>
          <w:tcPr>
            <w:tcW w:type="dxa" w:w="3122"/>
            <w:shd w:val="clear" w:color="auto" w:fill="F1F2F5"/>
          </w:tcPr>
          <w:p>
            <w:pPr>
              <w:pStyle w:val="Compact"/>
              <w:spacing w:after="0" w:before="0" w:line="240" w:lineRule="auto"/>
              <w:jc w:val="left"/>
            </w:pPr>
            <w:r>
              <w:rPr>
                <w:bCs/>
                <w:rFonts w:ascii="Arial" w:hAnsi="Arial"/>
                <w:b/>
                <w:sz w:val="15"/>
              </w:rPr>
              <w:t xml:space="preserve">Olympus response to the FDA Warning Letter</w:t>
            </w:r>
            <w:r>
              <w:rPr>
                <w:rFonts w:ascii="Arial" w:hAnsi="Arial"/>
                <w:sz w:val="15"/>
              </w:rPr>
              <w:t xml:space="preserve"> </w:t>
            </w:r>
            <w:r>
              <w:rPr>
                <w:rFonts w:ascii="Arial" w:hAnsi="Arial"/>
                <w:sz w:val="15"/>
              </w:rPr>
              <w:t xml:space="preserve">(15 business days)</w:t>
            </w:r>
          </w:p>
        </w:tc>
        <w:tc>
          <w:tcPr>
            <w:tcW w:type="dxa" w:w="3047"/>
            <w:shd w:val="clear" w:color="auto" w:fill="F1F2F5"/>
          </w:tcPr>
          <w:p>
            <w:pPr>
              <w:pStyle w:val="Compact"/>
              <w:spacing w:after="0" w:before="0" w:line="240" w:lineRule="auto"/>
              <w:jc w:val="left"/>
            </w:pPr>
            <w:r>
              <w:rPr>
                <w:rFonts w:ascii="Arial" w:hAnsi="Arial"/>
                <w:sz w:val="15"/>
              </w:rPr>
              <w:t xml:space="preserve">Third-party auditor; corrective plan; timetable; any new ship-holds</w:t>
            </w:r>
          </w:p>
        </w:tc>
        <w:tc>
          <w:tcPr>
            <w:tcW w:type="dxa" w:w="1654"/>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2154"/>
          </w:tcPr>
          <w:p>
            <w:pPr>
              <w:pStyle w:val="Compact"/>
              <w:spacing w:after="0" w:before="0" w:line="240" w:lineRule="auto"/>
              <w:jc w:val="left"/>
            </w:pPr>
            <w:r>
              <w:rPr>
                <w:rFonts w:ascii="Arial" w:hAnsi="Arial"/>
                <w:sz w:val="15"/>
              </w:rPr>
              <w:t xml:space="preserve">30-Oct-2026</w:t>
            </w:r>
          </w:p>
        </w:tc>
        <w:tc>
          <w:tcPr>
            <w:tcW w:type="dxa" w:w="3122"/>
          </w:tcPr>
          <w:p>
            <w:pPr>
              <w:pStyle w:val="Compact"/>
              <w:spacing w:after="0" w:before="0" w:line="240" w:lineRule="auto"/>
              <w:jc w:val="left"/>
            </w:pPr>
            <w:r>
              <w:rPr>
                <w:rFonts w:ascii="Arial" w:hAnsi="Arial"/>
                <w:sz w:val="15"/>
              </w:rPr>
              <w:t xml:space="preserve">BoJ policy meeting</w:t>
            </w:r>
          </w:p>
        </w:tc>
        <w:tc>
          <w:tcPr>
            <w:tcW w:type="dxa" w:w="3047"/>
          </w:tcPr>
          <w:p>
            <w:pPr>
              <w:pStyle w:val="Compact"/>
              <w:spacing w:after="0" w:before="0" w:line="240" w:lineRule="auto"/>
              <w:jc w:val="left"/>
            </w:pPr>
            <w:r>
              <w:rPr>
                <w:rFonts w:ascii="Arial" w:hAnsi="Arial"/>
                <w:sz w:val="15"/>
              </w:rPr>
              <w:t xml:space="preserve">Yen; funding costs</w:t>
            </w:r>
          </w:p>
        </w:tc>
        <w:tc>
          <w:tcPr>
            <w:tcW w:type="dxa" w:w="1654"/>
          </w:tcPr>
          <w:p>
            <w:pPr>
              <w:pStyle w:val="Compact"/>
              <w:spacing w:after="0" w:before="0" w:line="240" w:lineRule="auto"/>
              <w:jc w:val="center"/>
            </w:pPr>
            <w:r>
              <w:rPr>
                <w:rFonts w:ascii="Arial" w:hAnsi="Arial"/>
                <w:sz w:val="15"/>
              </w:rPr>
              <w:t xml:space="preserve">Medium</w:t>
            </w:r>
          </w:p>
        </w:tc>
      </w:tr>
      <w:tr>
        <w:trPr>
          <w:cantSplit/>
        </w:trPr>
        <w:tc>
          <w:tcPr>
            <w:tcW w:type="dxa" w:w="2154"/>
            <w:shd w:val="clear" w:color="auto" w:fill="F1F2F5"/>
          </w:tcPr>
          <w:p>
            <w:pPr>
              <w:pStyle w:val="Compact"/>
              <w:spacing w:after="0" w:before="0" w:line="240" w:lineRule="auto"/>
              <w:jc w:val="left"/>
            </w:pPr>
            <w:r>
              <w:rPr>
                <w:bCs/>
                <w:rFonts w:ascii="Arial" w:hAnsi="Arial"/>
                <w:b/>
                <w:sz w:val="15"/>
              </w:rPr>
              <w:t xml:space="preserve">Early–mid Nov 2026 [e]</w:t>
            </w:r>
            <w:r>
              <w:rPr>
                <w:rFonts w:ascii="Arial" w:hAnsi="Arial"/>
                <w:sz w:val="15"/>
              </w:rPr>
              <w:t xml:space="preserve"> </w:t>
            </w:r>
            <w:r>
              <w:rPr>
                <w:rFonts w:ascii="Arial" w:hAnsi="Arial"/>
                <w:sz w:val="15"/>
              </w:rPr>
              <w:t xml:space="preserve">(likely Fri 6 or 13 Nov)</w:t>
            </w:r>
          </w:p>
        </w:tc>
        <w:tc>
          <w:tcPr>
            <w:tcW w:type="dxa" w:w="3122"/>
            <w:shd w:val="clear" w:color="auto" w:fill="F1F2F5"/>
          </w:tcPr>
          <w:p>
            <w:pPr>
              <w:pStyle w:val="Compact"/>
              <w:spacing w:after="0" w:before="0" w:line="240" w:lineRule="auto"/>
              <w:jc w:val="left"/>
            </w:pPr>
            <w:r>
              <w:rPr>
                <w:bCs/>
                <w:rFonts w:ascii="Arial" w:hAnsi="Arial"/>
                <w:b/>
                <w:sz w:val="15"/>
              </w:rPr>
              <w:t xml:space="preserve">2Q FY3/27 results</w:t>
            </w:r>
          </w:p>
        </w:tc>
        <w:tc>
          <w:tcPr>
            <w:tcW w:type="dxa" w:w="3047"/>
            <w:shd w:val="clear" w:color="auto" w:fill="F1F2F5"/>
          </w:tcPr>
          <w:p>
            <w:pPr>
              <w:pStyle w:val="Compact"/>
              <w:spacing w:after="0" w:before="0" w:line="240" w:lineRule="auto"/>
              <w:jc w:val="left"/>
            </w:pPr>
            <w:r>
              <w:rPr>
                <w:rFonts w:ascii="Arial" w:hAnsi="Arial"/>
                <w:sz w:val="15"/>
              </w:rPr>
              <w:t xml:space="preserve">Guidance narrowing; WL cost; SIS recovery; China;</w:t>
            </w:r>
            <w:r>
              <w:rPr>
                <w:rFonts w:ascii="Arial" w:hAnsi="Arial"/>
                <w:sz w:val="15"/>
              </w:rPr>
              <w:t xml:space="preserve"> </w:t>
            </w:r>
            <w:r>
              <w:rPr>
                <w:bCs/>
                <w:rFonts w:ascii="Arial" w:hAnsi="Arial"/>
                <w:b/>
                <w:sz w:val="15"/>
              </w:rPr>
              <w:t xml:space="preserve">possible new buyback</w:t>
            </w:r>
          </w:p>
        </w:tc>
        <w:tc>
          <w:tcPr>
            <w:tcW w:type="dxa" w:w="1654"/>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2154"/>
          </w:tcPr>
          <w:p>
            <w:pPr>
              <w:pStyle w:val="Compact"/>
              <w:spacing w:after="0" w:before="0" w:line="240" w:lineRule="auto"/>
              <w:jc w:val="left"/>
            </w:pPr>
            <w:r>
              <w:rPr>
                <w:rFonts w:ascii="Arial" w:hAnsi="Arial"/>
                <w:sz w:val="15"/>
              </w:rPr>
              <w:t xml:space="preserve">~Mid-Nov 2026</w:t>
            </w:r>
          </w:p>
        </w:tc>
        <w:tc>
          <w:tcPr>
            <w:tcW w:type="dxa" w:w="3122"/>
          </w:tcPr>
          <w:p>
            <w:pPr>
              <w:pStyle w:val="Compact"/>
              <w:spacing w:after="0" w:before="0" w:line="240" w:lineRule="auto"/>
              <w:jc w:val="left"/>
            </w:pPr>
            <w:r>
              <w:rPr>
                <w:rFonts w:ascii="Arial" w:hAnsi="Arial"/>
                <w:sz w:val="15"/>
              </w:rPr>
              <w:t xml:space="preserve">MSCI semi-annual review</w:t>
            </w:r>
          </w:p>
        </w:tc>
        <w:tc>
          <w:tcPr>
            <w:tcW w:type="dxa" w:w="3047"/>
          </w:tcPr>
          <w:p>
            <w:pPr>
              <w:pStyle w:val="Compact"/>
              <w:spacing w:after="0" w:before="0" w:line="240" w:lineRule="auto"/>
              <w:jc w:val="left"/>
            </w:pPr>
            <w:r>
              <w:rPr>
                <w:rFonts w:ascii="Arial" w:hAnsi="Arial"/>
                <w:sz w:val="15"/>
              </w:rPr>
              <w:t xml:space="preserve">Weight changes</w:t>
            </w:r>
          </w:p>
        </w:tc>
        <w:tc>
          <w:tcPr>
            <w:tcW w:type="dxa" w:w="1654"/>
          </w:tcPr>
          <w:p>
            <w:pPr>
              <w:pStyle w:val="Compact"/>
              <w:spacing w:after="0" w:before="0" w:line="240" w:lineRule="auto"/>
              <w:jc w:val="center"/>
            </w:pPr>
            <w:r>
              <w:rPr>
                <w:rFonts w:ascii="Arial" w:hAnsi="Arial"/>
                <w:sz w:val="15"/>
              </w:rPr>
              <w:t xml:space="preserve">Low</w:t>
            </w:r>
          </w:p>
        </w:tc>
      </w:tr>
      <w:tr>
        <w:trPr>
          <w:cantSplit/>
        </w:trPr>
        <w:tc>
          <w:tcPr>
            <w:tcW w:type="dxa" w:w="2154"/>
            <w:shd w:val="clear" w:color="auto" w:fill="F1F2F5"/>
          </w:tcPr>
          <w:p>
            <w:pPr>
              <w:pStyle w:val="Compact"/>
              <w:spacing w:after="0" w:before="0" w:line="240" w:lineRule="auto"/>
              <w:jc w:val="left"/>
            </w:pPr>
            <w:r>
              <w:rPr>
                <w:rFonts w:ascii="Arial" w:hAnsi="Arial"/>
                <w:sz w:val="15"/>
              </w:rPr>
              <w:t xml:space="preserve">8-Dec-2026</w:t>
            </w:r>
          </w:p>
        </w:tc>
        <w:tc>
          <w:tcPr>
            <w:tcW w:type="dxa" w:w="3122"/>
            <w:shd w:val="clear" w:color="auto" w:fill="F1F2F5"/>
          </w:tcPr>
          <w:p>
            <w:pPr>
              <w:pStyle w:val="Compact"/>
              <w:spacing w:after="0" w:before="0" w:line="240" w:lineRule="auto"/>
              <w:jc w:val="left"/>
            </w:pPr>
            <w:r>
              <w:rPr>
                <w:rFonts w:ascii="Arial" w:hAnsi="Arial"/>
                <w:sz w:val="15"/>
              </w:rPr>
              <w:t xml:space="preserve">US$500m 2.143% notes mature (pre-funded)</w:t>
            </w:r>
          </w:p>
        </w:tc>
        <w:tc>
          <w:tcPr>
            <w:tcW w:type="dxa" w:w="3047"/>
            <w:shd w:val="clear" w:color="auto" w:fill="F1F2F5"/>
          </w:tcPr>
          <w:p>
            <w:pPr>
              <w:pStyle w:val="Compact"/>
              <w:spacing w:after="0" w:before="0" w:line="240" w:lineRule="auto"/>
              <w:jc w:val="left"/>
            </w:pPr>
            <w:r>
              <w:rPr>
                <w:rFonts w:ascii="Arial" w:hAnsi="Arial"/>
                <w:sz w:val="15"/>
              </w:rPr>
              <w:t xml:space="preserve">Non-event</w:t>
            </w:r>
          </w:p>
        </w:tc>
        <w:tc>
          <w:tcPr>
            <w:tcW w:type="dxa" w:w="1654"/>
            <w:shd w:val="clear" w:color="auto" w:fill="F1F2F5"/>
          </w:tcPr>
          <w:p>
            <w:pPr>
              <w:pStyle w:val="Compact"/>
              <w:spacing w:after="0" w:before="0" w:line="240" w:lineRule="auto"/>
              <w:jc w:val="center"/>
            </w:pPr>
            <w:r>
              <w:rPr>
                <w:rFonts w:ascii="Arial" w:hAnsi="Arial"/>
                <w:sz w:val="15"/>
              </w:rPr>
              <w:t xml:space="preserve">Low</w:t>
            </w:r>
          </w:p>
        </w:tc>
      </w:tr>
      <w:tr>
        <w:trPr>
          <w:cantSplit/>
        </w:trPr>
        <w:tc>
          <w:tcPr>
            <w:tcW w:type="dxa" w:w="2154"/>
          </w:tcPr>
          <w:p>
            <w:pPr>
              <w:pStyle w:val="Compact"/>
              <w:spacing w:after="0" w:before="0" w:line="240" w:lineRule="auto"/>
              <w:jc w:val="left"/>
            </w:pPr>
            <w:r>
              <w:rPr>
                <w:rFonts w:ascii="Arial" w:hAnsi="Arial"/>
                <w:sz w:val="15"/>
              </w:rPr>
              <w:t xml:space="preserve">~Mid-Jan 2027</w:t>
            </w:r>
          </w:p>
        </w:tc>
        <w:tc>
          <w:tcPr>
            <w:tcW w:type="dxa" w:w="3122"/>
          </w:tcPr>
          <w:p>
            <w:pPr>
              <w:pStyle w:val="Compact"/>
              <w:spacing w:after="0" w:before="0" w:line="240" w:lineRule="auto"/>
              <w:jc w:val="left"/>
            </w:pPr>
            <w:r>
              <w:rPr>
                <w:rFonts w:ascii="Arial" w:hAnsi="Arial"/>
                <w:sz w:val="15"/>
              </w:rPr>
              <w:t xml:space="preserve">J.P. Morgan Healthcare Conference</w:t>
            </w:r>
          </w:p>
        </w:tc>
        <w:tc>
          <w:tcPr>
            <w:tcW w:type="dxa" w:w="3047"/>
          </w:tcPr>
          <w:p>
            <w:pPr>
              <w:pStyle w:val="Compact"/>
              <w:spacing w:after="0" w:before="0" w:line="240" w:lineRule="auto"/>
              <w:jc w:val="left"/>
            </w:pPr>
            <w:r>
              <w:rPr>
                <w:rFonts w:ascii="Arial" w:hAnsi="Arial"/>
                <w:sz w:val="15"/>
              </w:rPr>
              <w:t xml:space="preserve">FDA narrative; M&amp;A; Surgical review update</w:t>
            </w:r>
          </w:p>
        </w:tc>
        <w:tc>
          <w:tcPr>
            <w:tcW w:type="dxa" w:w="1654"/>
          </w:tcPr>
          <w:p>
            <w:pPr>
              <w:pStyle w:val="Compact"/>
              <w:spacing w:after="0" w:before="0" w:line="240" w:lineRule="auto"/>
              <w:jc w:val="center"/>
            </w:pPr>
            <w:r>
              <w:rPr>
                <w:rFonts w:ascii="Arial" w:hAnsi="Arial"/>
                <w:sz w:val="15"/>
              </w:rPr>
              <w:t xml:space="preserve">Medium</w:t>
            </w:r>
          </w:p>
        </w:tc>
      </w:tr>
      <w:tr>
        <w:trPr>
          <w:cantSplit/>
        </w:trPr>
        <w:tc>
          <w:tcPr>
            <w:tcW w:type="dxa" w:w="2154"/>
            <w:shd w:val="clear" w:color="auto" w:fill="F1F2F5"/>
          </w:tcPr>
          <w:p>
            <w:pPr>
              <w:pStyle w:val="Compact"/>
              <w:spacing w:after="0" w:before="0" w:line="240" w:lineRule="auto"/>
              <w:jc w:val="left"/>
            </w:pPr>
            <w:r>
              <w:rPr>
                <w:bCs/>
                <w:rFonts w:ascii="Arial" w:hAnsi="Arial"/>
                <w:b/>
                <w:sz w:val="15"/>
              </w:rPr>
              <w:t xml:space="preserve">~12-Feb-2027 [e]</w:t>
            </w:r>
          </w:p>
        </w:tc>
        <w:tc>
          <w:tcPr>
            <w:tcW w:type="dxa" w:w="3122"/>
            <w:shd w:val="clear" w:color="auto" w:fill="F1F2F5"/>
          </w:tcPr>
          <w:p>
            <w:pPr>
              <w:pStyle w:val="Compact"/>
              <w:spacing w:after="0" w:before="0" w:line="240" w:lineRule="auto"/>
              <w:jc w:val="left"/>
            </w:pPr>
            <w:r>
              <w:rPr>
                <w:bCs/>
                <w:rFonts w:ascii="Arial" w:hAnsi="Arial"/>
                <w:b/>
                <w:sz w:val="15"/>
              </w:rPr>
              <w:t xml:space="preserve">3Q FY3/27 results</w:t>
            </w:r>
          </w:p>
        </w:tc>
        <w:tc>
          <w:tcPr>
            <w:tcW w:type="dxa" w:w="3047"/>
            <w:shd w:val="clear" w:color="auto" w:fill="F1F2F5"/>
          </w:tcPr>
          <w:p>
            <w:pPr>
              <w:pStyle w:val="Compact"/>
              <w:spacing w:after="0" w:before="0" w:line="240" w:lineRule="auto"/>
              <w:jc w:val="left"/>
            </w:pPr>
            <w:r>
              <w:rPr>
                <w:rFonts w:ascii="Arial" w:hAnsi="Arial"/>
                <w:sz w:val="15"/>
              </w:rPr>
              <w:t xml:space="preserve">A 3Q guidance cut came in each of the last four years</w:t>
            </w:r>
          </w:p>
        </w:tc>
        <w:tc>
          <w:tcPr>
            <w:tcW w:type="dxa" w:w="1654"/>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2154"/>
          </w:tcPr>
          <w:p>
            <w:pPr>
              <w:pStyle w:val="Compact"/>
              <w:spacing w:after="0" w:before="0" w:line="240" w:lineRule="auto"/>
              <w:jc w:val="left"/>
            </w:pPr>
            <w:r>
              <w:rPr>
                <w:rFonts w:ascii="Arial" w:hAnsi="Arial"/>
                <w:sz w:val="15"/>
              </w:rPr>
              <w:t xml:space="preserve">H1 2027 [e]</w:t>
            </w:r>
          </w:p>
        </w:tc>
        <w:tc>
          <w:tcPr>
            <w:tcW w:type="dxa" w:w="3122"/>
          </w:tcPr>
          <w:p>
            <w:pPr>
              <w:pStyle w:val="Compact"/>
              <w:spacing w:after="0" w:before="0" w:line="240" w:lineRule="auto"/>
              <w:jc w:val="left"/>
            </w:pPr>
            <w:r>
              <w:rPr>
                <w:bCs/>
                <w:rFonts w:ascii="Arial" w:hAnsi="Arial"/>
                <w:b/>
                <w:sz w:val="15"/>
              </w:rPr>
              <w:t xml:space="preserve">PENTAX sale outcome</w:t>
            </w:r>
            <w:r>
              <w:rPr>
                <w:rFonts w:ascii="Arial" w:hAnsi="Arial"/>
                <w:sz w:val="15"/>
              </w:rPr>
              <w:t xml:space="preserve"> </w:t>
            </w:r>
            <w:r>
              <w:rPr>
                <w:rFonts w:ascii="Arial" w:hAnsi="Arial"/>
                <w:sz w:val="15"/>
              </w:rPr>
              <w:t xml:space="preserve">(Hoya)</w:t>
            </w:r>
          </w:p>
        </w:tc>
        <w:tc>
          <w:tcPr>
            <w:tcW w:type="dxa" w:w="3047"/>
          </w:tcPr>
          <w:p>
            <w:pPr>
              <w:pStyle w:val="Compact"/>
              <w:spacing w:after="0" w:before="0" w:line="240" w:lineRule="auto"/>
              <w:jc w:val="left"/>
            </w:pPr>
            <w:r>
              <w:rPr>
                <w:rFonts w:ascii="Arial" w:hAnsi="Arial"/>
                <w:sz w:val="15"/>
              </w:rPr>
              <w:t xml:space="preserve">Endoscopy transaction multiple; new competitor owner</w:t>
            </w:r>
          </w:p>
        </w:tc>
        <w:tc>
          <w:tcPr>
            <w:tcW w:type="dxa" w:w="1654"/>
          </w:tcPr>
          <w:p>
            <w:pPr>
              <w:pStyle w:val="Compact"/>
              <w:spacing w:after="0" w:before="0" w:line="240" w:lineRule="auto"/>
              <w:jc w:val="center"/>
            </w:pPr>
            <w:r>
              <w:rPr>
                <w:rFonts w:ascii="Arial" w:hAnsi="Arial"/>
                <w:sz w:val="15"/>
              </w:rPr>
              <w:t xml:space="preserve">Medium</w:t>
            </w:r>
          </w:p>
        </w:tc>
      </w:tr>
      <w:tr>
        <w:trPr>
          <w:cantSplit/>
        </w:trPr>
        <w:tc>
          <w:tcPr>
            <w:tcW w:type="dxa" w:w="2154"/>
            <w:shd w:val="clear" w:color="auto" w:fill="F1F2F5"/>
          </w:tcPr>
          <w:p>
            <w:pPr>
              <w:pStyle w:val="Compact"/>
              <w:spacing w:after="0" w:before="0" w:line="240" w:lineRule="auto"/>
              <w:jc w:val="left"/>
            </w:pPr>
            <w:r>
              <w:rPr>
                <w:rFonts w:ascii="Arial" w:hAnsi="Arial"/>
                <w:sz w:val="15"/>
              </w:rPr>
              <w:t xml:space="preserve">Rolling, 6–24 months</w:t>
            </w:r>
          </w:p>
        </w:tc>
        <w:tc>
          <w:tcPr>
            <w:tcW w:type="dxa" w:w="3122"/>
            <w:shd w:val="clear" w:color="auto" w:fill="F1F2F5"/>
          </w:tcPr>
          <w:p>
            <w:pPr>
              <w:pStyle w:val="Compact"/>
              <w:spacing w:after="0" w:before="0" w:line="240" w:lineRule="auto"/>
              <w:jc w:val="left"/>
            </w:pPr>
            <w:r>
              <w:rPr>
                <w:bCs/>
                <w:rFonts w:ascii="Arial" w:hAnsi="Arial"/>
                <w:b/>
                <w:sz w:val="15"/>
              </w:rPr>
              <w:t xml:space="preserve">FDA re-inspections; Warning Letter close-out; Aizu import-alert removal</w:t>
            </w:r>
          </w:p>
        </w:tc>
        <w:tc>
          <w:tcPr>
            <w:tcW w:type="dxa" w:w="3047"/>
            <w:shd w:val="clear" w:color="auto" w:fill="F1F2F5"/>
          </w:tcPr>
          <w:p>
            <w:pPr>
              <w:pStyle w:val="Compact"/>
              <w:spacing w:after="0" w:before="0" w:line="240" w:lineRule="auto"/>
              <w:jc w:val="left"/>
            </w:pPr>
            <w:r>
              <w:rPr>
                <w:rFonts w:ascii="Arial" w:hAnsi="Arial"/>
                <w:sz w:val="15"/>
              </w:rPr>
              <w:t xml:space="preserve">Close-out = major re-rating; new 483s = major negative</w:t>
            </w:r>
          </w:p>
        </w:tc>
        <w:tc>
          <w:tcPr>
            <w:tcW w:type="dxa" w:w="1654"/>
            <w:shd w:val="clear" w:color="auto" w:fill="F1F2F5"/>
          </w:tcPr>
          <w:p>
            <w:pPr>
              <w:pStyle w:val="Compact"/>
              <w:spacing w:after="0" w:before="0" w:line="240" w:lineRule="auto"/>
              <w:jc w:val="center"/>
            </w:pPr>
            <w:r>
              <w:rPr>
                <w:bCs/>
                <w:rFonts w:ascii="Arial" w:hAnsi="Arial"/>
                <w:b/>
                <w:sz w:val="15"/>
              </w:rPr>
              <w:t xml:space="preserve">High</w:t>
            </w:r>
          </w:p>
        </w:tc>
      </w:tr>
      <w:tr>
        <w:trPr>
          <w:cantSplit/>
        </w:trPr>
        <w:tc>
          <w:tcPr>
            <w:tcW w:type="dxa" w:w="2154"/>
          </w:tcPr>
          <w:p>
            <w:pPr>
              <w:pStyle w:val="Compact"/>
              <w:spacing w:after="0" w:before="0" w:line="240" w:lineRule="auto"/>
              <w:jc w:val="left"/>
            </w:pPr>
            <w:r>
              <w:rPr>
                <w:rFonts w:ascii="Arial" w:hAnsi="Arial"/>
                <w:sz w:val="15"/>
              </w:rPr>
              <w:t xml:space="preserve">Rolling</w:t>
            </w:r>
          </w:p>
        </w:tc>
        <w:tc>
          <w:tcPr>
            <w:tcW w:type="dxa" w:w="3122"/>
          </w:tcPr>
          <w:p>
            <w:pPr>
              <w:pStyle w:val="Compact"/>
              <w:spacing w:after="0" w:before="0" w:line="240" w:lineRule="auto"/>
              <w:jc w:val="left"/>
            </w:pPr>
            <w:r>
              <w:rPr>
                <w:bCs/>
                <w:rFonts w:ascii="Arial" w:hAnsi="Arial"/>
                <w:b/>
                <w:sz w:val="15"/>
              </w:rPr>
              <w:t xml:space="preserve">Surgical strategic review outcome</w:t>
            </w:r>
          </w:p>
        </w:tc>
        <w:tc>
          <w:tcPr>
            <w:tcW w:type="dxa" w:w="3047"/>
          </w:tcPr>
          <w:p>
            <w:pPr>
              <w:pStyle w:val="Compact"/>
              <w:spacing w:after="0" w:before="0" w:line="240" w:lineRule="auto"/>
              <w:jc w:val="left"/>
            </w:pPr>
            <w:r>
              <w:rPr>
                <w:rFonts w:ascii="Arial" w:hAnsi="Arial"/>
                <w:sz w:val="15"/>
              </w:rPr>
              <w:t xml:space="preserve">Sale, JV or retain; use of proceeds</w:t>
            </w:r>
          </w:p>
        </w:tc>
        <w:tc>
          <w:tcPr>
            <w:tcW w:type="dxa" w:w="1654"/>
          </w:tcPr>
          <w:p>
            <w:pPr>
              <w:pStyle w:val="Compact"/>
              <w:spacing w:after="0" w:before="0" w:line="240" w:lineRule="auto"/>
              <w:jc w:val="center"/>
            </w:pPr>
            <w:r>
              <w:rPr>
                <w:bCs/>
                <w:rFonts w:ascii="Arial" w:hAnsi="Arial"/>
                <w:b/>
                <w:sz w:val="15"/>
              </w:rPr>
              <w:t xml:space="preserve">High</w:t>
            </w:r>
          </w:p>
        </w:tc>
      </w:tr>
      <w:tr>
        <w:trPr>
          <w:cantSplit/>
        </w:trPr>
        <w:tc>
          <w:tcPr>
            <w:tcW w:type="dxa" w:w="2154"/>
            <w:shd w:val="clear" w:color="auto" w:fill="F1F2F5"/>
          </w:tcPr>
          <w:p>
            <w:pPr>
              <w:pStyle w:val="Compact"/>
              <w:spacing w:after="0" w:before="0" w:line="240" w:lineRule="auto"/>
              <w:jc w:val="left"/>
            </w:pPr>
            <w:r>
              <w:rPr>
                <w:rFonts w:ascii="Arial" w:hAnsi="Arial"/>
                <w:sz w:val="15"/>
              </w:rPr>
              <w:t xml:space="preserve">By Mar-2027</w:t>
            </w:r>
          </w:p>
        </w:tc>
        <w:tc>
          <w:tcPr>
            <w:tcW w:type="dxa" w:w="3122"/>
            <w:shd w:val="clear" w:color="auto" w:fill="F1F2F5"/>
          </w:tcPr>
          <w:p>
            <w:pPr>
              <w:pStyle w:val="Compact"/>
              <w:spacing w:after="0" w:before="0" w:line="240" w:lineRule="auto"/>
              <w:jc w:val="left"/>
            </w:pPr>
            <w:r>
              <w:rPr>
                <w:rFonts w:ascii="Arial" w:hAnsi="Arial"/>
                <w:sz w:val="15"/>
              </w:rPr>
              <w:t xml:space="preserve">Completion of ~2,000-role reduction</w:t>
            </w:r>
          </w:p>
        </w:tc>
        <w:tc>
          <w:tcPr>
            <w:tcW w:type="dxa" w:w="3047"/>
            <w:shd w:val="clear" w:color="auto" w:fill="F1F2F5"/>
          </w:tcPr>
          <w:p>
            <w:pPr>
              <w:pStyle w:val="Compact"/>
              <w:spacing w:after="0" w:before="0" w:line="240" w:lineRule="auto"/>
              <w:jc w:val="left"/>
            </w:pPr>
            <w:r>
              <w:rPr>
                <w:rFonts w:ascii="Arial" w:hAnsi="Arial"/>
                <w:sz w:val="15"/>
              </w:rPr>
              <w:t xml:space="preserve">Margin delivery (100bp+/yr)</w:t>
            </w:r>
          </w:p>
        </w:tc>
        <w:tc>
          <w:tcPr>
            <w:tcW w:type="dxa" w:w="1654"/>
            <w:shd w:val="clear" w:color="auto" w:fill="F1F2F5"/>
          </w:tcPr>
          <w:p>
            <w:pPr>
              <w:pStyle w:val="Compact"/>
              <w:spacing w:after="0" w:before="0" w:line="240" w:lineRule="auto"/>
              <w:jc w:val="center"/>
            </w:pPr>
            <w:r>
              <w:rPr>
                <w:rFonts w:ascii="Arial" w:hAnsi="Arial"/>
                <w:sz w:val="15"/>
              </w:rPr>
              <w:t xml:space="preserve">Medium</w:t>
            </w:r>
          </w:p>
        </w:tc>
      </w:tr>
      <w:tr>
        <w:trPr>
          <w:cantSplit/>
        </w:trPr>
        <w:tc>
          <w:tcPr>
            <w:tcW w:type="dxa" w:w="2154"/>
          </w:tcPr>
          <w:p>
            <w:pPr>
              <w:pStyle w:val="Compact"/>
              <w:spacing w:after="0" w:before="0" w:line="240" w:lineRule="auto"/>
              <w:jc w:val="left"/>
            </w:pPr>
            <w:r>
              <w:rPr>
                <w:bCs/>
                <w:rFonts w:ascii="Arial" w:hAnsi="Arial"/>
                <w:b/>
                <w:sz w:val="15"/>
              </w:rPr>
              <w:t xml:space="preserve">~12-May-2027 [e]</w:t>
            </w:r>
          </w:p>
        </w:tc>
        <w:tc>
          <w:tcPr>
            <w:tcW w:type="dxa" w:w="3122"/>
          </w:tcPr>
          <w:p>
            <w:pPr>
              <w:pStyle w:val="Compact"/>
              <w:spacing w:after="0" w:before="0" w:line="240" w:lineRule="auto"/>
              <w:jc w:val="left"/>
            </w:pPr>
            <w:r>
              <w:rPr>
                <w:bCs/>
                <w:rFonts w:ascii="Arial" w:hAnsi="Arial"/>
                <w:b/>
                <w:sz w:val="15"/>
              </w:rPr>
              <w:t xml:space="preserve">FY3/27 results; FY3/28 guidance; shareholder returns</w:t>
            </w:r>
          </w:p>
        </w:tc>
        <w:tc>
          <w:tcPr>
            <w:tcW w:type="dxa" w:w="3047"/>
          </w:tcPr>
          <w:p>
            <w:pPr>
              <w:pStyle w:val="Compact"/>
              <w:spacing w:after="0" w:before="0" w:line="240" w:lineRule="auto"/>
              <w:jc w:val="left"/>
            </w:pPr>
            <w:r>
              <w:rPr>
                <w:rFonts w:ascii="Arial" w:hAnsi="Arial"/>
                <w:sz w:val="15"/>
              </w:rPr>
              <w:t xml:space="preserve">Buyback (announced at FY results in 2023–26)</w:t>
            </w:r>
          </w:p>
        </w:tc>
        <w:tc>
          <w:tcPr>
            <w:tcW w:type="dxa" w:w="1654"/>
          </w:tcPr>
          <w:p>
            <w:pPr>
              <w:pStyle w:val="Compact"/>
              <w:spacing w:after="0" w:before="0" w:line="240" w:lineRule="auto"/>
              <w:jc w:val="center"/>
            </w:pPr>
            <w:r>
              <w:rPr>
                <w:bCs/>
                <w:rFonts w:ascii="Arial" w:hAnsi="Arial"/>
                <w:b/>
                <w:sz w:val="15"/>
              </w:rPr>
              <w:t xml:space="preserve">High</w:t>
            </w:r>
          </w:p>
        </w:tc>
      </w:tr>
      <w:tr>
        <w:trPr>
          <w:cantSplit/>
        </w:trPr>
        <w:tc>
          <w:tcPr>
            <w:tcW w:type="dxa" w:w="2154"/>
            <w:shd w:val="clear" w:color="auto" w:fill="F1F2F5"/>
          </w:tcPr>
          <w:p>
            <w:pPr>
              <w:pStyle w:val="Compact"/>
              <w:spacing w:after="0" w:before="0" w:line="240" w:lineRule="auto"/>
              <w:jc w:val="left"/>
            </w:pPr>
            <w:r>
              <w:rPr>
                <w:rFonts w:ascii="Arial" w:hAnsi="Arial"/>
                <w:sz w:val="15"/>
              </w:rPr>
              <w:t xml:space="preserve">~25-Jun-2027</w:t>
            </w:r>
          </w:p>
        </w:tc>
        <w:tc>
          <w:tcPr>
            <w:tcW w:type="dxa" w:w="3122"/>
            <w:shd w:val="clear" w:color="auto" w:fill="F1F2F5"/>
          </w:tcPr>
          <w:p>
            <w:pPr>
              <w:pStyle w:val="Compact"/>
              <w:spacing w:after="0" w:before="0" w:line="240" w:lineRule="auto"/>
              <w:jc w:val="left"/>
            </w:pPr>
            <w:r>
              <w:rPr>
                <w:rFonts w:ascii="Arial" w:hAnsi="Arial"/>
                <w:sz w:val="15"/>
              </w:rPr>
              <w:t xml:space="preserve">AGM</w:t>
            </w:r>
          </w:p>
        </w:tc>
        <w:tc>
          <w:tcPr>
            <w:tcW w:type="dxa" w:w="3047"/>
            <w:shd w:val="clear" w:color="auto" w:fill="F1F2F5"/>
          </w:tcPr>
          <w:p>
            <w:pPr>
              <w:pStyle w:val="Compact"/>
              <w:spacing w:after="0" w:before="0" w:line="240" w:lineRule="auto"/>
              <w:jc w:val="left"/>
            </w:pPr>
            <w:r>
              <w:rPr>
                <w:rFonts w:ascii="Arial" w:hAnsi="Arial"/>
                <w:sz w:val="15"/>
              </w:rPr>
              <w:t xml:space="preserve">Director slate (10 seats); pay; possible shareholder proposals</w:t>
            </w:r>
          </w:p>
        </w:tc>
        <w:tc>
          <w:tcPr>
            <w:tcW w:type="dxa" w:w="1654"/>
            <w:shd w:val="clear" w:color="auto" w:fill="F1F2F5"/>
          </w:tcPr>
          <w:p>
            <w:pPr>
              <w:pStyle w:val="Compact"/>
              <w:spacing w:after="0" w:before="0" w:line="240" w:lineRule="auto"/>
              <w:jc w:val="center"/>
            </w:pPr>
            <w:r>
              <w:rPr>
                <w:rFonts w:ascii="Arial" w:hAnsi="Arial"/>
                <w:sz w:val="15"/>
              </w:rPr>
              <w:t xml:space="preserve">Medium</w:t>
            </w:r>
          </w:p>
        </w:tc>
      </w:tr>
      <w:tr>
        <w:trPr>
          <w:cantSplit/>
        </w:trPr>
        <w:tc>
          <w:tcPr>
            <w:tcW w:type="dxa" w:w="2154"/>
          </w:tcPr>
          <w:p>
            <w:pPr>
              <w:pStyle w:val="Compact"/>
              <w:spacing w:after="0" w:before="0" w:line="240" w:lineRule="auto"/>
              <w:jc w:val="left"/>
            </w:pPr>
            <w:r>
              <w:rPr>
                <w:rFonts w:ascii="Arial" w:hAnsi="Arial"/>
                <w:sz w:val="15"/>
              </w:rPr>
              <w:t xml:space="preserve">Unknown</w:t>
            </w:r>
          </w:p>
        </w:tc>
        <w:tc>
          <w:tcPr>
            <w:tcW w:type="dxa" w:w="3122"/>
          </w:tcPr>
          <w:p>
            <w:pPr>
              <w:pStyle w:val="Compact"/>
              <w:spacing w:after="0" w:before="0" w:line="240" w:lineRule="auto"/>
              <w:jc w:val="left"/>
            </w:pPr>
            <w:r>
              <w:rPr>
                <w:rFonts w:ascii="Arial" w:hAnsi="Arial"/>
                <w:sz w:val="15"/>
              </w:rPr>
              <w:t xml:space="preserve">US Section 232 medical-device tariff decision</w:t>
            </w:r>
          </w:p>
        </w:tc>
        <w:tc>
          <w:tcPr>
            <w:tcW w:type="dxa" w:w="3047"/>
          </w:tcPr>
          <w:p>
            <w:pPr>
              <w:pStyle w:val="Compact"/>
              <w:spacing w:after="0" w:before="0" w:line="240" w:lineRule="auto"/>
              <w:jc w:val="left"/>
            </w:pPr>
            <w:r>
              <w:rPr>
                <w:rFonts w:ascii="Arial" w:hAnsi="Arial"/>
                <w:sz w:val="15"/>
              </w:rPr>
              <w:t xml:space="preserve">Sector tariff on endoscopes</w:t>
            </w:r>
          </w:p>
        </w:tc>
        <w:tc>
          <w:tcPr>
            <w:tcW w:type="dxa" w:w="1654"/>
          </w:tcPr>
          <w:p>
            <w:pPr>
              <w:pStyle w:val="Compact"/>
              <w:spacing w:after="0" w:before="0" w:line="240" w:lineRule="auto"/>
              <w:jc w:val="center"/>
            </w:pPr>
            <w:r>
              <w:rPr>
                <w:rFonts w:ascii="Arial" w:hAnsi="Arial"/>
                <w:sz w:val="15"/>
              </w:rPr>
              <w:t xml:space="preserve">Medium</w:t>
            </w:r>
          </w:p>
        </w:tc>
      </w:tr>
      <w:tr>
        <w:trPr>
          <w:cantSplit/>
        </w:trPr>
        <w:tc>
          <w:tcPr>
            <w:tcW w:type="dxa" w:w="2154"/>
            <w:shd w:val="clear" w:color="auto" w:fill="F1F2F5"/>
          </w:tcPr>
          <w:p>
            <w:pPr>
              <w:pStyle w:val="Compact"/>
              <w:spacing w:after="0" w:before="0" w:line="240" w:lineRule="auto"/>
              <w:jc w:val="left"/>
            </w:pPr>
            <w:r>
              <w:rPr>
                <w:rFonts w:ascii="Arial" w:hAnsi="Arial"/>
                <w:sz w:val="15"/>
              </w:rPr>
              <w:t xml:space="preserve">Rolling</w:t>
            </w:r>
          </w:p>
        </w:tc>
        <w:tc>
          <w:tcPr>
            <w:tcW w:type="dxa" w:w="3122"/>
            <w:shd w:val="clear" w:color="auto" w:fill="F1F2F5"/>
          </w:tcPr>
          <w:p>
            <w:pPr>
              <w:pStyle w:val="Compact"/>
              <w:spacing w:after="0" w:before="0" w:line="240" w:lineRule="auto"/>
              <w:jc w:val="left"/>
            </w:pPr>
            <w:r>
              <w:rPr>
                <w:rFonts w:ascii="Arial" w:hAnsi="Arial"/>
                <w:sz w:val="15"/>
              </w:rPr>
              <w:t xml:space="preserve">China VBP rounds; anti-corruption enforcement</w:t>
            </w:r>
          </w:p>
        </w:tc>
        <w:tc>
          <w:tcPr>
            <w:tcW w:type="dxa" w:w="3047"/>
            <w:shd w:val="clear" w:color="auto" w:fill="F1F2F5"/>
          </w:tcPr>
          <w:p>
            <w:pPr>
              <w:pStyle w:val="Compact"/>
              <w:spacing w:after="0" w:before="0" w:line="240" w:lineRule="auto"/>
              <w:jc w:val="left"/>
            </w:pPr>
            <w:r>
              <w:rPr>
                <w:rFonts w:ascii="Arial" w:hAnsi="Arial"/>
                <w:sz w:val="15"/>
              </w:rPr>
              <w:t xml:space="preserve">China trajectory</w:t>
            </w:r>
          </w:p>
        </w:tc>
        <w:tc>
          <w:tcPr>
            <w:tcW w:type="dxa" w:w="1654"/>
            <w:shd w:val="clear" w:color="auto" w:fill="F1F2F5"/>
          </w:tcPr>
          <w:p>
            <w:pPr>
              <w:pStyle w:val="Compact"/>
              <w:spacing w:after="0" w:before="0" w:line="240" w:lineRule="auto"/>
              <w:jc w:val="center"/>
            </w:pPr>
            <w:r>
              <w:rPr>
                <w:rFonts w:ascii="Arial" w:hAnsi="Arial"/>
                <w:sz w:val="15"/>
              </w:rPr>
              <w:t xml:space="preserve">Medium</w:t>
            </w:r>
          </w:p>
        </w:tc>
      </w:tr>
      <w:tr>
        <w:trPr>
          <w:cantSplit/>
        </w:trPr>
        <w:tc>
          <w:tcPr>
            <w:tcW w:type="dxa" w:w="2154"/>
          </w:tcPr>
          <w:p>
            <w:pPr>
              <w:pStyle w:val="Compact"/>
              <w:spacing w:after="0" w:before="0" w:line="240" w:lineRule="auto"/>
              <w:jc w:val="left"/>
            </w:pPr>
            <w:r>
              <w:rPr>
                <w:rFonts w:ascii="Arial" w:hAnsi="Arial"/>
                <w:sz w:val="15"/>
              </w:rPr>
              <w:t xml:space="preserve">Rolling</w:t>
            </w:r>
          </w:p>
        </w:tc>
        <w:tc>
          <w:tcPr>
            <w:tcW w:type="dxa" w:w="3122"/>
          </w:tcPr>
          <w:p>
            <w:pPr>
              <w:pStyle w:val="Compact"/>
              <w:spacing w:after="0" w:before="0" w:line="240" w:lineRule="auto"/>
              <w:jc w:val="left"/>
            </w:pPr>
            <w:r>
              <w:rPr>
                <w:rFonts w:ascii="Arial" w:hAnsi="Arial"/>
                <w:sz w:val="15"/>
              </w:rPr>
              <w:t xml:space="preserve">Unsolicited approach or take-private interest</w:t>
            </w:r>
          </w:p>
        </w:tc>
        <w:tc>
          <w:tcPr>
            <w:tcW w:type="dxa" w:w="3047"/>
          </w:tcPr>
          <w:p>
            <w:pPr>
              <w:pStyle w:val="Compact"/>
              <w:spacing w:after="0" w:before="0" w:line="240" w:lineRule="auto"/>
              <w:jc w:val="left"/>
            </w:pPr>
            <w:r>
              <w:rPr>
                <w:rFonts w:ascii="Arial" w:hAnsi="Arial"/>
                <w:sz w:val="15"/>
              </w:rPr>
              <w:t xml:space="preserve">METI-guideline process</w:t>
            </w:r>
          </w:p>
        </w:tc>
        <w:tc>
          <w:tcPr>
            <w:tcW w:type="dxa" w:w="1654"/>
          </w:tcPr>
          <w:p>
            <w:pPr>
              <w:pStyle w:val="Compact"/>
              <w:spacing w:after="0" w:before="0" w:line="240" w:lineRule="auto"/>
              <w:jc w:val="center"/>
            </w:pPr>
            <w:r>
              <w:rPr>
                <w:rFonts w:ascii="Arial" w:hAnsi="Arial"/>
                <w:sz w:val="15"/>
              </w:rPr>
              <w:t xml:space="preserve">High (low probability)</w:t>
            </w:r>
          </w:p>
        </w:tc>
      </w:tr>
    </w:tbl>
    <w:bookmarkEnd w:id="138"/>
    <w:bookmarkEnd w:id="139"/>
    <w:bookmarkStart w:id="160" w:name="appendix-sources-methodology-and-caveats"/>
    <w:p>
      <w:pPr>
        <w:pStyle w:val="Heading1"/>
      </w:pPr>
      <w:r>
        <w:t xml:space="preserve">Appendix: sources, methodology and caveats</w:t>
      </w:r>
    </w:p>
    <w:p>
      <w:pPr>
        <w:pStyle w:val="FirstParagraph"/>
      </w:pPr>
      <w:r>
        <w:rPr>
          <w:bCs/>
          <w:b/>
        </w:rPr>
        <w:t xml:space="preserve">Primary data (S&amp;P Global).</w:t>
      </w:r>
    </w:p>
    <w:p>
      <w:pPr>
        <w:numPr>
          <w:ilvl w:val="0"/>
          <w:numId w:val="1058"/>
        </w:numPr>
        <w:pStyle w:val="Compact"/>
      </w:pPr>
      <w:r>
        <w:t xml:space="preserve">S&amp;P Capital IQ financials (company C_681217), estimates (consensus as of 14–18 Oct 2026), multiples and market data (16-Oct-2026 close).</w:t>
      </w:r>
    </w:p>
    <w:p>
      <w:pPr>
        <w:numPr>
          <w:ilvl w:val="0"/>
          <w:numId w:val="1058"/>
        </w:numPr>
        <w:pStyle w:val="Compact"/>
      </w:pPr>
      <w:r>
        <w:t xml:space="preserve">Key Developments, Transactions, Professionals (management, board and compensation), and earnings-call transcripts (xpf_transcripts_unstructured), all via S&amp;P Global Adaptive Retrieval and Deterministic Retrieval.</w:t>
      </w:r>
    </w:p>
    <w:p>
      <w:pPr>
        <w:numPr>
          <w:ilvl w:val="0"/>
          <w:numId w:val="1058"/>
        </w:numPr>
        <w:pStyle w:val="Compact"/>
      </w:pPr>
      <w:r>
        <w:t xml:space="preserve">Olympus filings via the CapIQ document viewer:</w:t>
      </w:r>
    </w:p>
    <w:p>
      <w:pPr>
        <w:numPr>
          <w:ilvl w:val="1"/>
          <w:numId w:val="1059"/>
        </w:numPr>
        <w:pStyle w:val="Compact"/>
      </w:pPr>
      <w:r>
        <w:t xml:space="preserve">Tanshin FY3/22–FY3/26 (mids 182523037, 204781920, 225526426, 241368482, 259974776).</w:t>
      </w:r>
    </w:p>
    <w:p>
      <w:pPr>
        <w:numPr>
          <w:ilvl w:val="1"/>
          <w:numId w:val="1059"/>
        </w:numPr>
        <w:pStyle w:val="Compact"/>
      </w:pPr>
      <w:r>
        <w:t xml:space="preserve">Quarterly reports (mids 246794189, 255532032).</w:t>
      </w:r>
    </w:p>
    <w:p>
      <w:pPr>
        <w:numPr>
          <w:ilvl w:val="1"/>
          <w:numId w:val="1059"/>
        </w:numPr>
        <w:pStyle w:val="Compact"/>
      </w:pPr>
      <w:r>
        <w:t xml:space="preserve">Integrated Reports 2024–2025 (mids 235949585, 249336586).</w:t>
      </w:r>
    </w:p>
    <w:p>
      <w:pPr>
        <w:numPr>
          <w:ilvl w:val="1"/>
          <w:numId w:val="1059"/>
        </w:numPr>
        <w:pStyle w:val="Compact"/>
      </w:pPr>
      <w:r>
        <w:t xml:space="preserve">Earnings-call transcripts (mids 232617973, 236878718, 248225472, 255481114, 260347193).</w:t>
      </w:r>
    </w:p>
    <w:p>
      <w:pPr>
        <w:pStyle w:val="FirstParagraph"/>
      </w:pPr>
      <w:r>
        <w:rPr>
          <w:bCs/>
          <w:b/>
        </w:rPr>
        <w:t xml:space="preserve">Web sources (gap-fill, marked [u] where single-source).</w:t>
      </w:r>
    </w:p>
    <w:p>
      <w:pPr>
        <w:numPr>
          <w:ilvl w:val="0"/>
          <w:numId w:val="1060"/>
        </w:numPr>
        <w:pStyle w:val="Compact"/>
      </w:pPr>
      <w:r>
        <w:t xml:space="preserve">FDA:</w:t>
      </w:r>
      <w:r>
        <w:t xml:space="preserve"> </w:t>
      </w:r>
      <w:hyperlink r:id="rId140">
        <w:r>
          <w:rPr>
            <w:rStyle w:val="Hyperlink"/>
          </w:rPr>
          <w:t xml:space="preserve">Import alerts letter to health-care providers (Jun-2025)</w:t>
        </w:r>
      </w:hyperlink>
      <w:r>
        <w:t xml:space="preserve">;</w:t>
      </w:r>
      <w:r>
        <w:t xml:space="preserve"> </w:t>
      </w:r>
      <w:hyperlink r:id="rId141">
        <w:r>
          <w:rPr>
            <w:rStyle w:val="Hyperlink"/>
          </w:rPr>
          <w:t xml:space="preserve">OMSC Warning Letter 12-Dec-2022</w:t>
        </w:r>
      </w:hyperlink>
      <w:r>
        <w:t xml:space="preserve">.</w:t>
      </w:r>
    </w:p>
    <w:p>
      <w:pPr>
        <w:numPr>
          <w:ilvl w:val="0"/>
          <w:numId w:val="1060"/>
        </w:numPr>
        <w:pStyle w:val="Compact"/>
      </w:pPr>
      <w:r>
        <w:t xml:space="preserve">Warning Letter and import-alert coverage:</w:t>
      </w:r>
      <w:r>
        <w:t xml:space="preserve"> </w:t>
      </w:r>
      <w:hyperlink r:id="rId142">
        <w:r>
          <w:rPr>
            <w:rStyle w:val="Hyperlink"/>
          </w:rPr>
          <w:t xml:space="preserve">MassDevice</w:t>
        </w:r>
      </w:hyperlink>
      <w:r>
        <w:t xml:space="preserve">;</w:t>
      </w:r>
      <w:r>
        <w:t xml:space="preserve"> </w:t>
      </w:r>
      <w:hyperlink r:id="rId143">
        <w:r>
          <w:rPr>
            <w:rStyle w:val="Hyperlink"/>
          </w:rPr>
          <w:t xml:space="preserve">MedTech Dive</w:t>
        </w:r>
      </w:hyperlink>
      <w:r>
        <w:t xml:space="preserve">;</w:t>
      </w:r>
      <w:r>
        <w:t xml:space="preserve"> </w:t>
      </w:r>
      <w:hyperlink r:id="rId144">
        <w:r>
          <w:rPr>
            <w:rStyle w:val="Hyperlink"/>
          </w:rPr>
          <w:t xml:space="preserve">Fierce Biotech</w:t>
        </w:r>
      </w:hyperlink>
      <w:r>
        <w:t xml:space="preserve">;</w:t>
      </w:r>
      <w:r>
        <w:t xml:space="preserve"> </w:t>
      </w:r>
      <w:hyperlink r:id="rId145">
        <w:r>
          <w:rPr>
            <w:rStyle w:val="Hyperlink"/>
          </w:rPr>
          <w:t xml:space="preserve">MONOIST</w:t>
        </w:r>
      </w:hyperlink>
      <w:r>
        <w:t xml:space="preserve">;</w:t>
      </w:r>
      <w:r>
        <w:t xml:space="preserve"> </w:t>
      </w:r>
      <w:hyperlink r:id="rId146">
        <w:r>
          <w:rPr>
            <w:rStyle w:val="Hyperlink"/>
          </w:rPr>
          <w:t xml:space="preserve">Yakuji Nippo</w:t>
        </w:r>
      </w:hyperlink>
      <w:r>
        <w:t xml:space="preserve">.</w:t>
      </w:r>
    </w:p>
    <w:p>
      <w:pPr>
        <w:numPr>
          <w:ilvl w:val="0"/>
          <w:numId w:val="1060"/>
        </w:numPr>
        <w:pStyle w:val="Compact"/>
      </w:pPr>
      <w:r>
        <w:t xml:space="preserve">Results and strategy:</w:t>
      </w:r>
      <w:r>
        <w:t xml:space="preserve"> </w:t>
      </w:r>
      <w:hyperlink r:id="rId147">
        <w:r>
          <w:rPr>
            <w:rStyle w:val="Hyperlink"/>
          </w:rPr>
          <w:t xml:space="preserve">Quartr 1Q FY2027</w:t>
        </w:r>
      </w:hyperlink>
      <w:r>
        <w:t xml:space="preserve">;</w:t>
      </w:r>
      <w:r>
        <w:t xml:space="preserve"> </w:t>
      </w:r>
      <w:hyperlink r:id="rId148">
        <w:r>
          <w:rPr>
            <w:rStyle w:val="Hyperlink"/>
          </w:rPr>
          <w:t xml:space="preserve">FilingReader (new strategy, Nov-2025)</w:t>
        </w:r>
      </w:hyperlink>
      <w:r>
        <w:t xml:space="preserve">;</w:t>
      </w:r>
      <w:r>
        <w:t xml:space="preserve"> </w:t>
      </w:r>
      <w:hyperlink r:id="rId149">
        <w:r>
          <w:rPr>
            <w:rStyle w:val="Hyperlink"/>
          </w:rPr>
          <w:t xml:space="preserve">FilingReader (JPY60bn buyback)</w:t>
        </w:r>
      </w:hyperlink>
      <w:r>
        <w:t xml:space="preserve">;</w:t>
      </w:r>
      <w:r>
        <w:t xml:space="preserve"> </w:t>
      </w:r>
      <w:hyperlink r:id="rId150">
        <w:r>
          <w:rPr>
            <w:rStyle w:val="Hyperlink"/>
          </w:rPr>
          <w:t xml:space="preserve">MDDI (2,000 job cuts)</w:t>
        </w:r>
      </w:hyperlink>
      <w:r>
        <w:t xml:space="preserve">.</w:t>
      </w:r>
    </w:p>
    <w:p>
      <w:pPr>
        <w:numPr>
          <w:ilvl w:val="0"/>
          <w:numId w:val="1060"/>
        </w:numPr>
        <w:pStyle w:val="Compact"/>
      </w:pPr>
      <w:r>
        <w:t xml:space="preserve">Shareholders:</w:t>
      </w:r>
      <w:r>
        <w:t xml:space="preserve"> </w:t>
      </w:r>
      <w:hyperlink r:id="rId151">
        <w:r>
          <w:rPr>
            <w:rStyle w:val="Hyperlink"/>
          </w:rPr>
          <w:t xml:space="preserve">Matsui (Artisan 5% filing)</w:t>
        </w:r>
      </w:hyperlink>
      <w:r>
        <w:t xml:space="preserve">;</w:t>
      </w:r>
      <w:r>
        <w:t xml:space="preserve"> </w:t>
      </w:r>
      <w:hyperlink r:id="rId152">
        <w:r>
          <w:rPr>
            <w:rStyle w:val="Hyperlink"/>
          </w:rPr>
          <w:t xml:space="preserve">kabutore</w:t>
        </w:r>
      </w:hyperlink>
      <w:r>
        <w:t xml:space="preserve">.</w:t>
      </w:r>
    </w:p>
    <w:p>
      <w:pPr>
        <w:numPr>
          <w:ilvl w:val="0"/>
          <w:numId w:val="1060"/>
        </w:numPr>
        <w:pStyle w:val="Compact"/>
      </w:pPr>
      <w:r>
        <w:t xml:space="preserve">ValueAct:</w:t>
      </w:r>
      <w:r>
        <w:t xml:space="preserve"> </w:t>
      </w:r>
      <w:hyperlink r:id="rId153">
        <w:r>
          <w:rPr>
            <w:rStyle w:val="Hyperlink"/>
          </w:rPr>
          <w:t xml:space="preserve">Investing.com/Reuters</w:t>
        </w:r>
      </w:hyperlink>
      <w:r>
        <w:t xml:space="preserve">.</w:t>
      </w:r>
    </w:p>
    <w:p>
      <w:pPr>
        <w:numPr>
          <w:ilvl w:val="0"/>
          <w:numId w:val="1060"/>
        </w:numPr>
        <w:pStyle w:val="Compact"/>
      </w:pPr>
      <w:r>
        <w:t xml:space="preserve">Kaufmann case:</w:t>
      </w:r>
      <w:r>
        <w:t xml:space="preserve"> </w:t>
      </w:r>
      <w:hyperlink r:id="rId154">
        <w:r>
          <w:rPr>
            <w:rStyle w:val="Hyperlink"/>
          </w:rPr>
          <w:t xml:space="preserve">nippon.com</w:t>
        </w:r>
      </w:hyperlink>
      <w:r>
        <w:t xml:space="preserve">.</w:t>
      </w:r>
    </w:p>
    <w:p>
      <w:pPr>
        <w:numPr>
          <w:ilvl w:val="0"/>
          <w:numId w:val="1060"/>
        </w:numPr>
        <w:pStyle w:val="Compact"/>
      </w:pPr>
      <w:r>
        <w:t xml:space="preserve">Deal comparables:</w:t>
      </w:r>
      <w:r>
        <w:t xml:space="preserve"> </w:t>
      </w:r>
      <w:hyperlink r:id="rId155">
        <w:r>
          <w:rPr>
            <w:rStyle w:val="Hyperlink"/>
          </w:rPr>
          <w:t xml:space="preserve">Hologic</w:t>
        </w:r>
      </w:hyperlink>
      <w:r>
        <w:t xml:space="preserve">;</w:t>
      </w:r>
      <w:r>
        <w:t xml:space="preserve"> </w:t>
      </w:r>
      <w:hyperlink r:id="rId156">
        <w:r>
          <w:rPr>
            <w:rStyle w:val="Hyperlink"/>
          </w:rPr>
          <w:t xml:space="preserve">Topcon</w:t>
        </w:r>
      </w:hyperlink>
      <w:r>
        <w:t xml:space="preserve">;</w:t>
      </w:r>
      <w:r>
        <w:t xml:space="preserve"> </w:t>
      </w:r>
      <w:hyperlink r:id="rId157">
        <w:r>
          <w:rPr>
            <w:rStyle w:val="Hyperlink"/>
          </w:rPr>
          <w:t xml:space="preserve">KKR–Taiyo</w:t>
        </w:r>
      </w:hyperlink>
      <w:r>
        <w:t xml:space="preserve">;</w:t>
      </w:r>
      <w:r>
        <w:t xml:space="preserve"> </w:t>
      </w:r>
      <w:hyperlink r:id="rId158">
        <w:r>
          <w:rPr>
            <w:rStyle w:val="Hyperlink"/>
          </w:rPr>
          <w:t xml:space="preserve">Hoya considers endoscope sale</w:t>
        </w:r>
      </w:hyperlink>
      <w:r>
        <w:t xml:space="preserve">.</w:t>
      </w:r>
    </w:p>
    <w:p>
      <w:pPr>
        <w:numPr>
          <w:ilvl w:val="0"/>
          <w:numId w:val="1060"/>
        </w:numPr>
        <w:pStyle w:val="Compact"/>
      </w:pPr>
      <w:r>
        <w:t xml:space="preserve">FEFTA:</w:t>
      </w:r>
      <w:r>
        <w:t xml:space="preserve"> </w:t>
      </w:r>
      <w:hyperlink r:id="rId159">
        <w:r>
          <w:rPr>
            <w:rStyle w:val="Hyperlink"/>
          </w:rPr>
          <w:t xml:space="preserve">Baker McKenzie</w:t>
        </w:r>
      </w:hyperlink>
      <w:r>
        <w:t xml:space="preserve">.</w:t>
      </w:r>
    </w:p>
    <w:p>
      <w:pPr>
        <w:pStyle w:val="FirstParagraph"/>
      </w:pPr>
      <w:r>
        <w:rPr>
          <w:bCs/>
          <w:b/>
        </w:rPr>
        <w:t xml:space="preserve">Methodology.</w:t>
      </w:r>
    </w:p>
    <w:p>
      <w:pPr>
        <w:numPr>
          <w:ilvl w:val="0"/>
          <w:numId w:val="1061"/>
        </w:numPr>
        <w:pStyle w:val="Compact"/>
      </w:pPr>
      <w:r>
        <w:rPr>
          <w:bCs/>
          <w:b/>
        </w:rPr>
        <w:t xml:space="preserve">Segment and earnings model:</w:t>
      </w:r>
      <w:r>
        <w:t xml:space="preserve"> </w:t>
      </w:r>
      <w:r>
        <w:t xml:space="preserve">our own [e]. GIS and SIS are built separately at the IFRS segment-OP level.</w:t>
      </w:r>
    </w:p>
    <w:p>
      <w:pPr>
        <w:numPr>
          <w:ilvl w:val="0"/>
          <w:numId w:val="1061"/>
        </w:numPr>
        <w:pStyle w:val="Compact"/>
      </w:pPr>
      <w:r>
        <w:rPr>
          <w:bCs/>
          <w:b/>
        </w:rPr>
        <w:t xml:space="preserve">SOTP:</w:t>
      </w:r>
      <w:r>
        <w:t xml:space="preserve"> </w:t>
      </w:r>
      <w:r>
        <w:t xml:space="preserve">GIS at 12x FY3/27E EBITDA, against a 12.3x all-peer NTM median and 14.0x for endoscopy peers. SIS at 1.2x sales, against the mid-cap surgical median of 1.65x, discounted for losses.</w:t>
      </w:r>
    </w:p>
    <w:p>
      <w:pPr>
        <w:numPr>
          <w:ilvl w:val="0"/>
          <w:numId w:val="1061"/>
        </w:numPr>
        <w:pStyle w:val="Compact"/>
      </w:pPr>
      <w:r>
        <w:rPr>
          <w:bCs/>
          <w:b/>
        </w:rPr>
        <w:t xml:space="preserve">Regression:</w:t>
      </w:r>
      <w:r>
        <w:t xml:space="preserve"> </w:t>
      </w:r>
      <w:r>
        <w:t xml:space="preserve">OLS on 31 CIQ peers.</w:t>
      </w:r>
    </w:p>
    <w:p>
      <w:pPr>
        <w:numPr>
          <w:ilvl w:val="0"/>
          <w:numId w:val="1061"/>
        </w:numPr>
        <w:pStyle w:val="Compact"/>
      </w:pPr>
      <w:r>
        <w:rPr>
          <w:bCs/>
          <w:b/>
        </w:rPr>
        <w:t xml:space="preserve">Sentiment:</w:t>
      </w:r>
      <w:r>
        <w:t xml:space="preserve"> </w:t>
      </w:r>
      <w:r>
        <w:t xml:space="preserve">dictionary-based scoring of S&amp;P transcript excerpts.</w:t>
      </w:r>
    </w:p>
    <w:p>
      <w:pPr>
        <w:pStyle w:val="FirstParagraph"/>
      </w:pPr>
      <w:r>
        <w:rPr>
          <w:bCs/>
          <w:b/>
        </w:rPr>
        <w:t xml:space="preserve">Caveats.</w:t>
      </w:r>
    </w:p>
    <w:p>
      <w:pPr>
        <w:numPr>
          <w:ilvl w:val="0"/>
          <w:numId w:val="1062"/>
        </w:numPr>
        <w:pStyle w:val="Compact"/>
      </w:pPr>
      <w:r>
        <w:t xml:space="preserve">The FY3/26 yuho (securities report), the Aug-2026 1Q tanshin and JPX short-position and margin data could not be retrieved, because EDINET, JPX and Olympus IR are blocked from this environment. The gaps are flagged in the text.</w:t>
      </w:r>
    </w:p>
    <w:p>
      <w:pPr>
        <w:numPr>
          <w:ilvl w:val="0"/>
          <w:numId w:val="1062"/>
        </w:numPr>
        <w:pStyle w:val="Compact"/>
      </w:pPr>
      <w:r>
        <w:t xml:space="preserve">The ~70% GI endoscopy share is widely cited but was not verified in primary sources.</w:t>
      </w:r>
    </w:p>
    <w:p>
      <w:pPr>
        <w:numPr>
          <w:ilvl w:val="0"/>
          <w:numId w:val="1062"/>
        </w:numPr>
        <w:pStyle w:val="Compact"/>
      </w:pPr>
      <w:r>
        <w:t xml:space="preserve">Deal premiums marked [u] were not checked against merger proxies.</w:t>
      </w:r>
    </w:p>
    <w:p>
      <w:pPr>
        <w:numPr>
          <w:ilvl w:val="0"/>
          <w:numId w:val="1062"/>
        </w:numPr>
        <w:pStyle w:val="Compact"/>
      </w:pPr>
      <w:r>
        <w:t xml:space="preserve">ProntoNLP was not connected during this session. It needs re-authorisation in the claude.ai connector settings to run filing and earnings-call sentiment through it.</w:t>
      </w:r>
    </w:p>
    <w:p>
      <w:pPr>
        <w:pStyle w:val="FirstParagraph"/>
      </w:pPr>
      <w:r>
        <w:rPr>
          <w:iCs/>
          <w:i/>
        </w:rPr>
        <w:t xml:space="preserve">This report is for institutional investors and is not investment advice. Estimates are subject to change.</w:t>
      </w:r>
    </w:p>
    <w:bookmarkEnd w:id="160"/>
    <w:sectPr>
      <w:headerReference w:type="default" r:id="rId9"/>
      <w:footerReference w:type="default" r:id="rId10"/>
      <w:pgSz w:h="16838" w:w="11906"/>
      <w:pgMar w:bottom="850" w:left="964" w:right="964"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sz w:val="15"/>
      </w:rPr>
      <w:t xml:space="preserve">Page </w:t>
    </w:r>
    <w:r>
      <w:rPr>
        <w:sz w:val="15"/>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2514E"/>
        <w:sz w:val="15"/>
      </w:rPr>
      <w:t>Olympus Corporation (7733 JP) | Equity Research | 18 October 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69" w:lineRule="auto"/>
    </w:pPr>
    <w:rPr>
      <w:rFonts w:ascii="Arial" w:cs="Arial" w:hAnsi="Arial"/>
      <w:sz w:val="19"/>
    </w:rPr>
  </w:style>
  <w:style w:styleId="BodyText" w:type="paragraph">
    <w:name w:val="Body Text"/>
    <w:basedOn w:val="Normal"/>
    <w:link w:val="BodyTextChar"/>
    <w:pPr>
      <w:spacing w:after="80" w:before="0" w:line="269" w:lineRule="auto"/>
    </w:pPr>
    <w:qFormat/>
    <w:rPr>
      <w:rFonts w:ascii="Arial" w:cs="Arial" w:hAnsi="Arial"/>
      <w:sz w:val="19"/>
    </w:rPr>
  </w:style>
  <w:style w:customStyle="1" w:styleId="FirstParagraph" w:type="paragraph">
    <w:name w:val="First Paragraph"/>
    <w:basedOn w:val="BodyText"/>
    <w:next w:val="BodyText"/>
    <w:qFormat/>
    <w:pPr>
      <w:spacing w:after="80" w:before="0" w:line="269" w:lineRule="auto"/>
    </w:pPr>
    <w:rPr>
      <w:rFonts w:ascii="Arial" w:cs="Arial" w:hAnsi="Arial"/>
      <w:sz w:val="19"/>
    </w:rPr>
  </w:style>
  <w:style w:customStyle="1" w:styleId="Compact" w:type="paragraph">
    <w:name w:val="Compact"/>
    <w:basedOn w:val="BodyText"/>
    <w:qFormat/>
    <w:pPr>
      <w:spacing w:after="80" w:before="0" w:line="269" w:lineRule="auto"/>
    </w:pPr>
    <w:rPr>
      <w:rFonts w:ascii="Arial" w:cs="Arial" w:hAnsi="Arial"/>
      <w:sz w:val="19"/>
    </w:rPr>
  </w:style>
  <w:style w:styleId="Title" w:type="paragraph">
    <w:name w:val="Title"/>
    <w:basedOn w:val="Normal"/>
    <w:next w:val="BodyText"/>
    <w:qFormat/>
    <w:pPr>
      <w:keepNext/>
      <w:keepLines/>
      <w:spacing w:after="80" w:before="160"/>
      <w:jc w:val="center"/>
    </w:pPr>
    <w:rPr>
      <w:rFonts w:ascii="Arial" w:cs="Arial" w:hAnsi="Arial"/>
      <w:b/>
      <w:bCs/>
      <w:i w:val="0"/>
      <w:color w:val="13213F"/>
      <w:sz w:val="44"/>
      <w:szCs w:val="36"/>
    </w:rPr>
  </w:style>
  <w:style w:styleId="Subtitle" w:type="paragraph">
    <w:name w:val="Subtitle"/>
    <w:basedOn w:val="Title"/>
    <w:next w:val="BodyText"/>
    <w:qFormat/>
    <w:pPr>
      <w:keepNext/>
      <w:keepLines/>
      <w:spacing w:after="80" w:before="160"/>
      <w:jc w:val="center"/>
    </w:pPr>
    <w:rPr>
      <w:rFonts w:ascii="Arial" w:cs="Arial" w:hAnsi="Arial"/>
      <w:b/>
      <w:i w:val="0"/>
      <w:color w:val="2A5CAA"/>
      <w:sz w:val="24"/>
      <w:szCs w:val="30"/>
    </w:rPr>
  </w:style>
  <w:style w:customStyle="1" w:styleId="Author" w:type="paragraph">
    <w:name w:val="Author"/>
    <w:next w:val="BodyText"/>
    <w:qFormat/>
    <w:pPr>
      <w:keepNext/>
      <w:keepLines/>
      <w:jc w:val="center"/>
    </w:pPr>
    <w:rPr>
      <w:rFonts w:ascii="Arial" w:cs="Arial" w:hAnsi="Arial"/>
      <w:sz w:val="18"/>
    </w:rPr>
  </w:style>
  <w:style w:styleId="Date" w:type="paragraph">
    <w:name w:val="Date"/>
    <w:next w:val="BodyText"/>
    <w:qFormat/>
    <w:pPr>
      <w:keepNext/>
      <w:keepLines/>
      <w:jc w:val="center"/>
    </w:pPr>
    <w:rPr>
      <w:rFonts w:ascii="Arial" w:cs="Arial" w:hAnsi="Arial"/>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cs="Arial" w:hAnsi="Arial"/>
      <w:b/>
      <w:bCs/>
      <w:i w:val="0"/>
      <w:color w:val="13213F"/>
      <w:sz w:val="30"/>
      <w:szCs w:val="32"/>
    </w:rPr>
  </w:style>
  <w:style w:styleId="Heading2" w:type="paragraph">
    <w:name w:val="Heading 2"/>
    <w:basedOn w:val="Normal"/>
    <w:next w:val="BodyText"/>
    <w:uiPriority w:val="9"/>
    <w:unhideWhenUsed/>
    <w:qFormat/>
    <w:pPr>
      <w:keepNext/>
      <w:keepLines/>
      <w:spacing w:after="80" w:before="160"/>
      <w:outlineLvl w:val="1"/>
    </w:pPr>
    <w:rPr>
      <w:rFonts w:ascii="Arial" w:cs="Arial" w:hAnsi="Arial"/>
      <w:b/>
      <w:bCs/>
      <w:i w:val="0"/>
      <w:color w:val="2A5CAA"/>
      <w:sz w:val="24"/>
      <w:szCs w:val="28"/>
    </w:rPr>
  </w:style>
  <w:style w:styleId="Heading3" w:type="paragraph">
    <w:name w:val="Heading 3"/>
    <w:basedOn w:val="Normal"/>
    <w:next w:val="BodyText"/>
    <w:uiPriority w:val="9"/>
    <w:unhideWhenUsed/>
    <w:qFormat/>
    <w:pPr>
      <w:keepNext/>
      <w:keepLines/>
      <w:spacing w:after="80" w:before="160"/>
      <w:outlineLvl w:val="2"/>
    </w:pPr>
    <w:rPr>
      <w:rFonts w:ascii="Arial" w:cs="Arial" w:hAnsi="Arial"/>
      <w:b/>
      <w:bCs/>
      <w:i w:val="0"/>
      <w:color w:val="13213F"/>
      <w:sz w:val="21"/>
      <w:szCs w:val="24"/>
    </w:rPr>
  </w:style>
  <w:style w:styleId="Heading4" w:type="paragraph">
    <w:name w:val="Heading 4"/>
    <w:basedOn w:val="Normal"/>
    <w:next w:val="BodyText"/>
    <w:uiPriority w:val="9"/>
    <w:unhideWhenUsed/>
    <w:qFormat/>
    <w:pPr>
      <w:keepNext/>
      <w:keepLines/>
      <w:spacing w:after="80" w:before="160"/>
      <w:outlineLvl w:val="3"/>
    </w:pPr>
    <w:rPr>
      <w:rFonts w:ascii="Arial" w:cs="Arial" w:hAnsi="Arial"/>
      <w:i w:val="0"/>
      <w:b/>
      <w:bCs/>
      <w:color w:val="13213F"/>
      <w:sz w:val="20"/>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hAnsi="Arial"/>
      <w:i/>
      <w:color w:val="52514E"/>
      <w:sz w:val="16"/>
    </w:rPr>
  </w:style>
  <w:style w:customStyle="1" w:styleId="TableCaption" w:type="paragraph">
    <w:name w:val="Table Caption"/>
    <w:basedOn w:val="Caption"/>
    <w:pPr>
      <w:keepNext/>
    </w:pPr>
    <w:rPr>
      <w:rFonts w:ascii="Arial" w:cs="Arial" w:hAnsi="Arial"/>
      <w:i/>
      <w:color w:val="52514E"/>
      <w:sz w:val="16"/>
    </w:rPr>
  </w:style>
  <w:style w:customStyle="1" w:styleId="ImageCaption" w:type="paragraph">
    <w:name w:val="Image Caption"/>
    <w:basedOn w:val="Caption"/>
    <w:rPr>
      <w:rFonts w:ascii="Arial" w:cs="Arial" w:hAnsi="Arial"/>
      <w:i/>
      <w:color w:val="52514E"/>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2" Type="http://schemas.openxmlformats.org/officeDocument/2006/relationships/image" Target="media/rId82.png"/><Relationship Id="rId42" Type="http://schemas.openxmlformats.org/officeDocument/2006/relationships/image" Target="media/rId42.png"/><Relationship Id="rId90" Type="http://schemas.openxmlformats.org/officeDocument/2006/relationships/image" Target="media/rId90.png"/><Relationship Id="rId86" Type="http://schemas.openxmlformats.org/officeDocument/2006/relationships/image" Target="media/rId86.png"/><Relationship Id="rId58" Type="http://schemas.openxmlformats.org/officeDocument/2006/relationships/image" Target="media/rId58.png"/><Relationship Id="rId61" Type="http://schemas.openxmlformats.org/officeDocument/2006/relationships/image" Target="media/rId61.png"/><Relationship Id="rId52" Type="http://schemas.openxmlformats.org/officeDocument/2006/relationships/image" Target="media/rId52.png"/><Relationship Id="rId28" Type="http://schemas.openxmlformats.org/officeDocument/2006/relationships/image" Target="media/rId28.png"/><Relationship Id="rId94" Type="http://schemas.openxmlformats.org/officeDocument/2006/relationships/image" Target="media/rId94.png"/><Relationship Id="rId107" Type="http://schemas.openxmlformats.org/officeDocument/2006/relationships/image" Target="media/rId107.png"/><Relationship Id="rId127" Type="http://schemas.openxmlformats.org/officeDocument/2006/relationships/image" Target="media/rId127.png"/><Relationship Id="rId47" Type="http://schemas.openxmlformats.org/officeDocument/2006/relationships/image" Target="media/rId47.png"/><Relationship Id="rId66" Type="http://schemas.openxmlformats.org/officeDocument/2006/relationships/image" Target="media/rId66.png"/><Relationship Id="rId130" Type="http://schemas.openxmlformats.org/officeDocument/2006/relationships/image" Target="media/rId130.png"/><Relationship Id="rId34" Type="http://schemas.openxmlformats.org/officeDocument/2006/relationships/image" Target="media/rId34.png"/><Relationship Id="rId157" Type="http://schemas.openxmlformats.org/officeDocument/2006/relationships/hyperlink" Target="https://businesswire.com/news/home/20260330364697/en/KKR-and-Taiyo-Holdings-Agree-to-Privatization-to-Accelerate-Long-Term-Growth" TargetMode="External"/><Relationship Id="rId148" Type="http://schemas.openxmlformats.org/officeDocument/2006/relationships/hyperlink" Target="https://filingreader.com/news-wire/tokyo/2025-11-07/olympus-unveils-new-strategy-leadership-and-global-job-cuts" TargetMode="External"/><Relationship Id="rId149" Type="http://schemas.openxmlformats.org/officeDocument/2006/relationships/hyperlink" Target="https://filingreader.com/news-wire/tokyo/2026-05-12/olympus-to-buy-back-60bn-yen-of-shares" TargetMode="External"/><Relationship Id="rId158" Type="http://schemas.openxmlformats.org/officeDocument/2006/relationships/hyperlink" Target="https://filingreader.com/news-wire/tokyo/2026-07-31/hoya-considers-endoscope-sale-amid-record-earnings" TargetMode="External"/><Relationship Id="rId151" Type="http://schemas.openxmlformats.org/officeDocument/2006/relationships/hyperlink" Target="https://finance.matsui.co.jp/news/594138/index" TargetMode="External"/><Relationship Id="rId156" Type="http://schemas.openxmlformats.org/officeDocument/2006/relationships/hyperlink" Target="https://finance.yahoo.com/news/kkr-jic-japans-topcon-private-093755754.html" TargetMode="External"/><Relationship Id="rId153" Type="http://schemas.openxmlformats.org/officeDocument/2006/relationships/hyperlink" Target="https://investing.com/news/stock-market-news/us-hedge-fund-valueact-has-5-percent-stake-in-japans-olympus-1469451" TargetMode="External"/><Relationship Id="rId145" Type="http://schemas.openxmlformats.org/officeDocument/2006/relationships/hyperlink" Target="https://monoist.itmedia.co.jp/mn/spv/2610/14/news043.html" TargetMode="External"/><Relationship Id="rId154" Type="http://schemas.openxmlformats.org/officeDocument/2006/relationships/hyperlink" Target="https://nippon.com/en/news/yjj2024122700112" TargetMode="External"/><Relationship Id="rId147" Type="http://schemas.openxmlformats.org/officeDocument/2006/relationships/hyperlink" Target="https://quartr.com/events/olympus-corporation-7733-q1-2027_F9b6CI2b" TargetMode="External"/><Relationship Id="rId159" Type="http://schemas.openxmlformats.org/officeDocument/2006/relationships/hyperlink" Target="https://www.bakermckenzie.com/en/insight/publications/2026/06/japan-major-amendments-to-feftas-fdi-provisions-promulgated" TargetMode="External"/><Relationship Id="rId155" Type="http://schemas.openxmlformats.org/officeDocument/2006/relationships/hyperlink" Target="https://www.blackstone.com/news/press/hologic-to-be-acquired-by-blackstone-and-tpg-for-up-to-79-per-share/" TargetMode="External"/><Relationship Id="rId141" Type="http://schemas.openxmlformats.org/officeDocument/2006/relationships/hyperlink" Target="https://www.fda.gov/inspections-compliance-enforcement-and-criminal-investigations/warning-letters/olympus-medical-systems-corporation-649726-12122022" TargetMode="External"/><Relationship Id="rId140" Type="http://schemas.openxmlformats.org/officeDocument/2006/relationships/hyperlink" Target="https://www.fda.gov/medical-devices/letters-health-care-providers/import-alerts-certain-olympus-medical-devices-manufactured-japan-letter-health-care-providers" TargetMode="External"/><Relationship Id="rId144" Type="http://schemas.openxmlformats.org/officeDocument/2006/relationships/hyperlink" Target="https://www.fiercebiotech.com/medtech/fda-moves-block-olympus-endoscope-imports-over-manufacturing-issues" TargetMode="External"/><Relationship Id="rId152" Type="http://schemas.openxmlformats.org/officeDocument/2006/relationships/hyperlink" Target="https://www.kabutore.biz/genzaikabuka/okabunushi7733.html" TargetMode="External"/><Relationship Id="rId142" Type="http://schemas.openxmlformats.org/officeDocument/2006/relationships/hyperlink" Target="https://www.massdevice.com/olympus-receives-fda-warning-letter-after-international-inspections/" TargetMode="External"/><Relationship Id="rId150" Type="http://schemas.openxmlformats.org/officeDocument/2006/relationships/hyperlink" Target="https://www.mddionline.com/business/olympus-to-lay-off-2-000" TargetMode="External"/><Relationship Id="rId143" Type="http://schemas.openxmlformats.org/officeDocument/2006/relationships/hyperlink" Target="https://www.medtechdive.com/news/Olympus-response-FDA-endoscopy-import-alert/751973/" TargetMode="External"/><Relationship Id="rId146" Type="http://schemas.openxmlformats.org/officeDocument/2006/relationships/hyperlink" Target="https://www.yakuji.co.jp/?p=140469"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57" Type="http://schemas.openxmlformats.org/officeDocument/2006/relationships/hyperlink" Target="https://businesswire.com/news/home/20260330364697/en/KKR-and-Taiyo-Holdings-Agree-to-Privatization-to-Accelerate-Long-Term-Growth" TargetMode="External"/><Relationship Id="rId148" Type="http://schemas.openxmlformats.org/officeDocument/2006/relationships/hyperlink" Target="https://filingreader.com/news-wire/tokyo/2025-11-07/olympus-unveils-new-strategy-leadership-and-global-job-cuts" TargetMode="External"/><Relationship Id="rId149" Type="http://schemas.openxmlformats.org/officeDocument/2006/relationships/hyperlink" Target="https://filingreader.com/news-wire/tokyo/2026-05-12/olympus-to-buy-back-60bn-yen-of-shares" TargetMode="External"/><Relationship Id="rId158" Type="http://schemas.openxmlformats.org/officeDocument/2006/relationships/hyperlink" Target="https://filingreader.com/news-wire/tokyo/2026-07-31/hoya-considers-endoscope-sale-amid-record-earnings" TargetMode="External"/><Relationship Id="rId151" Type="http://schemas.openxmlformats.org/officeDocument/2006/relationships/hyperlink" Target="https://finance.matsui.co.jp/news/594138/index" TargetMode="External"/><Relationship Id="rId156" Type="http://schemas.openxmlformats.org/officeDocument/2006/relationships/hyperlink" Target="https://finance.yahoo.com/news/kkr-jic-japans-topcon-private-093755754.html" TargetMode="External"/><Relationship Id="rId153" Type="http://schemas.openxmlformats.org/officeDocument/2006/relationships/hyperlink" Target="https://investing.com/news/stock-market-news/us-hedge-fund-valueact-has-5-percent-stake-in-japans-olympus-1469451" TargetMode="External"/><Relationship Id="rId145" Type="http://schemas.openxmlformats.org/officeDocument/2006/relationships/hyperlink" Target="https://monoist.itmedia.co.jp/mn/spv/2610/14/news043.html" TargetMode="External"/><Relationship Id="rId154" Type="http://schemas.openxmlformats.org/officeDocument/2006/relationships/hyperlink" Target="https://nippon.com/en/news/yjj2024122700112" TargetMode="External"/><Relationship Id="rId147" Type="http://schemas.openxmlformats.org/officeDocument/2006/relationships/hyperlink" Target="https://quartr.com/events/olympus-corporation-7733-q1-2027_F9b6CI2b" TargetMode="External"/><Relationship Id="rId159" Type="http://schemas.openxmlformats.org/officeDocument/2006/relationships/hyperlink" Target="https://www.bakermckenzie.com/en/insight/publications/2026/06/japan-major-amendments-to-feftas-fdi-provisions-promulgated" TargetMode="External"/><Relationship Id="rId155" Type="http://schemas.openxmlformats.org/officeDocument/2006/relationships/hyperlink" Target="https://www.blackstone.com/news/press/hologic-to-be-acquired-by-blackstone-and-tpg-for-up-to-79-per-share/" TargetMode="External"/><Relationship Id="rId141" Type="http://schemas.openxmlformats.org/officeDocument/2006/relationships/hyperlink" Target="https://www.fda.gov/inspections-compliance-enforcement-and-criminal-investigations/warning-letters/olympus-medical-systems-corporation-649726-12122022" TargetMode="External"/><Relationship Id="rId140" Type="http://schemas.openxmlformats.org/officeDocument/2006/relationships/hyperlink" Target="https://www.fda.gov/medical-devices/letters-health-care-providers/import-alerts-certain-olympus-medical-devices-manufactured-japan-letter-health-care-providers" TargetMode="External"/><Relationship Id="rId144" Type="http://schemas.openxmlformats.org/officeDocument/2006/relationships/hyperlink" Target="https://www.fiercebiotech.com/medtech/fda-moves-block-olympus-endoscope-imports-over-manufacturing-issues" TargetMode="External"/><Relationship Id="rId152" Type="http://schemas.openxmlformats.org/officeDocument/2006/relationships/hyperlink" Target="https://www.kabutore.biz/genzaikabuka/okabunushi7733.html" TargetMode="External"/><Relationship Id="rId142" Type="http://schemas.openxmlformats.org/officeDocument/2006/relationships/hyperlink" Target="https://www.massdevice.com/olympus-receives-fda-warning-letter-after-international-inspections/" TargetMode="External"/><Relationship Id="rId150" Type="http://schemas.openxmlformats.org/officeDocument/2006/relationships/hyperlink" Target="https://www.mddionline.com/business/olympus-to-lay-off-2-000" TargetMode="External"/><Relationship Id="rId143" Type="http://schemas.openxmlformats.org/officeDocument/2006/relationships/hyperlink" Target="https://www.medtechdive.com/news/Olympus-response-FDA-endoscopy-import-alert/751973/" TargetMode="External"/><Relationship Id="rId146" Type="http://schemas.openxmlformats.org/officeDocument/2006/relationships/hyperlink" Target="https://www.yakuji.co.jp/?p=1404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Olympus Corporation (7733 JP)</dc:title>
  <dc:creator>Event-Driven &amp; Special Situations | Equity Research</dc:creator>
  <cp:keywords/>
  <dcterms:created xsi:type="dcterms:W3CDTF">2026-10-18T14:33:16Z</dcterms:created>
  <dcterms:modified xsi:type="dcterms:W3CDTF">2026-10-18T14:33:16Z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 | Reference price JPY1,690 (close 16-Oct-2026)</vt:lpwstr>
  </property>
  <property fmtid="{D5CDD505-2E9C-101B-9397-08002B2CF9AE}" pid="3" name="subtitle">
    <vt:lpwstr>Institutional equity research: a 70%-share GI endoscopy franchise at a 10-year-low multiple, with a Surgical strategic review and FDA remediation as the event path</vt:lpwstr>
  </property>
</Properties>
</file>