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9E1B32"/>
          <w:spacing w:val="30"/>
          <w:sz w:val="16"/>
          <w:szCs w:val="16"/>
        </w:rPr>
        <w:t xml:space="preserve">EQUITY RESEARCH  ·  ADVERSARIAL DEEP-DIVE</w:t>
      </w:r>
    </w:p>
    <w:p>
      <w:pPr>
        <w:spacing w:after="0"/>
      </w:pPr>
      <w:r>
        <w:rPr>
          <w:rFonts w:ascii="Georgia" w:cs="Georgia" w:eastAsia="Georgia" w:hAnsi="Georgia"/>
          <w:b/>
          <w:bCs/>
          <w:color w:val="1F3864"/>
          <w:sz w:val="40"/>
          <w:szCs w:val="40"/>
        </w:rPr>
        <w:t xml:space="preserve">Seoul City Gas Co., Ltd.</w:t>
      </w:r>
    </w:p>
    <w:p>
      <w:pPr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KOSPI: 017390  ·  Regulated City-Gas Distribution  ·  South Korea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Deep value / negative-EV special situation  —  </w:t>
      </w:r>
      <w:r>
        <w:rPr>
          <w:rFonts w:ascii="Calibri" w:cs="Calibri" w:eastAsia="Calibri" w:hAnsi="Calibri"/>
          <w:b/>
          <w:bCs/>
          <w:i/>
          <w:iCs/>
          <w:color w:val="9E1B32"/>
          <w:sz w:val="19"/>
          <w:szCs w:val="19"/>
        </w:rPr>
        <w:t xml:space="preserve">asset-rich, governance-trapped</w:t>
      </w:r>
    </w:p>
    <w:p>
      <w:pPr>
        <w:pBdr>
          <w:bottom w:val="single" w:color="1F3864" w:sz="14" w:space="1"/>
        </w:pBdr>
        <w:spacing w:after="140" w:before="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60"/>
        <w:gridCol w:w="5600"/>
      </w:tblGrid>
      <w:tr>
        <w:tc>
          <w:tcPr>
            <w:tcW w:type="dxa" w:w="3760"/>
            <w:tcMar>
              <w:right w:type="dxa" w:w="220"/>
            </w:tcMar>
            <w:vAlign w:val="top"/>
          </w:tcPr>
          <w:tbl>
            <w:tblPr>
              <w:tblW w:type="dxa" w:w="5580"/>
              <w:tblBorders>
                <w:top w:val="single" w:color="BFBFBF" w:sz="2"/>
                <w:left w:val="none"/>
                <w:bottom w:val="single" w:color="BFBFBF" w:sz="2"/>
                <w:right w:val="none"/>
                <w:insideH w:val="single" w:color="D9D9D9" w:sz="1"/>
                <w:insideV w:val="none"/>
              </w:tblBorders>
            </w:tblPr>
            <w:tblGrid>
              <w:gridCol w:w="2520"/>
              <w:gridCol w:w="3060"/>
            </w:tblGrid>
            <w:tr>
              <w:trPr>
                <w:tblHeader/>
              </w:trPr>
              <w:tc>
                <w:tcPr>
                  <w:tcW w:type="dxa" w:w="2520"/>
                  <w:shd w:fill="1F3864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SNAPSHOT</w:t>
                  </w:r>
                </w:p>
              </w:tc>
              <w:tc>
                <w:tcPr>
                  <w:tcW w:type="dxa" w:w="3060"/>
                  <w:shd w:fill="1F3864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as of Aug 2026</w:t>
                  </w:r>
                </w:p>
              </w:tc>
            </w:tr>
            <w:tr>
              <w:tc>
                <w:tcPr>
                  <w:tcW w:type="dxa" w:w="2520"/>
                  <w:shd w:fill="EEF2F8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95959"/>
                      <w:sz w:val="18"/>
                      <w:szCs w:val="18"/>
                    </w:rPr>
                    <w:t xml:space="preserve">Ticker</w:t>
                  </w:r>
                </w:p>
              </w:tc>
              <w:tc>
                <w:tcPr>
                  <w:tcW w:type="dxa" w:w="3060"/>
                  <w:shd w:fill="EEF2F8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017390 KS / 017390.KS</w:t>
                  </w:r>
                </w:p>
              </w:tc>
            </w:tr>
            <w:tr>
              <w:tc>
                <w:tcPr>
                  <w:tcW w:type="dxa" w:w="2520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95959"/>
                      <w:sz w:val="18"/>
                      <w:szCs w:val="18"/>
                    </w:rPr>
                    <w:t xml:space="preserve">Share price (approx.)</w:t>
                  </w:r>
                </w:p>
              </w:tc>
              <w:tc>
                <w:tcPr>
                  <w:tcW w:type="dxa" w:w="3060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₩55,000–65,000</w:t>
                  </w:r>
                </w:p>
              </w:tc>
            </w:tr>
            <w:tr>
              <w:tc>
                <w:tcPr>
                  <w:tcW w:type="dxa" w:w="2520"/>
                  <w:shd w:fill="EEF2F8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95959"/>
                      <w:sz w:val="18"/>
                      <w:szCs w:val="18"/>
                    </w:rPr>
                    <w:t xml:space="preserve">Market cap</w:t>
                  </w:r>
                </w:p>
              </w:tc>
              <w:tc>
                <w:tcPr>
                  <w:tcW w:type="dxa" w:w="3060"/>
                  <w:shd w:fill="EEF2F8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≈ ₩0.27 tn (~US$195m)</w:t>
                  </w:r>
                </w:p>
              </w:tc>
            </w:tr>
            <w:tr>
              <w:tc>
                <w:tcPr>
                  <w:tcW w:type="dxa" w:w="2520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95959"/>
                      <w:sz w:val="18"/>
                      <w:szCs w:val="18"/>
                    </w:rPr>
                    <w:t xml:space="preserve">Book equity (consol.)</w:t>
                  </w:r>
                </w:p>
              </w:tc>
              <w:tc>
                <w:tcPr>
                  <w:tcW w:type="dxa" w:w="3060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₩1,121 bn (~US$810m)</w:t>
                  </w:r>
                </w:p>
              </w:tc>
            </w:tr>
            <w:tr>
              <w:tc>
                <w:tcPr>
                  <w:tcW w:type="dxa" w:w="2520"/>
                  <w:shd w:fill="EEF2F8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95959"/>
                      <w:sz w:val="18"/>
                      <w:szCs w:val="18"/>
                    </w:rPr>
                    <w:t xml:space="preserve">Price / Book</w:t>
                  </w:r>
                </w:p>
              </w:tc>
              <w:tc>
                <w:tcPr>
                  <w:tcW w:type="dxa" w:w="3060"/>
                  <w:shd w:fill="EEF2F8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≈ 0.24x</w:t>
                  </w:r>
                </w:p>
              </w:tc>
            </w:tr>
            <w:tr>
              <w:tc>
                <w:tcPr>
                  <w:tcW w:type="dxa" w:w="2520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95959"/>
                      <w:sz w:val="18"/>
                      <w:szCs w:val="18"/>
                    </w:rPr>
                    <w:t xml:space="preserve">Trailing P/E</w:t>
                  </w:r>
                </w:p>
              </w:tc>
              <w:tc>
                <w:tcPr>
                  <w:tcW w:type="dxa" w:w="3060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≈ 9x</w:t>
                  </w:r>
                </w:p>
              </w:tc>
            </w:tr>
            <w:tr>
              <w:tc>
                <w:tcPr>
                  <w:tcW w:type="dxa" w:w="2520"/>
                  <w:shd w:fill="EEF2F8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95959"/>
                      <w:sz w:val="18"/>
                      <w:szCs w:val="18"/>
                    </w:rPr>
                    <w:t xml:space="preserve">Cash &amp; ST instruments</w:t>
                  </w:r>
                </w:p>
              </w:tc>
              <w:tc>
                <w:tcPr>
                  <w:tcW w:type="dxa" w:w="3060"/>
                  <w:shd w:fill="EEF2F8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≈ ₩646 bn</w:t>
                  </w:r>
                </w:p>
              </w:tc>
            </w:tr>
            <w:tr>
              <w:tc>
                <w:tcPr>
                  <w:tcW w:type="dxa" w:w="2520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95959"/>
                      <w:sz w:val="18"/>
                      <w:szCs w:val="18"/>
                    </w:rPr>
                    <w:t xml:space="preserve">Net cash</w:t>
                  </w:r>
                </w:p>
              </w:tc>
              <w:tc>
                <w:tcPr>
                  <w:tcW w:type="dxa" w:w="3060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≈ ₩590 bn ( &gt;2x mkt cap )</w:t>
                  </w:r>
                </w:p>
              </w:tc>
            </w:tr>
            <w:tr>
              <w:tc>
                <w:tcPr>
                  <w:tcW w:type="dxa" w:w="2520"/>
                  <w:shd w:fill="EEF2F8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95959"/>
                      <w:sz w:val="18"/>
                      <w:szCs w:val="18"/>
                    </w:rPr>
                    <w:t xml:space="preserve">Enterprise value</w:t>
                  </w:r>
                </w:p>
              </w:tc>
              <w:tc>
                <w:tcPr>
                  <w:tcW w:type="dxa" w:w="3060"/>
                  <w:shd w:fill="EEF2F8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negative (≈ –₩0.3 tn)</w:t>
                  </w:r>
                </w:p>
              </w:tc>
            </w:tr>
            <w:tr>
              <w:tc>
                <w:tcPr>
                  <w:tcW w:type="dxa" w:w="2520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95959"/>
                      <w:sz w:val="18"/>
                      <w:szCs w:val="18"/>
                    </w:rPr>
                    <w:t xml:space="preserve">ROE / ROIC</w:t>
                  </w:r>
                </w:p>
              </w:tc>
              <w:tc>
                <w:tcPr>
                  <w:tcW w:type="dxa" w:w="3060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≈ 2.7% / ≈ 0.3%</w:t>
                  </w:r>
                </w:p>
              </w:tc>
            </w:tr>
            <w:tr>
              <w:tc>
                <w:tcPr>
                  <w:tcW w:type="dxa" w:w="2520"/>
                  <w:shd w:fill="EEF2F8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95959"/>
                      <w:sz w:val="18"/>
                      <w:szCs w:val="18"/>
                    </w:rPr>
                    <w:t xml:space="preserve">FY25 revenue</w:t>
                  </w:r>
                </w:p>
              </w:tc>
              <w:tc>
                <w:tcPr>
                  <w:tcW w:type="dxa" w:w="3060"/>
                  <w:shd w:fill="EEF2F8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₩1,828 bn (+9.9% YoY)</w:t>
                  </w:r>
                </w:p>
              </w:tc>
            </w:tr>
            <w:tr>
              <w:tc>
                <w:tcPr>
                  <w:tcW w:type="dxa" w:w="2520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95959"/>
                      <w:sz w:val="18"/>
                      <w:szCs w:val="18"/>
                    </w:rPr>
                    <w:t xml:space="preserve">FY25 operating profit</w:t>
                  </w:r>
                </w:p>
              </w:tc>
              <w:tc>
                <w:tcPr>
                  <w:tcW w:type="dxa" w:w="3060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₩17.4 bn (turnaround)</w:t>
                  </w:r>
                </w:p>
              </w:tc>
            </w:tr>
            <w:tr>
              <w:tc>
                <w:tcPr>
                  <w:tcW w:type="dxa" w:w="2520"/>
                  <w:shd w:fill="EEF2F8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95959"/>
                      <w:sz w:val="18"/>
                      <w:szCs w:val="18"/>
                    </w:rPr>
                    <w:t xml:space="preserve">FY25 net income</w:t>
                  </w:r>
                </w:p>
              </w:tc>
              <w:tc>
                <w:tcPr>
                  <w:tcW w:type="dxa" w:w="3060"/>
                  <w:shd w:fill="EEF2F8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₩31.0 bn (–9.7%)</w:t>
                  </w:r>
                </w:p>
              </w:tc>
            </w:tr>
            <w:tr>
              <w:tc>
                <w:tcPr>
                  <w:tcW w:type="dxa" w:w="2520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95959"/>
                      <w:sz w:val="18"/>
                      <w:szCs w:val="18"/>
                    </w:rPr>
                    <w:t xml:space="preserve">FY25 DPS / yield</w:t>
                  </w:r>
                </w:p>
              </w:tc>
              <w:tc>
                <w:tcPr>
                  <w:tcW w:type="dxa" w:w="3060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₩2,750 / ≈ 4.2–4.4%</w:t>
                  </w:r>
                </w:p>
              </w:tc>
            </w:tr>
            <w:tr>
              <w:tc>
                <w:tcPr>
                  <w:tcW w:type="dxa" w:w="2520"/>
                  <w:shd w:fill="EEF2F8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95959"/>
                      <w:sz w:val="18"/>
                      <w:szCs w:val="18"/>
                    </w:rPr>
                    <w:t xml:space="preserve">Payout ratio</w:t>
                  </w:r>
                </w:p>
              </w:tc>
              <w:tc>
                <w:tcPr>
                  <w:tcW w:type="dxa" w:w="3060"/>
                  <w:shd w:fill="EEF2F8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≈ 35%</w:t>
                  </w:r>
                </w:p>
              </w:tc>
            </w:tr>
            <w:tr>
              <w:tc>
                <w:tcPr>
                  <w:tcW w:type="dxa" w:w="2520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595959"/>
                      <w:sz w:val="18"/>
                      <w:szCs w:val="18"/>
                    </w:rPr>
                    <w:t xml:space="preserve">From Apr-2023 high</w:t>
                  </w:r>
                </w:p>
              </w:tc>
              <w:tc>
                <w:tcPr>
                  <w:tcW w:type="dxa" w:w="3060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spacing w:after="0" w:line="24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8"/>
                      <w:szCs w:val="18"/>
                    </w:rPr>
                    <w:t xml:space="preserve">≈ –87% (ATH ₩504,000)</w:t>
                  </w:r>
                </w:p>
              </w:tc>
            </w:tr>
          </w:tbl>
          <w:p/>
        </w:tc>
        <w:tc>
          <w:tcPr>
            <w:tcW w:type="dxa" w:w="5600"/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The one-paragraph thesis</w:t>
            </w:r>
          </w:p>
          <w:p>
            <w:pPr>
              <w:spacing w:after="120" w:line="264"/>
              <w:jc w:val="both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Seoul City Gas is not really a utility you value on earnings — it is 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closed-end pool of cash and real estate wrapped around a break-even regulated pipe network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, controlled by a founding family. It trades at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~0.24x book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with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net cash worth more than 2x its entire market capitalisation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(enterprise value is negative). The bull case is a textbook deep-value / Korea Value-up re-rating. The bear case — and the reason the discount has persisted for years — is that the same family that sits on the cash has a documented history of routing value to its private vehicles. This is a </w:t>
            </w:r>
            <w:r>
              <w:rPr>
                <w:rFonts w:ascii="Calibri" w:cs="Calibri" w:eastAsia="Calibri" w:hAnsi="Calibri"/>
                <w:b/>
                <w:bCs/>
                <w:color w:val="9E1B32"/>
                <w:sz w:val="20"/>
                <w:szCs w:val="20"/>
              </w:rPr>
              <w:t xml:space="preserve">governance-discount stock, not a broken-balance-sheet stock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. You are paid ~4% to wait, with an asset floor, for a catalyst that is no longer purely at the family's discretion.</w:t>
            </w:r>
          </w:p>
        </w:tc>
      </w:tr>
    </w:tbl>
    <w:p>
      <w:pPr>
        <w:pStyle w:val="Heading1"/>
        <w:pBdr>
          <w:bottom w:val="single" w:color="1F3864" w:sz="10" w:space="3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  ·  What you are actually buying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Seoul City Gas is Korea's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#2 city-gas distributor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(~7.8% national throughput, behind Samchully), holding the exclusive licence to distribute piped natural gas to households and businesses across western/south-western Seoul and parts of Gyeonggi. City-gas distribution is ~98–99% of revenue. The retail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supply margin is set by the Seoul Metropolitan Government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on a regulated total-cost (cost-plus) basis; the LNG raw-material cost purchased from KOGAS is passed through to customers with a lag under the raw-material-cost linkage system. The distributor therefore bears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volume risk and cost-recovery timing risk, but not long-run commodity price risk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. Ancillary activities — a shrinking overseas resource-development arm, real-estate rental, and minor units — round out the group.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tell in the financials: FY25 group revenue was ₩1,828 bn but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operating profit was only ₩17.4 bn (0.95% margin), after two consecutive years (2023–24) of operating </w:t>
      </w: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losses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. Yet net income was ₩31.0 bn — i.e.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reported profit is driven by non-operating items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: interest income on the cash hoard, equity-method income, and periodic asset-sale gains. Strip those out and the core regulated business barely earns its keep. That single fact reframes the entire analysis.</w:t>
      </w:r>
    </w:p>
    <w:p>
      <w:pPr>
        <w:pStyle w:val="Heading1"/>
        <w:pBdr>
          <w:bottom w:val="single" w:color="1F3864" w:sz="10" w:space="3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  ·  The bull case</w:t>
      </w:r>
    </w:p>
    <w:p>
      <w:pPr>
        <w:pStyle w:val="Heading2"/>
        <w:spacing w:after="40" w:before="180"/>
      </w:pPr>
      <w:r>
        <w:rPr>
          <w:rFonts w:ascii="Calibri" w:cs="Calibri" w:eastAsia="Calibri" w:hAnsi="Calibri"/>
          <w:b/>
          <w:bCs/>
          <w:color w:val="1E6B4F"/>
          <w:sz w:val="22"/>
          <w:szCs w:val="22"/>
        </w:rPr>
        <w:t xml:space="preserve">2.1  A genuine, legally-protected moat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City-gas distribution is a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natural monopoly with a regulatory moat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. Licences are exclusive by territory; no rival may lay overlapping pipe. Demand (heating, hot water, cooking) is essential and price-inelastic. The regulated cost-plus mechanism provides return-of-and-on the rate base, insulating the franchise from commodity swings over a full cycle. Barriers to entry — regulatory, capital, and network density — are close to absolute. This is a durable, defensible franchise, not a fad.</w:t>
      </w:r>
    </w:p>
    <w:p>
      <w:pPr>
        <w:pStyle w:val="Heading2"/>
        <w:spacing w:after="40" w:before="180"/>
      </w:pPr>
      <w:r>
        <w:rPr>
          <w:rFonts w:ascii="Calibri" w:cs="Calibri" w:eastAsia="Calibri" w:hAnsi="Calibri"/>
          <w:b/>
          <w:bCs/>
          <w:color w:val="1E6B4F"/>
          <w:sz w:val="22"/>
          <w:szCs w:val="22"/>
        </w:rPr>
        <w:t xml:space="preserve">2.2  A fortress balance sheet — you are paid to own the operating business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Cash and short-term instruments of ≈ ₩646 bn against trivial debt (D/E ≈ 0.05) leave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net cash of ≈ ₩590 bn — more than 2x the entire market capitalisation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. Enterprise value is negative. Book equity of ₩1,121 bn is ~4x the market cap, and that book is understated: the gas network, land and investment property carry at historical cost. On an asset basis the downside appears floored; you are acquiring the monopoly cash flows, the real estate and the resource stakes for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less than the value of the cash inside the company.</w:t>
      </w:r>
    </w:p>
    <w:p>
      <w:pPr>
        <w:pStyle w:val="Heading2"/>
        <w:spacing w:after="40" w:before="180"/>
      </w:pPr>
      <w:r>
        <w:rPr>
          <w:rFonts w:ascii="Calibri" w:cs="Calibri" w:eastAsia="Calibri" w:hAnsi="Calibri"/>
          <w:b/>
          <w:bCs/>
          <w:color w:val="1E6B4F"/>
          <w:sz w:val="22"/>
          <w:szCs w:val="22"/>
        </w:rPr>
        <w:t xml:space="preserve">2.3  The Value-up catalyst — a real secular tailwind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Seoul City Gas is a poster child for the exact cohort Korea's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Corporate Value-up Program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is designed to unstick: low-PBR, over-capitalised, family-controlled. Three policy vectors now push in the same direction — (i) the Value-up disclosure regime pressing boards to publish concrete ROE/payout/cancellation targets; (ii) the 2025 Commercial Act reform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expanding directors' fiduciary duty to all shareholders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; and (iii) dividend-income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separate taxation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that lowers the tax cost of paying dividends. Comparable low-PBR names that published credible Value-up plans have re-rated double-digits on announcement. The optionality here is large and cheaply priced.</w:t>
      </w:r>
    </w:p>
    <w:p>
      <w:pPr>
        <w:pStyle w:val="Heading2"/>
        <w:spacing w:after="40" w:before="180"/>
      </w:pPr>
      <w:r>
        <w:rPr>
          <w:rFonts w:ascii="Calibri" w:cs="Calibri" w:eastAsia="Calibri" w:hAnsi="Calibri"/>
          <w:b/>
          <w:bCs/>
          <w:color w:val="1E6B4F"/>
          <w:sz w:val="22"/>
          <w:szCs w:val="22"/>
        </w:rPr>
        <w:t xml:space="preserve">2.4  A capital-allocation lever of enormous mechanical leverage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Because the discount is so wide,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even a modest change in policy is transformational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. A special dividend, a NAV-linked distribution, or a buyback-and-cancellation of treasury stock would compound intrinsic value per share directly against a 0.24x starting point. The FY25 dividend already rose to ₩2,750. The entire thesis is the gap between what the company 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could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distribute (it is drowning in cash) and the ~35% of a depressed earnings number it currently pays.</w:t>
      </w:r>
    </w:p>
    <w:p>
      <w:pPr>
        <w:pStyle w:val="Heading2"/>
        <w:spacing w:after="40" w:before="180"/>
      </w:pPr>
      <w:r>
        <w:rPr>
          <w:rFonts w:ascii="Calibri" w:cs="Calibri" w:eastAsia="Calibri" w:hAnsi="Calibri"/>
          <w:b/>
          <w:bCs/>
          <w:color w:val="1E6B4F"/>
          <w:sz w:val="22"/>
          <w:szCs w:val="22"/>
        </w:rPr>
        <w:t xml:space="preserve">2.5  Under-appreciated earnings-normalisation optionality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After two years of regulated under-recovery, the FY25 swing to a ₩17.4 bn operating profit is early evidence that the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supply-cost margin can catch up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as the Seoul tariff resets and the raw-material lag unwinds. Layered on top, the ₩600 bn+ cash balance means each incremental point of yield is a few billion won of pre-tax income. In a normalised-margin, steady-rate world, the same assets could plausibly earn multiples of FY25 EBIT.</w:t>
      </w:r>
    </w:p>
    <w:p>
      <w:r>
        <w:br w:type="page"/>
      </w:r>
    </w:p>
    <w:p>
      <w:pPr>
        <w:pStyle w:val="Heading1"/>
        <w:pBdr>
          <w:bottom w:val="single" w:color="1F3864" w:sz="10" w:space="3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  ·  The bear case — three ways this is permanently impaired</w:t>
      </w:r>
    </w:p>
    <w:tbl>
      <w:tblPr>
        <w:tblW w:type="dxa" w:w="9360"/>
        <w:tblBorders>
          <w:top w:val="single" w:color="9E1B32" w:sz="2"/>
          <w:left w:val="single" w:color="9E1B32" w:sz="18"/>
          <w:bottom w:val="single" w:color="9E1B32" w:sz="2"/>
          <w:right w:val="single" w:color="9E1B32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EF0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9E1B32"/>
                <w:sz w:val="19"/>
                <w:szCs w:val="19"/>
              </w:rPr>
              <w:t xml:space="preserve">Why the discount exists</w:t>
            </w:r>
          </w:p>
          <w:p>
            <w:pPr>
              <w:spacing w:after="40" w:line="25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 0.24x book multiple on a company with 2x-market-cap net cash is not a market oversight — it is a </w:t>
            </w:r>
            <w:r>
              <w:rPr>
                <w:rFonts w:ascii="Calibri" w:cs="Calibri" w:eastAsia="Calibri" w:hAnsi="Calibri"/>
                <w:b/>
                <w:bCs/>
                <w:color w:val="9E1B32"/>
                <w:sz w:val="18"/>
                <w:szCs w:val="18"/>
              </w:rPr>
              <w:t xml:space="preserve">priced-in verdict on who controls the cash and whether minorities will ever see it.</w:t>
            </w:r>
          </w:p>
        </w:tc>
      </w:tr>
    </w:tbl>
    <w:p>
      <w:pPr>
        <w:spacing w:after="60"/>
      </w:pPr>
    </w:p>
    <w:p>
      <w:pPr>
        <w:pStyle w:val="Heading2"/>
        <w:spacing w:after="40" w:before="180"/>
      </w:pPr>
      <w:r>
        <w:rPr>
          <w:rFonts w:ascii="Calibri" w:cs="Calibri" w:eastAsia="Calibri" w:hAnsi="Calibri"/>
          <w:b/>
          <w:bCs/>
          <w:color w:val="9E1B32"/>
          <w:sz w:val="22"/>
          <w:szCs w:val="22"/>
        </w:rPr>
        <w:t xml:space="preserve">Risk 1  ·  Controlling-family expropriation (the reason to worry)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Control runs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Chairman Kim Young-min (b. 1945) → Seoul City Development (26.25%, ~98% Kim-owned) → Seoul City Gas → affiliates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with Daesung Holdings a further 22.60% — roughly half the register is family/affiliate-aligned. Korean governance reporting documents a persistent pattern of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related-party “work-funnelling” (일감 몰아주기)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: the family's privately-held vehicle (Seoul Development) has posted record profits for seven consecutive years </w:t>
      </w: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while the listed parent ran operating losses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a structure widely read as succession-driven propping of the heir's company. The implication is blunt: the balance-sheet cash is controlled by a family with a demonstrated preference for retaining or redirecting value. If minorities never get the cash, the NAV is a mirage and the discount is not a bug — it is the correct price. This is a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structural, not cyclical, impairment of value realisation.</w:t>
      </w:r>
    </w:p>
    <w:p>
      <w:pPr>
        <w:pStyle w:val="Heading2"/>
        <w:spacing w:after="40" w:before="180"/>
      </w:pPr>
      <w:r>
        <w:rPr>
          <w:rFonts w:ascii="Calibri" w:cs="Calibri" w:eastAsia="Calibri" w:hAnsi="Calibri"/>
          <w:b/>
          <w:bCs/>
          <w:color w:val="9E1B32"/>
          <w:sz w:val="22"/>
          <w:szCs w:val="22"/>
        </w:rPr>
        <w:t xml:space="preserve">Risk 2  ·  Structural volume decline — the core is a melting ice cube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Regulated margin is throughput-linked, and throughput faces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secular decline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: warmer winters (management itself cites global warming as a demand constraint), building-efficiency gains, direct competition from district energy (집단에너지), and — over the long arc — electrification and heat-pump substitution under Korea's 2050 net-zero path. Seoul is a mature, ex-growth service territory. As volumes erode, the rate base and the margin it supports erode with them. There is no offsetting growth engine: the overseas resource-development arm's revenue has roughly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halved and is described as near-collapse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and the company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disbanded its R&amp;D organisation in 2019 with zero R&amp;D spend since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. This is a run-off franchise, not a compounder.</w:t>
      </w:r>
    </w:p>
    <w:p>
      <w:pPr>
        <w:pStyle w:val="Heading2"/>
        <w:spacing w:after="40" w:before="180"/>
      </w:pPr>
      <w:r>
        <w:rPr>
          <w:rFonts w:ascii="Calibri" w:cs="Calibri" w:eastAsia="Calibri" w:hAnsi="Calibri"/>
          <w:b/>
          <w:bCs/>
          <w:color w:val="9E1B32"/>
          <w:sz w:val="22"/>
          <w:szCs w:val="22"/>
        </w:rPr>
        <w:t xml:space="preserve">Risk 3  ·  Structurally sub-cost-of-capital returns with no pricing power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ROE is ~2.7% and ROIC ~0.3% — the company earns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far below any reasonable cost of capital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on an enormous equity base, because the productive business is a politically-capped, cost-plus margin set by a municipal government, while the majority of the balance sheet sits in low-yielding cash. Two consecutive years of operating losses show the regulated margin does not reliably cover cost through the raw-material-lag cycle. A business that compounds book value at ~2–3% </w:t>
      </w: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destroys value in real terms every year the cash is hoarded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the low multiple is arithmetically justified unless the capital is redeployed or returned.</w:t>
      </w:r>
    </w:p>
    <w:p>
      <w:pPr>
        <w:pStyle w:val="Heading1"/>
        <w:pBdr>
          <w:bottom w:val="single" w:color="1F3864" w:sz="10" w:space="3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  ·  Pre-mortem  —  it is 2029 and the position lost money. Why?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Assume the thesis failed. The most probable narrative, ranked by likelihood:</w:t>
      </w:r>
    </w:p>
    <w:p>
      <w:pPr>
        <w:pStyle w:val="ListParagraph"/>
        <w:numPr>
          <w:ilvl w:val="0"/>
          <w:numId w:val="2"/>
        </w:numPr>
        <w:spacing w:after="100" w:line="260"/>
        <w:jc w:val="both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Value-up was theatre for controlled names.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The family used its ~49% aligned bloc to publish a box-ticking plan and reject any distribution large enough to matter. Cash kept compounding at ~2% while value leaked out through related-party dealing and compensation. Activists could not move an entrenched majority.</w:t>
      </w:r>
    </w:p>
    <w:p>
      <w:pPr>
        <w:pStyle w:val="ListParagraph"/>
        <w:numPr>
          <w:ilvl w:val="0"/>
          <w:numId w:val="2"/>
        </w:numPr>
        <w:spacing w:after="100" w:line="260"/>
        <w:jc w:val="both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The ice cube melted faster than the tariff healed.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Warm winters and electrification cut volumes; municipal margin resets lagged; operating losses recurred. The “utility” earned essentially nothing from operations.</w:t>
      </w:r>
    </w:p>
    <w:p>
      <w:pPr>
        <w:pStyle w:val="ListParagraph"/>
        <w:numPr>
          <w:ilvl w:val="0"/>
          <w:numId w:val="2"/>
        </w:numPr>
        <w:spacing w:after="100" w:line="260"/>
        <w:jc w:val="both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Rate cuts hollowed out the only real earnings source.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Bank-of-Korea easing collapsed interest income — the actual driver of net profit — so EPS fell and the ~9x P/E was revealed to be expensive on trough-quality earnings.</w:t>
      </w:r>
    </w:p>
    <w:p>
      <w:pPr>
        <w:pStyle w:val="ListParagraph"/>
        <w:numPr>
          <w:ilvl w:val="0"/>
          <w:numId w:val="2"/>
        </w:numPr>
        <w:spacing w:after="100" w:line="260"/>
        <w:jc w:val="both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The discount never closed because nothing forced it to.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Absent a catalyst, the market kept applying a rational holdco/governance discount to trapped NAV. The classic value-trap outcome: cheap got cheaper and low-ROE time-decay compounded against holders.</w:t>
      </w:r>
    </w:p>
    <w:p>
      <w:pPr>
        <w:pStyle w:val="ListParagraph"/>
        <w:numPr>
          <w:ilvl w:val="0"/>
          <w:numId w:val="2"/>
        </w:numPr>
        <w:spacing w:after="100" w:line="260"/>
        <w:jc w:val="both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Liquidity cut both ways.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 thin float (recall the ₩504k 2023 spike and ~87% collapse) meant the stock stayed prone to speculative dislocation rather than a fundamentals-driven re-rating — painful to hold, hard to size.</w:t>
      </w:r>
    </w:p>
    <w:p>
      <w:pPr>
        <w:spacing w:after="40" w:line="264"/>
        <w:jc w:val="both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The unifying lesson: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with a controlled, low-ROE asset play,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the catalyst — not the cheapness — is the whole investment.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Buy the discount without a credible path to closing it and you have bought a value trap with a coupon.</w:t>
      </w:r>
    </w:p>
    <w:p>
      <w:r>
        <w:br w:type="page"/>
      </w:r>
    </w:p>
    <w:p>
      <w:pPr>
        <w:pStyle w:val="Heading1"/>
        <w:pBdr>
          <w:bottom w:val="single" w:color="1F3864" w:sz="10" w:space="3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  ·  Are the multiples too high?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question inverts the usual one. On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assets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nothing here is expensive: 0.24x book, negative EV, net cash &gt; 2x market cap. On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earnings power and returns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the picture is very different — and arguably not cheap at all:</w:t>
      </w:r>
    </w:p>
    <w:p>
      <w:pPr>
        <w:pStyle w:val="ListParagraph"/>
        <w:numPr>
          <w:ilvl w:val="0"/>
          <w:numId w:val="3"/>
        </w:numPr>
        <w:spacing w:after="80" w:line="26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 ~9x P/E on earnings that are mostly interest income is not cheap for a no-growth, rate-sensitive, non-operating income stream. Strip out financial and one-off income and the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regulated business trades at a very high multiple of its near-zero/negative EBIT.</w:t>
      </w:r>
    </w:p>
    <w:p>
      <w:pPr>
        <w:pStyle w:val="ListParagraph"/>
        <w:numPr>
          <w:ilvl w:val="0"/>
          <w:numId w:val="3"/>
        </w:numPr>
        <w:spacing w:after="80" w:line="260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 0.24x P/B on a ~2.7% ROE is close to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internally consistent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: it implies the market demands ~11% on the equity actually working (2.7% ÷ 0.24). A sub-cost-of-capital compounder 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deserves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a deep book discount — the multiple is not obviously wrong.</w:t>
      </w:r>
    </w:p>
    <w:p>
      <w:pPr>
        <w:pStyle w:val="ListParagraph"/>
        <w:numPr>
          <w:ilvl w:val="0"/>
          <w:numId w:val="3"/>
        </w:numPr>
        <w:spacing w:after="80" w:line="260"/>
        <w:jc w:val="both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The correct lens is NAV / sum-of-the-parts.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Liquidation-style NAV per share is a large multiple of the price, dominated by cash + real estate. But realisable value depends entirely on governance, so the market applies a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50–70% controlled-company/holdco discount to NAV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which is exactly the observed ~0.24x.</w:t>
      </w:r>
    </w:p>
    <w:tbl>
      <w:tblPr>
        <w:tblW w:type="dxa" w:w="9360"/>
        <w:tblBorders>
          <w:top w:val="single" w:color="1F3864" w:sz="2"/>
          <w:left w:val="single" w:color="1F3864" w:sz="18"/>
          <w:bottom w:val="single" w:color="1F3864" w:sz="2"/>
          <w:right w:val="single" w:color="1F386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8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Valuation verdict</w:t>
            </w:r>
          </w:p>
          <w:p>
            <w:pPr>
              <w:spacing w:after="4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Not overvalued on assets; fairly-to-cheaply valued on trapped-NAV; potentially overvalued on normalised earnings power if rates fall.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This is a governance-discount stock, not a multiple-expansion stock — the multiple only “re-rates” if a catalyst converts trapped NAV into distributable NAV.</w:t>
            </w:r>
          </w:p>
        </w:tc>
      </w:tr>
    </w:tbl>
    <w:p>
      <w:pPr>
        <w:pStyle w:val="Heading1"/>
        <w:pBdr>
          <w:bottom w:val="single" w:color="1F3864" w:sz="10" w:space="3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  ·  The contrarian view — what the market refuses to see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Consensus holds two lazy positions: to growth investors it is an un-ownable, ex-growth utility; to value investors it is a perennial trap to admire from a distance. Both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anchor on twenty years of a family that never shared the cash and extrapolate that forever.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The non-consensus insight is that the single variable that has always capped the stock — the family's grip on the cash — is precisely the variable now under structural attack, and from an unexpected direction:</w:t>
      </w:r>
    </w:p>
    <w:tbl>
      <w:tblPr>
        <w:tblW w:type="dxa" w:w="9360"/>
        <w:tblBorders>
          <w:top w:val="single" w:color="1E6B4F" w:sz="2"/>
          <w:left w:val="single" w:color="1E6B4F" w:sz="18"/>
          <w:bottom w:val="single" w:color="1E6B4F" w:sz="2"/>
          <w:right w:val="single" w:color="1E6B4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6B4F"/>
                <w:sz w:val="19"/>
                <w:szCs w:val="19"/>
              </w:rPr>
              <w:t xml:space="preserve">The point the market is mispricing</w:t>
            </w:r>
          </w:p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The controlling family is the largest dividend recipient. 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Korea's dividend-income separate-taxation reform sharply lowers the after-tax cost of paying dividends — for the family itself. The same self-interest that historically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18"/>
                <w:szCs w:val="18"/>
              </w:rPr>
              <w:t xml:space="preserve">trapped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the cash can, under the new tax regime, become the trigger to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18"/>
                <w:szCs w:val="18"/>
              </w:rPr>
              <w:t xml:space="preserve">release</w:t>
            </w:r>
            <w:r>
              <w:rPr>
                <w:rFonts w:ascii="Calibri" w:cs="Calibri" w:eastAsia="Calibri" w:hAnsi="Calibri"/>
                <w:b/>
                <w:bCs/>
                <w:color w:val="1E6B4F"/>
                <w:sz w:val="18"/>
                <w:szCs w:val="18"/>
              </w:rPr>
              <w:t xml:space="preserve"> it. Paired with the 2025 Commercial Act's expansion of fiduciary duty to all shareholders, a payout decision is — for the first time — no longer purely discretionary.</w:t>
            </w:r>
          </w:p>
        </w:tc>
      </w:tr>
    </w:tbl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Reframed as a trade, the asymmetry is the attraction: you are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paid ~4% to wait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with an asset/net-cash floor beneath you, holding a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cheap option on a Korean-governance regime change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whose payoff — a special dividend, treasury-stock cancellation, or NAV-linked distribution — is measured against a 0.24x book starting point. The market is pricing the option at close to zero because it has been burned by this family before.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Intellectual honesty demands the counter-weight: this is a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low-probability, family-dependent catalyst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and controlling shareholders can comply with Value-up in form while defeating it in substance. The correct contrarian statement is therefore not “the re-rating is imminent” but 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“the option is mispriced.”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Size it as an asymmetric, catalyst-contingent special situation — not a core utility holding — and let the balance-sheet floor and the coupon do the waiting.</w:t>
      </w:r>
    </w:p>
    <w:p>
      <w:pPr>
        <w:pStyle w:val="Heading1"/>
        <w:pBdr>
          <w:bottom w:val="single" w:color="1F3864" w:sz="10" w:space="3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  ·  Analyst verdict &amp; what would change the mind</w:t>
      </w:r>
    </w:p>
    <w:tbl>
      <w:tblPr>
        <w:tblW w:type="dxa" w:w="9360"/>
        <w:tblBorders>
          <w:top w:val="single" w:color="BFBFBF" w:sz="4"/>
          <w:left w:val="none"/>
          <w:bottom w:val="single" w:color="BFBFBF" w:sz="4"/>
          <w:right w:val="none"/>
          <w:insideH w:val="single" w:color="D9D9D9" w:sz="2"/>
          <w:insideV w:val="single" w:color="D9D9D9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E6B4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Would make me a buyer (long the option)</w:t>
            </w:r>
          </w:p>
        </w:tc>
        <w:tc>
          <w:tcPr>
            <w:tcW w:type="dxa" w:w="4680"/>
            <w:shd w:fill="9E1B3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Would keep me away (value trap confirmed)</w:t>
            </w:r>
          </w:p>
        </w:tc>
      </w:tr>
      <w:tr>
        <w:tc>
          <w:tcPr>
            <w:tcW w:type="dxa" w:w="4680"/>
            <w:shd w:fill="F1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 credible, quantified Value-up plan with a NAV-linked payout or treasury-stock cancellation</w:t>
            </w:r>
          </w:p>
        </w:tc>
        <w:tc>
          <w:tcPr>
            <w:tcW w:type="dxa" w:w="4680"/>
            <w:shd w:fill="FBEE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 new/larger related-party transaction or a capital raise for an affiliate — value continuing to leak to the family</w:t>
            </w:r>
          </w:p>
        </w:tc>
      </w:tr>
      <w:tr>
        <w:tc>
          <w:tcPr>
            <w:tcW w:type="dxa" w:w="4680"/>
            <w:shd w:fill="F1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Evidence the municipal supply margin is resetting higher, turning operations durably EBIT-positive</w:t>
            </w:r>
          </w:p>
        </w:tc>
        <w:tc>
          <w:tcPr>
            <w:tcW w:type="dxa" w:w="4680"/>
            <w:shd w:fill="FBEE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Renewed operating losses as volumes fall faster than tariff catch-up</w:t>
            </w:r>
          </w:p>
        </w:tc>
      </w:tr>
      <w:tr>
        <w:tc>
          <w:tcPr>
            <w:tcW w:type="dxa" w:w="4680"/>
            <w:shd w:fill="F1F7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Activist / institutional pressure on the register, or family dividend behaviour shifting post tax-reform</w:t>
            </w:r>
          </w:p>
        </w:tc>
        <w:tc>
          <w:tcPr>
            <w:tcW w:type="dxa" w:w="4680"/>
            <w:shd w:fill="FBEE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BOK easing that guts interest income — the real earnings source — with no operating offset</w:t>
            </w:r>
          </w:p>
        </w:tc>
      </w:tr>
    </w:tbl>
    <w:p>
      <w:pPr>
        <w:spacing w:after="60" w:before="140"/>
      </w:pP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Bottom line: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 high-quality 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balance sheet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attached to a low-quality 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business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and a 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contested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ownership structure. It is genuinely cheap on assets and genuinely stuck on governance. As a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core holding it is a value trap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; as a 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small, catalyst-contingent special-situation option on Korean governance reform, the risk/reward is asymmetric and interesting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. Conviction should scale with the credibility of the catalyst, not the depth of the discount.</w:t>
      </w:r>
    </w:p>
    <w:p>
      <w:pPr>
        <w:pBdr>
          <w:bottom w:val="single" w:color="BFBFBF" w:sz="6" w:space="1"/>
        </w:pBdr>
        <w:spacing w:after="100" w:before="40"/>
      </w:pPr>
      <w:r>
        <w:rPr>
          <w:sz w:val="2"/>
          <w:szCs w:val="2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95959"/>
          <w:sz w:val="16"/>
          <w:szCs w:val="16"/>
        </w:rPr>
        <w:t xml:space="preserve">Selected sources &amp; notes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95959"/>
          <w:sz w:val="15"/>
          <w:szCs w:val="15"/>
        </w:rPr>
        <w:t xml:space="preserve">Company disclosures via KRX KIND / DART; FY2025 results and dividend disclosures (DigitalToday, Nate/Yonhap); StockAnalysis.com, Yahoo Finance, Investing.com, TradingView, FnGuide (valuation, cash, ROE, dividend history); Korean governance reporting (BizWatch/Governance Watch, Business Post, Daum) on ownership and related-party transactions; Korea Corporate Value-up Program and 2025 Commercial Act commentary. Figures are approximate, drawn from public secondary sources, and rounded; share-count and daily price vary by source and date.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595959"/>
          <w:sz w:val="15"/>
          <w:szCs w:val="15"/>
        </w:rPr>
        <w:t xml:space="preserve">This document is an analytical exercise for discussion purposes only. It is not investment advice, a recommendation, or an offer to buy or sell any security. Do your own diligence.</w:t>
      </w:r>
    </w:p>
    <w:sectPr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tabs>
        <w:tab w:val="right" w:pos="10080"/>
      </w:tabs>
      <w:spacing w:before="80"/>
    </w:pPr>
    <w:r>
      <w:rPr>
        <w:rFonts w:ascii="Calibri" w:cs="Calibri" w:eastAsia="Calibri" w:hAnsi="Calibri"/>
        <w:color w:val="595959"/>
        <w:sz w:val="14"/>
        <w:szCs w:val="14"/>
      </w:rPr>
      <w:t xml:space="preserve">Seoul City Gas (017390 KS) — Institutional Deep-Dive  |  For discussion purposes only</w:t>
    </w:r>
    <w:r>
      <w:rPr>
        <w:rFonts w:ascii="Calibri" w:cs="Calibri" w:eastAsia="Calibri" w:hAnsi="Calibri"/>
        <w:sz w:val="14"/>
        <w:szCs w:val="14"/>
      </w:rPr>
      <w:t xml:space="preserve">	</w:t>
    </w:r>
    <w:r>
      <w:rPr>
        <w:rFonts w:ascii="Calibri" w:cs="Calibri" w:eastAsia="Calibri" w:hAnsi="Calibri"/>
        <w:color w:val="595959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  <w:lvl w:ilvl="1" w15:tentative="1">
      <w:start w:val="1"/>
      <w:numFmt w:val="bullet"/>
      <w:lvlText w:val="–"/>
      <w:lvlJc w:val="left"/>
      <w:pPr>
        <w:ind w:left="6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Seoul City Gas (017390 KS) — Deep-Dive</dc:title>
  <dc:creator>Equity Research</dc:creator>
  <cp:lastModifiedBy>Un-named</cp:lastModifiedBy>
  <cp:revision>1</cp:revision>
  <dcterms:created xsi:type="dcterms:W3CDTF">2026-08-03T12:36:21.666Z</dcterms:created>
  <dcterms:modified xsi:type="dcterms:W3CDTF">2026-08-03T12:36:21.667Z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