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pPr>
      <w:r>
        <w:t xml:space="preserve">GGOF Portfolio Brief — Thursday, October 29, 2026</w:t>
      </w:r>
    </w:p>
    <w:p>
      <w:pPr>
        <w:spacing w:after="100"/>
      </w:pPr>
      <w:r>
        <w:rPr>
          <w:i/>
          <w:iCs/>
        </w:rPr>
        <w:t xml:space="preserve">Covers Wed Oct 28 through Thu Oct 29 morning. </w:t>
      </w:r>
      <w:r>
        <w:rPr>
          <w:b/>
          <w:bCs/>
          <w:i/>
          <w:iCs/>
        </w:rPr>
        <w:t xml:space="preserve">Source caveat:</w:t>
      </w:r>
      <w:r>
        <w:rPr>
          <w:i/>
          <w:iCs/>
        </w:rPr>
        <w:t xml:space="preserve"> web search is US-only and thin on same-day items; many pages could not be fetched, so most claims rest on search-result summaries rather than primary filings. "QUIET" means nothing found in the window, not that nothing happened. Items marked (unverified) rest on one source, an undated snippet or conflicting sources. Caterpillar, Lilly, Allegro and Repsol report this morning and results were not yet indexed.</w:t>
      </w:r>
    </w:p>
    <w:p>
      <w:pPr>
        <w:pBdr>
          <w:bottom w:val="single" w:color="999999" w:sz="6" w:space="1"/>
        </w:pBdr>
      </w:pPr>
    </w:p>
    <w:p>
      <w:pPr>
        <w:pStyle w:val="Heading2"/>
        <w:spacing w:after="100" w:before="200"/>
      </w:pPr>
      <w:r>
        <w:t xml:space="preserve">1. Top of the stack</w:t>
      </w:r>
    </w:p>
    <w:p>
      <w:pPr>
        <w:spacing w:after="100"/>
      </w:pPr>
      <w:r>
        <w:rPr>
          <w:b/>
          <w:bCs/>
        </w:rPr>
        <w:t xml:space="preserve">Hawkish hold at the Fed, and Alphabet is down ~10% after hours.</w:t>
      </w:r>
      <w:r>
        <w:t xml:space="preserve"> The FOMC held at 3.75–4.00% on Oct 28 (Warsh's first press conference as chair), 10–2, with Cook and Hammack dissenting in favor of an immediate 25bp </w:t>
      </w:r>
      <w:r>
        <w:rPr>
          <w:b/>
          <w:bCs/>
        </w:rPr>
        <w:t xml:space="preserve">hike</w:t>
      </w:r>
      <w:r>
        <w:t xml:space="preserve">; the range reflects the Sept 16 hike (</w:t>
      </w:r>
      <w:hyperlink w:history="1" r:id="rIdistehzlpochhypsmcgrvc">
        <w:r>
          <w:rPr>
            <w:rStyle w:val="Hyperlink"/>
          </w:rPr>
          <w:t xml:space="preserve">CNBC takeaways</w:t>
        </w:r>
      </w:hyperlink>
      <w:r>
        <w:t xml:space="preserve">, </w:t>
      </w:r>
      <w:hyperlink w:history="1" r:id="rIdd_zy7opao7r1fr9kv2nqk">
        <w:r>
          <w:rPr>
            <w:rStyle w:val="Hyperlink"/>
          </w:rPr>
          <w:t xml:space="preserve">Kitco</w:t>
        </w:r>
      </w:hyperlink>
      <w:r>
        <w:t xml:space="preserve">). This resolves yesterday's open question on the policy range. Warsh gave no forward guidance; a December 9 hike remains live but I found no post-presser FedWatch number. The 10-year closed about 5.02–5.03% (sources differ; unverified), the 30-year ~5.33% intraday. Indices rose for a third day: S&amp;P 500 7,743.98 (+0.28%), Nasdaq 26,549.85, Dow 52,475.10 (</w:t>
      </w:r>
      <w:hyperlink w:history="1" r:id="rId4bz7occ3cepooynbbq_vv">
        <w:r>
          <w:rPr>
            <w:rStyle w:val="Hyperlink"/>
          </w:rPr>
          <w:t xml:space="preserve">Motley Fool</w:t>
        </w:r>
      </w:hyperlink>
      <w:r>
        <w:t xml:space="preserve">, </w:t>
      </w:r>
      <w:hyperlink w:history="1" r:id="rId0mjd9lmzbbklpwuvicbkd">
        <w:r>
          <w:rPr>
            <w:rStyle w:val="Hyperlink"/>
          </w:rPr>
          <w:t xml:space="preserve">Xinhua</w:t>
        </w:r>
      </w:hyperlink>
      <w:r>
        <w:t xml:space="preserve">). Hedge review (WNZ6, IEF, ES/NQ) should account for a 5% 10-year plus a hike-leaning committee.</w:t>
      </w:r>
    </w:p>
    <w:p>
      <w:pPr>
        <w:spacing w:after="100"/>
      </w:pPr>
      <w:r>
        <w:rPr>
          <w:b/>
          <w:bCs/>
        </w:rPr>
        <w:t xml:space="preserve">Megacap prints split.</w:t>
      </w:r>
      <w:r>
        <w:t xml:space="preserve"> Alphabet Q3: revenue $127.6B (+25%), Cloud $30.7B (+103%), but capex $51.4B, 2027 capex "significantly" higher (CNBC says above $300B), FCF about −$9.1B and an EPS miss reported; shares about −10% after hours (</w:t>
      </w:r>
      <w:hyperlink w:history="1" r:id="rIdlwf-ff-k7s9zffuw91nu0">
        <w:r>
          <w:rPr>
            <w:rStyle w:val="Hyperlink"/>
          </w:rPr>
          <w:t xml:space="preserve">CNBC</w:t>
        </w:r>
      </w:hyperlink>
      <w:r>
        <w:t xml:space="preserve">, </w:t>
      </w:r>
      <w:hyperlink w:history="1" r:id="rIdecp4u7vmibvjyqykijmxa">
        <w:r>
          <w:rPr>
            <w:rStyle w:val="Hyperlink"/>
          </w:rPr>
          <w:t xml:space="preserve">StockTitan</w:t>
        </w:r>
      </w:hyperlink>
      <w:r>
        <w:t xml:space="preserve">; EPS basis conflicts, unverified). Microsoft FQ1: revenue $92.28B (+19%), EPS $4.89 vs ~$4.73, Azure +48% vs ~44.8% expected, capex below forecast, shares +3–5% after hours (</w:t>
      </w:r>
      <w:hyperlink w:history="1" r:id="rIdk2g5mxpcgezzfsyuyhhld">
        <w:r>
          <w:rPr>
            <w:rStyle w:val="Hyperlink"/>
          </w:rPr>
          <w:t xml:space="preserve">CNBC</w:t>
        </w:r>
      </w:hyperlink>
      <w:r>
        <w:t xml:space="preserve">, </w:t>
      </w:r>
      <w:hyperlink w:history="1" r:id="rIdamxdxifnzfl94pbqnmv_z">
        <w:r>
          <w:rPr>
            <w:rStyle w:val="Hyperlink"/>
          </w:rPr>
          <w:t xml:space="preserve">investingLive</w:t>
        </w:r>
      </w:hyperlink>
      <w:r>
        <w:t xml:space="preserve">). Net for MAGS is offsetting; Amazon reports today after the close (</w:t>
      </w:r>
      <w:hyperlink w:history="1" r:id="rIdua-7qwxdqalyr9qol_ijc">
        <w:r>
          <w:rPr>
            <w:rStyle w:val="Hyperlink"/>
          </w:rPr>
          <w:t xml:space="preserve">Amazon</w:t>
        </w:r>
      </w:hyperlink>
      <w:r>
        <w:t xml:space="preserve">), Apple Nov 2 (</w:t>
      </w:r>
      <w:hyperlink w:history="1" r:id="rIdjgx6u5eejr3pqvgg3ylv8">
        <w:r>
          <w:rPr>
            <w:rStyle w:val="Hyperlink"/>
          </w:rPr>
          <w:t xml:space="preserve">9to5Mac</w:t>
        </w:r>
      </w:hyperlink>
      <w:r>
        <w:t xml:space="preserve">). A 2027 capex number above $300B is a positive read for the semis and Korea memory complex and a pressure point on hyperscaler FCF.</w:t>
      </w:r>
    </w:p>
    <w:p>
      <w:pPr>
        <w:spacing w:after="100"/>
      </w:pPr>
      <w:r>
        <w:rPr>
          <w:b/>
          <w:bCs/>
        </w:rPr>
        <w:t xml:space="preserve">SK hynix and Samsung both delivered record quarters.</w:t>
      </w:r>
      <w:r>
        <w:t xml:space="preserve"> SK hynix reported Oct 28: revenue KRW 104.6tn (first quarter above 100tn), operating profit KRW 83.3tn (79.7% margin), ~9% above the 76.3tn consensus; DRAM/HBM said sold out through 2029; a shareholder-return package of about KRW 100tn is reported but its components sum to 90tn, so verify (</w:t>
      </w:r>
      <w:hyperlink w:history="1" r:id="rIdbvstq3ribsf1e1nmheexh">
        <w:r>
          <w:rPr>
            <w:rStyle w:val="Hyperlink"/>
          </w:rPr>
          <w:t xml:space="preserve">Seoul Economic Daily</w:t>
        </w:r>
      </w:hyperlink>
      <w:r>
        <w:t xml:space="preserve">, </w:t>
      </w:r>
      <w:hyperlink w:history="1" r:id="rIdm6ouuru7hpppmu7p1gnxr">
        <w:r>
          <w:rPr>
            <w:rStyle w:val="Hyperlink"/>
          </w:rPr>
          <w:t xml:space="preserve">Ajupress</w:t>
        </w:r>
      </w:hyperlink>
      <w:r>
        <w:t xml:space="preserve">). Stock move conflicts (+4% to +10%). This also settles yesterday's Oct 28 vs 29 question and the "Dalian approval" headline remains unchecked. Samsung Electronics final Q3 (Oct 29): sales ~KRW 195.3tn, operating profit ~107.4tn (in line with guidance), HBM4 revenue &gt;3x QoQ, record capex KRW 84.4tn, Q3 cash dividend KRW 4,601/share (~KRW 30tn, payable November), with 55–75tn of the 90–110tn 2026 return still to be detailed by end-January (</w:t>
      </w:r>
      <w:hyperlink w:history="1" r:id="rIdzeokjkthlkx_u21e8b7o_">
        <w:r>
          <w:rPr>
            <w:rStyle w:val="Hyperlink"/>
          </w:rPr>
          <w:t xml:space="preserve">Samsung</w:t>
        </w:r>
      </w:hyperlink>
      <w:r>
        <w:t xml:space="preserve">, </w:t>
      </w:r>
      <w:hyperlink w:history="1" r:id="rIduux4epskqyxenhynmealq">
        <w:r>
          <w:rPr>
            <w:rStyle w:val="Hyperlink"/>
          </w:rPr>
          <w:t xml:space="preserve">Asiae</w:t>
        </w:r>
      </w:hyperlink>
      <w:r>
        <w:t xml:space="preserve">, </w:t>
      </w:r>
      <w:hyperlink w:history="1" r:id="rIdyas2nrt-qcbmzv92cnuft">
        <w:r>
          <w:rPr>
            <w:rStyle w:val="Hyperlink"/>
          </w:rPr>
          <w:t xml:space="preserve">FN News</w:t>
        </w:r>
      </w:hyperlink>
      <w:r>
        <w:t xml:space="preserve">). Read-through positive for SK Inc, ALGM, SMH and RS Technologies.</w:t>
      </w:r>
    </w:p>
    <w:p>
      <w:pPr>
        <w:spacing w:after="100"/>
      </w:pPr>
      <w:r>
        <w:rPr>
          <w:b/>
          <w:bCs/>
        </w:rPr>
        <w:t xml:space="preserve">EUR/CRML: record date is today; schemes effective.</w:t>
      </w:r>
      <w:r>
        <w:t xml:space="preserve"> Shareholders approved Oct 22, the WA Supreme Court approved both schemes Oct 26, the schemes took effect Oct 27 and EUR was suspended from ASX at that day's close. Record date Oct 29, implementation </w:t>
      </w:r>
      <w:r>
        <w:rPr>
          <w:b/>
          <w:bCs/>
        </w:rPr>
        <w:t xml:space="preserve">Nov 5</w:t>
      </w:r>
      <w:r>
        <w:t xml:space="preserve">, EUR delists from ASX 10:00am AEDT </w:t>
      </w:r>
      <w:r>
        <w:rPr>
          <w:b/>
          <w:bCs/>
        </w:rPr>
        <w:t xml:space="preserve">Nov 6</w:t>
      </w:r>
      <w:r>
        <w:t xml:space="preserve">. Ratio </w:t>
      </w:r>
      <w:r>
        <w:rPr>
          <w:b/>
          <w:bCs/>
        </w:rPr>
        <w:t xml:space="preserve">0.045</w:t>
      </w:r>
      <w:r>
        <w:t xml:space="preserve"> CRML per EUR share (subject to rounding), with a sale facility for holders of ≤50,000 securities (</w:t>
      </w:r>
      <w:hyperlink w:history="1" r:id="rIdi1-2osj4dwbza2gqgqgn_">
        <w:r>
          <w:rPr>
            <w:rStyle w:val="Hyperlink"/>
          </w:rPr>
          <w:t xml:space="preserve">Kalkine suspension</w:t>
        </w:r>
      </w:hyperlink>
      <w:r>
        <w:t xml:space="preserve">, </w:t>
      </w:r>
      <w:hyperlink w:history="1" r:id="rIdzrg56zxcm4amnmn_kwewn">
        <w:r>
          <w:rPr>
            <w:rStyle w:val="Hyperlink"/>
          </w:rPr>
          <w:t xml:space="preserve">Kalkine approval</w:t>
        </w:r>
      </w:hyperlink>
      <w:r>
        <w:t xml:space="preserve">, </w:t>
      </w:r>
      <w:hyperlink w:history="1" r:id="rId0onnlgaeigm7tqqhwkmix">
        <w:r>
          <w:rPr>
            <w:rStyle w:val="Hyperlink"/>
          </w:rPr>
          <w:t xml:space="preserve">InvestingNews</w:t>
        </w:r>
      </w:hyperlink>
      <w:r>
        <w:t xml:space="preserve">). I did not open the ASX notices; how the EULIF OTC ADR is converted still needs broker confirmation.</w:t>
      </w:r>
    </w:p>
    <w:p>
      <w:pPr>
        <w:spacing w:after="100"/>
      </w:pPr>
      <w:r>
        <w:rPr>
          <w:b/>
          <w:bCs/>
        </w:rPr>
        <w:t xml:space="preserve">Volkswagen 9M confirms the Porsche hit; Puig sets "Vision 2032".</w:t>
      </w:r>
      <w:r>
        <w:t xml:space="preserve"> VW (Oct 29): operating result ~€0.1bn vs €5.4bn, special items €8.7bn (€7.8bn in Q3) including a €6.4bn Porsche goodwill impairment and ~€1bn China impairments; Q3 operating loss ~€5.8bn; FY guidance kept (RoS up to 1%) (</w:t>
      </w:r>
      <w:hyperlink w:history="1" r:id="rIdgx-40ezolihhx4saaxavj">
        <w:r>
          <w:rPr>
            <w:rStyle w:val="Hyperlink"/>
          </w:rPr>
          <w:t xml:space="preserve">VW</w:t>
        </w:r>
      </w:hyperlink>
      <w:r>
        <w:t xml:space="preserve">, </w:t>
      </w:r>
      <w:hyperlink w:history="1" r:id="rIdvp5kojgizjuuyvfphzktk">
        <w:r>
          <w:rPr>
            <w:rStyle w:val="Hyperlink"/>
          </w:rPr>
          <w:t xml:space="preserve">Investing.com</w:t>
        </w:r>
      </w:hyperlink>
      <w:r>
        <w:t xml:space="preserve">, </w:t>
      </w:r>
      <w:hyperlink w:history="1" r:id="rIdk-sglk_nqo5i6iiidck2d">
        <w:r>
          <w:rPr>
            <w:rStyle w:val="Hyperlink"/>
          </w:rPr>
          <w:t xml:space="preserve">Il Sole 24 Ore</w:t>
        </w:r>
      </w:hyperlink>
      <w:r>
        <w:t xml:space="preserve">); largely pre-announced Sept 18. Puig CMD (Oct 28): net sales &gt;€8bn by 2032 (from €5.04bn in 2025), adj. EBITDA margin &gt;22.5% (20.7%), FCF &gt;€900m, 40% payout, mainly organic (</w:t>
      </w:r>
      <w:hyperlink w:history="1" r:id="rIdnd9rfom_caectdk2ufz_z">
        <w:r>
          <w:rPr>
            <w:rStyle w:val="Hyperlink"/>
          </w:rPr>
          <w:t xml:space="preserve">FashionUnited</w:t>
        </w:r>
      </w:hyperlink>
      <w:r>
        <w:t xml:space="preserve">, </w:t>
      </w:r>
      <w:hyperlink w:history="1" r:id="rIdxlaowybz1-ds5fhmias-l">
        <w:r>
          <w:rPr>
            <w:rStyle w:val="Hyperlink"/>
          </w:rPr>
          <w:t xml:space="preserve">WWD</w:t>
        </w:r>
      </w:hyperlink>
      <w:r>
        <w:t xml:space="preserve">); market reaction not found.</w:t>
      </w:r>
    </w:p>
    <w:p>
      <w:pPr>
        <w:pBdr>
          <w:bottom w:val="single" w:color="999999" w:sz="6" w:space="1"/>
        </w:pBdr>
      </w:pPr>
    </w:p>
    <w:p>
      <w:pPr>
        <w:pStyle w:val="Heading2"/>
        <w:spacing w:after="100" w:before="200"/>
      </w:pPr>
      <w:r>
        <w:t xml:space="preserve">2. What matters, by group</w:t>
      </w:r>
    </w:p>
    <w:p>
      <w:pPr>
        <w:pStyle w:val="Heading3"/>
        <w:spacing w:after="100" w:before="200"/>
      </w:pPr>
      <w:r>
        <w:t xml:space="preserve">Group 1 — Rails / shipping / financials</w:t>
      </w:r>
    </w:p>
    <w:p>
      <w:pPr>
        <w:spacing w:after="100"/>
      </w:pPr>
      <w:r>
        <w:t xml:space="preserve">Search found nothing dated Oct 28–29 for any of these names.</w:t>
      </w:r>
    </w:p>
    <w:p>
      <w:pPr>
        <w:pStyle w:val="ListParagraph"/>
        <w:numPr>
          <w:ilvl w:val="0"/>
          <w:numId w:val="2"/>
        </w:numPr>
        <w:spacing w:after="60"/>
      </w:pPr>
      <w:r>
        <w:rPr>
          <w:b/>
          <w:bCs/>
        </w:rPr>
        <w:t xml:space="preserve">CEC GY (Ceconomy) — MATTERS (catalyst ahead).</w:t>
      </w:r>
      <w:r>
        <w:t xml:space="preserve"> EC Foreign Subsidies Regulation decision on JD.com reportedly due </w:t>
      </w:r>
      <w:r>
        <w:rPr>
          <w:b/>
          <w:bCs/>
        </w:rPr>
        <w:t xml:space="preserve">Nov 4</w:t>
      </w:r>
      <w:r>
        <w:t xml:space="preserve">, approval expected after improved remedies, single Reuters-sourced report (</w:t>
      </w:r>
      <w:hyperlink w:history="1" r:id="rId8m6katokc7nefxgsim4z0">
        <w:r>
          <w:rPr>
            <w:rStyle w:val="Hyperlink"/>
          </w:rPr>
          <w:t xml:space="preserve">Euronext/Reuters</w:t>
        </w:r>
      </w:hyperlink>
      <w:r>
        <w:t xml:space="preserve">, </w:t>
      </w:r>
      <w:hyperlink w:history="1" r:id="rIdwbhtmz8ztxolz3x3ddcjh">
        <w:r>
          <w:rPr>
            <w:rStyle w:val="Hyperlink"/>
          </w:rPr>
          <w:t xml:space="preserve">TechNode</w:t>
        </w:r>
      </w:hyperlink>
      <w:r>
        <w:t xml:space="preserve">). Germany cleared with data conditions; Austria and Spain FDI reviews reportedly pending (</w:t>
      </w:r>
      <w:hyperlink w:history="1" r:id="rIdsv-ihspeuibmuf_so7wsq">
        <w:r>
          <w:rPr>
            <w:rStyle w:val="Hyperlink"/>
          </w:rPr>
          <w:t xml:space="preserve">SCMP</w:t>
        </w:r>
      </w:hyperlink>
      <w:r>
        <w:t xml:space="preserve">). One source mentioned Oct 23; treat Nov 4 as the date to verify on the EC site.</w:t>
      </w:r>
    </w:p>
    <w:p>
      <w:pPr>
        <w:pStyle w:val="ListParagraph"/>
        <w:numPr>
          <w:ilvl w:val="0"/>
          <w:numId w:val="2"/>
        </w:numPr>
        <w:spacing w:after="60"/>
      </w:pPr>
      <w:r>
        <w:rPr>
          <w:b/>
          <w:bCs/>
        </w:rPr>
        <w:t xml:space="preserve">ZIM US — QUIET.</w:t>
      </w:r>
      <w:r>
        <w:t xml:space="preserve"> Hapag-Lloyd $35 cash, FIMI to take an Israeli carrier holding the golden share (</w:t>
      </w:r>
      <w:hyperlink w:history="1" r:id="rIdgw0fiukvcd_zngq3rkhcm">
        <w:r>
          <w:rPr>
            <w:rStyle w:val="Hyperlink"/>
          </w:rPr>
          <w:t xml:space="preserve">Globes</w:t>
        </w:r>
      </w:hyperlink>
      <w:r>
        <w:t xml:space="preserve">); no news on Israeli GCA approval status. Q3 date unannounced; last year mid/late November (inference).</w:t>
      </w:r>
    </w:p>
    <w:p>
      <w:pPr>
        <w:pStyle w:val="ListParagraph"/>
        <w:numPr>
          <w:ilvl w:val="0"/>
          <w:numId w:val="2"/>
        </w:numPr>
        <w:spacing w:after="60"/>
      </w:pPr>
      <w:r>
        <w:rPr>
          <w:b/>
          <w:bCs/>
        </w:rPr>
        <w:t xml:space="preserve">BHF US — QUIET.</w:t>
      </w:r>
      <w:r>
        <w:t xml:space="preserve"> Shareholders approved Feb 12 (</w:t>
      </w:r>
      <w:hyperlink w:history="1" r:id="rId4fwzs9llofzafjll63v1u">
        <w:r>
          <w:rPr>
            <w:rStyle w:val="Hyperlink"/>
          </w:rPr>
          <w:t xml:space="preserve">BusinessWire</w:t>
        </w:r>
      </w:hyperlink>
      <w:r>
        <w:t xml:space="preserve">); DE/NY/MA approvals not reported; outside date Dec 6 per yesterday's 10-Q finding. Q3 release probably ~Nov 5–6 with no call (inference from 2025).</w:t>
      </w:r>
    </w:p>
    <w:p>
      <w:pPr>
        <w:pStyle w:val="ListParagraph"/>
        <w:numPr>
          <w:ilvl w:val="0"/>
          <w:numId w:val="2"/>
        </w:numPr>
        <w:spacing w:after="60"/>
      </w:pPr>
      <w:r>
        <w:rPr>
          <w:b/>
          <w:bCs/>
        </w:rPr>
        <w:t xml:space="preserve">UNP / NSC — QUIET.</w:t>
      </w:r>
      <w:r>
        <w:t xml:space="preserve"> STB accepted the application May 28 (</w:t>
      </w:r>
      <w:hyperlink w:history="1" r:id="rIdgsvz07akx5kjlyri-babx">
        <w:r>
          <w:rPr>
            <w:rStyle w:val="Hyperlink"/>
          </w:rPr>
          <w:t xml:space="preserve">Railmarket</w:t>
        </w:r>
      </w:hyperlink>
      <w:r>
        <w:t xml:space="preserve">); no new October procedural news found. Check stb.gov for the filing-window dates flagged yesterday.</w:t>
      </w:r>
    </w:p>
    <w:p>
      <w:pPr>
        <w:pStyle w:val="ListParagraph"/>
        <w:numPr>
          <w:ilvl w:val="0"/>
          <w:numId w:val="2"/>
        </w:numPr>
        <w:spacing w:after="60"/>
      </w:pPr>
      <w:r>
        <w:rPr>
          <w:b/>
          <w:bCs/>
        </w:rPr>
        <w:t xml:space="preserve">AAUC CN — QUIET.</w:t>
      </w:r>
      <w:r>
        <w:t xml:space="preserve"> Zijin takeover terminated Jul 29, replaced by a ~US$295m, ~9.2% share purchase (</w:t>
      </w:r>
      <w:hyperlink w:history="1" r:id="rIdyosn4pjak8juztxnjfo1p">
        <w:r>
          <w:rPr>
            <w:rStyle w:val="Hyperlink"/>
          </w:rPr>
          <w:t xml:space="preserve">Finviz</w:t>
        </w:r>
      </w:hyperlink>
      <w:r>
        <w:t xml:space="preserve">); Q3 likely early/mid-November, unconfirmed.</w:t>
      </w:r>
    </w:p>
    <w:p>
      <w:pPr>
        <w:pStyle w:val="ListParagraph"/>
        <w:numPr>
          <w:ilvl w:val="0"/>
          <w:numId w:val="2"/>
        </w:numPr>
        <w:spacing w:after="60"/>
      </w:pPr>
      <w:r>
        <w:rPr>
          <w:b/>
          <w:bCs/>
        </w:rPr>
        <w:t xml:space="preserve">ALTI US — QUIET.</w:t>
      </w:r>
      <w:r>
        <w:t xml:space="preserve"> Q3 likely ~Nov 10–12 (last year Nov 12; </w:t>
      </w:r>
      <w:hyperlink w:history="1" r:id="rIdy964ucvbqknhe1yk4drfh">
        <w:r>
          <w:rPr>
            <w:rStyle w:val="Hyperlink"/>
          </w:rPr>
          <w:t xml:space="preserve">BusinessWire</w:t>
        </w:r>
      </w:hyperlink>
      <w:r>
        <w:t xml:space="preserve">); inference.</w:t>
      </w:r>
    </w:p>
    <w:p>
      <w:pPr>
        <w:pStyle w:val="Heading3"/>
        <w:spacing w:after="100" w:before="200"/>
      </w:pPr>
      <w:r>
        <w:t xml:space="preserve">Group 2 — Luxury / consumer / Korea / autos / energy / alternatives</w:t>
      </w:r>
    </w:p>
    <w:p>
      <w:pPr>
        <w:spacing w:after="100"/>
      </w:pPr>
      <w:r>
        <w:rPr>
          <w:b/>
          <w:bCs/>
        </w:rPr>
        <w:t xml:space="preserve">Real news / live</w:t>
      </w:r>
    </w:p>
    <w:p>
      <w:pPr>
        <w:pStyle w:val="ListParagraph"/>
        <w:numPr>
          <w:ilvl w:val="0"/>
          <w:numId w:val="2"/>
        </w:numPr>
        <w:spacing w:after="60"/>
      </w:pPr>
      <w:r>
        <w:rPr>
          <w:b/>
          <w:bCs/>
        </w:rPr>
        <w:t xml:space="preserve">EULIF US / CRML — MATTERS, time-critical.</w:t>
      </w:r>
      <w:r>
        <w:t xml:space="preserve"> See §1 and §4. CRML side: nothing new Oct 28–29; Greenland approved Tanbreez mining and closure plans Oct 5; an unverified single-analyst note (Panabee, Oct 15) alleges governance and royalty issues (</w:t>
      </w:r>
      <w:hyperlink w:history="1" r:id="rIdb7nbjmvc-o9b2jzisv37j">
        <w:r>
          <w:rPr>
            <w:rStyle w:val="Hyperlink"/>
          </w:rPr>
          <w:t xml:space="preserve">Panabee</w:t>
        </w:r>
      </w:hyperlink>
      <w:r>
        <w:t xml:space="preserve">).</w:t>
      </w:r>
    </w:p>
    <w:p>
      <w:pPr>
        <w:pStyle w:val="ListParagraph"/>
        <w:numPr>
          <w:ilvl w:val="0"/>
          <w:numId w:val="2"/>
        </w:numPr>
        <w:spacing w:after="60"/>
      </w:pPr>
      <w:r>
        <w:rPr>
          <w:b/>
          <w:bCs/>
        </w:rPr>
        <w:t xml:space="preserve">000660 KS (SK hynix) — MATTERS.</w:t>
      </w:r>
      <w:r>
        <w:t xml:space="preserve"> See §1. No further earnings in the window.</w:t>
      </w:r>
    </w:p>
    <w:p>
      <w:pPr>
        <w:pStyle w:val="ListParagraph"/>
        <w:numPr>
          <w:ilvl w:val="0"/>
          <w:numId w:val="2"/>
        </w:numPr>
        <w:spacing w:after="60"/>
      </w:pPr>
      <w:r>
        <w:rPr>
          <w:b/>
          <w:bCs/>
        </w:rPr>
        <w:t xml:space="preserve">005930 KS (Samsung Electronics) — MATTERS.</w:t>
      </w:r>
      <w:r>
        <w:t xml:space="preserve"> See §1.</w:t>
      </w:r>
    </w:p>
    <w:p>
      <w:pPr>
        <w:pStyle w:val="ListParagraph"/>
        <w:numPr>
          <w:ilvl w:val="0"/>
          <w:numId w:val="2"/>
        </w:numPr>
        <w:spacing w:after="60"/>
      </w:pPr>
      <w:r>
        <w:rPr>
          <w:b/>
          <w:bCs/>
        </w:rPr>
        <w:t xml:space="preserve">034730 KS (SK Inc) — QUIET.</w:t>
      </w:r>
      <w:r>
        <w:t xml:space="preserve"> No Q3 release found; the SK hynix record result is the read-through.</w:t>
      </w:r>
    </w:p>
    <w:p>
      <w:pPr>
        <w:pStyle w:val="ListParagraph"/>
        <w:numPr>
          <w:ilvl w:val="0"/>
          <w:numId w:val="2"/>
        </w:numPr>
        <w:spacing w:after="60"/>
      </w:pPr>
      <w:r>
        <w:rPr>
          <w:b/>
          <w:bCs/>
        </w:rPr>
        <w:t xml:space="preserve">PUIG SM — MATTERS.</w:t>
      </w:r>
      <w:r>
        <w:t xml:space="preserve"> See §1. Q3 sales were €1.391bn, 9M like-for-like +4.8% (yesterday's brief).</w:t>
      </w:r>
    </w:p>
    <w:p>
      <w:pPr>
        <w:pStyle w:val="ListParagraph"/>
        <w:numPr>
          <w:ilvl w:val="0"/>
          <w:numId w:val="2"/>
        </w:numPr>
        <w:spacing w:after="60"/>
      </w:pPr>
      <w:r>
        <w:rPr>
          <w:b/>
          <w:bCs/>
        </w:rPr>
        <w:t xml:space="preserve">VOW GY / P911 GY — MATTERS.</w:t>
      </w:r>
      <w:r>
        <w:t xml:space="preserve"> See §1. Porsche AG published 9M on Oct 27: operating RoS 6.9% (vs 0.2%), operating profit €1.74bn, revenue €25.28bn, deliveries −16% to 178,532, FY guidance (5.5–7.5% RoS, €35–36bn revenue) kept (</w:t>
      </w:r>
      <w:hyperlink w:history="1" r:id="rIdy8gqzlmfgkd6jyufs9emj">
        <w:r>
          <w:rPr>
            <w:rStyle w:val="Hyperlink"/>
          </w:rPr>
          <w:t xml:space="preserve">Porsche newsroom</w:t>
        </w:r>
      </w:hyperlink>
      <w:r>
        <w:t xml:space="preserve">, </w:t>
      </w:r>
      <w:hyperlink w:history="1" r:id="rId2lh-eclhn3z0j_kaeveg-">
        <w:r>
          <w:rPr>
            <w:rStyle w:val="Hyperlink"/>
          </w:rPr>
          <w:t xml:space="preserve">PrimeXBT</w:t>
        </w:r>
      </w:hyperlink>
      <w:r>
        <w:t xml:space="preserve">). This corrects yesterday's "Porsche Q3 unverified".</w:t>
      </w:r>
    </w:p>
    <w:p>
      <w:pPr>
        <w:pStyle w:val="ListParagraph"/>
        <w:numPr>
          <w:ilvl w:val="0"/>
          <w:numId w:val="2"/>
        </w:numPr>
        <w:spacing w:after="60"/>
      </w:pPr>
      <w:r>
        <w:rPr>
          <w:b/>
          <w:bCs/>
        </w:rPr>
        <w:t xml:space="preserve">8TRA GY (Traton) — MATTERS (details unverified).</w:t>
      </w:r>
      <w:r>
        <w:t xml:space="preserve"> 9M statement headline: "increases unit sales, sales revenue and adjusted operating result in the first nine months" (</w:t>
      </w:r>
      <w:hyperlink w:history="1" r:id="rIdcvq5xljxz39zlz2wb8bfu">
        <w:r>
          <w:rPr>
            <w:rStyle w:val="Hyperlink"/>
          </w:rPr>
          <w:t xml:space="preserve">VW Group</w:t>
        </w:r>
      </w:hyperlink>
      <w:r>
        <w:t xml:space="preserve">); figures and outlook could not be read.</w:t>
      </w:r>
    </w:p>
    <w:p>
      <w:pPr>
        <w:pStyle w:val="ListParagraph"/>
        <w:numPr>
          <w:ilvl w:val="0"/>
          <w:numId w:val="2"/>
        </w:numPr>
        <w:spacing w:after="60"/>
      </w:pPr>
      <w:r>
        <w:rPr>
          <w:b/>
          <w:bCs/>
        </w:rPr>
        <w:t xml:space="preserve">GENT MK (Genting Berhad) — MATTERS (negative), nothing new.</w:t>
      </w:r>
      <w:r>
        <w:t xml:space="preserve"> RM1.25bn rights issue at illustrative RM1.30: RM800m debt repayment, RM429.5m working capital (RM280m interest), RM20.5m costs; Lim family irrevocables; completion targeted Q1 2027. Shares ~25% lower since the Oct 9 announcement; CreditSights sees leverage falling only 0.2–0.3x to ~4.3x and agencies want a non-core asset sale (</w:t>
      </w:r>
      <w:hyperlink w:history="1" r:id="rIdswa_lumwii4wzuzscv5dq">
        <w:r>
          <w:rPr>
            <w:rStyle w:val="Hyperlink"/>
          </w:rPr>
          <w:t xml:space="preserve">The Star</w:t>
        </w:r>
      </w:hyperlink>
      <w:r>
        <w:t xml:space="preserve">, </w:t>
      </w:r>
      <w:hyperlink w:history="1" r:id="rIduaw8klcgivktzgkkgdios">
        <w:r>
          <w:rPr>
            <w:rStyle w:val="Hyperlink"/>
          </w:rPr>
          <w:t xml:space="preserve">CreditSights/ASGAM</w:t>
        </w:r>
      </w:hyperlink>
      <w:r>
        <w:t xml:space="preserve">).</w:t>
      </w:r>
    </w:p>
    <w:p>
      <w:pPr>
        <w:pStyle w:val="ListParagraph"/>
        <w:numPr>
          <w:ilvl w:val="0"/>
          <w:numId w:val="2"/>
        </w:numPr>
        <w:spacing w:after="60"/>
      </w:pPr>
      <w:r>
        <w:rPr>
          <w:b/>
          <w:bCs/>
        </w:rPr>
        <w:t xml:space="preserve">GENS SP (Genting Singapore) — MATTERS (new vs yesterday's QUIET).</w:t>
      </w:r>
      <w:r>
        <w:t xml:space="preserve"> Proposed rights issue of up to S$1.63bn: up to 2.04bn shares at S$0.80, a 32.8% discount to S$1.19 (</w:t>
      </w:r>
      <w:hyperlink w:history="1" r:id="rIddndphu8tlefsmnp9wpzyw">
        <w:r>
          <w:rPr>
            <w:rStyle w:val="Hyperlink"/>
          </w:rPr>
          <w:t xml:space="preserve">The Edge</w:t>
        </w:r>
      </w:hyperlink>
      <w:r>
        <w:t xml:space="preserve">, Oct 10). No timetable found. Confirm with the parent-level rights issue; dilution is live.</w:t>
      </w:r>
    </w:p>
    <w:p>
      <w:pPr>
        <w:pStyle w:val="ListParagraph"/>
        <w:numPr>
          <w:ilvl w:val="0"/>
          <w:numId w:val="2"/>
        </w:numPr>
        <w:spacing w:after="60"/>
      </w:pPr>
      <w:r>
        <w:rPr>
          <w:b/>
          <w:bCs/>
        </w:rPr>
        <w:t xml:space="preserve">ENI IM / TTE FP / REP SM — MATTERS (Repsol today).</w:t>
      </w:r>
      <w:r>
        <w:t xml:space="preserve"> Eni Q3 (Oct 23): adjusted net profit ~€2.8bn (+125%), production 1.83 Mboe/d, special dividend €0.46 payable December, 2026 buyback raised to €3.8bn (</w:t>
      </w:r>
      <w:hyperlink w:history="1" r:id="rId38hirfh88ir-fvlbqxvrc">
        <w:r>
          <w:rPr>
            <w:rStyle w:val="Hyperlink"/>
          </w:rPr>
          <w:t xml:space="preserve">Eni</w:t>
        </w:r>
      </w:hyperlink>
      <w:r>
        <w:t xml:space="preserve">). TotalEnergies: Oct 15 trading statement (output 2.45–2.50 Mboe/d, LNG $12.28/MMBtu); full Q3 date not confirmed (</w:t>
      </w:r>
      <w:hyperlink w:history="1" r:id="rIdzr0n6jhjharlnf1dm_a5m">
        <w:r>
          <w:rPr>
            <w:rStyle w:val="Hyperlink"/>
          </w:rPr>
          <w:t xml:space="preserve">RTT</w:t>
        </w:r>
      </w:hyperlink>
      <w:r>
        <w:t xml:space="preserve">). Repsol Q3 Oct 29 per MarketScreener/DailyForex, Oct 30 per AJ Bell (conflict); production 574 kboe/d, a third buyback is expected (</w:t>
      </w:r>
      <w:hyperlink w:history="1" r:id="rIdr8eh_cvfqxsiqz0rjevry">
        <w:r>
          <w:rPr>
            <w:rStyle w:val="Hyperlink"/>
          </w:rPr>
          <w:t xml:space="preserve">Quartr</w:t>
        </w:r>
      </w:hyperlink>
      <w:r>
        <w:t xml:space="preserve">). Brent in the $110s (settle unverified, $111.64–116.37 across sources).</w:t>
      </w:r>
    </w:p>
    <w:p>
      <w:pPr>
        <w:pStyle w:val="ListParagraph"/>
        <w:numPr>
          <w:ilvl w:val="0"/>
          <w:numId w:val="2"/>
        </w:numPr>
        <w:spacing w:after="60"/>
      </w:pPr>
      <w:r>
        <w:rPr>
          <w:b/>
          <w:bCs/>
        </w:rPr>
        <w:t xml:space="preserve">MC FP / CDI FP — QUIET.</w:t>
      </w:r>
      <w:r>
        <w:t xml:space="preserve"> LVMH Q3 (Oct 12) organic +1%, Fashion &amp; Leather −5% (</w:t>
      </w:r>
      <w:hyperlink w:history="1" r:id="rIdyuj2zkh2zz77eb7ohcqbf">
        <w:r>
          <w:rPr>
            <w:rStyle w:val="Hyperlink"/>
          </w:rPr>
          <w:t xml:space="preserve">LVMH</w:t>
        </w:r>
      </w:hyperlink>
      <w:r>
        <w:t xml:space="preserve">). Dior SE rose ~17% in late September on an Arnault holding reorganization; timing unverified (</w:t>
      </w:r>
      <w:hyperlink w:history="1" r:id="rIdldqrn-xhci8bofs23fn6s">
        <w:r>
          <w:rPr>
            <w:rStyle w:val="Hyperlink"/>
          </w:rPr>
          <w:t xml:space="preserve">FashionNetwork</w:t>
        </w:r>
      </w:hyperlink>
      <w:r>
        <w:t xml:space="preserve">).</w:t>
      </w:r>
    </w:p>
    <w:p>
      <w:pPr>
        <w:pStyle w:val="ListParagraph"/>
        <w:numPr>
          <w:ilvl w:val="0"/>
          <w:numId w:val="2"/>
        </w:numPr>
        <w:spacing w:after="60"/>
      </w:pPr>
      <w:r>
        <w:rPr>
          <w:b/>
          <w:bCs/>
        </w:rPr>
        <w:t xml:space="preserve">ALGM US — MATTERS today.</w:t>
      </w:r>
      <w:r>
        <w:t xml:space="preserve"> FQ2 pre-market, call 8:30am ET; guide $265–275m sales, EPS $0.23–0.26, consensus ~$0.25 / $269.9m (</w:t>
      </w:r>
      <w:hyperlink w:history="1" r:id="rIdnczy88i4fcqrzlc_59gfo">
        <w:r>
          <w:rPr>
            <w:rStyle w:val="Hyperlink"/>
          </w:rPr>
          <w:t xml:space="preserve">Finviz notice</w:t>
        </w:r>
      </w:hyperlink>
      <w:r>
        <w:t xml:space="preserve">, </w:t>
      </w:r>
      <w:hyperlink w:history="1" r:id="rIds523mhubsdjecd9svcy9e">
        <w:r>
          <w:rPr>
            <w:rStyle w:val="Hyperlink"/>
          </w:rPr>
          <w:t xml:space="preserve">Earnings Whispers</w:t>
        </w:r>
      </w:hyperlink>
      <w:r>
        <w:t xml:space="preserve">). Results not yet indexed. Date is now confirmed, resolving yesterday's flag. Sanken (6707 JP) holds an equity-method stake.</w:t>
      </w:r>
    </w:p>
    <w:p>
      <w:pPr>
        <w:pStyle w:val="ListParagraph"/>
        <w:numPr>
          <w:ilvl w:val="0"/>
          <w:numId w:val="2"/>
        </w:numPr>
        <w:spacing w:after="60"/>
      </w:pPr>
      <w:r>
        <w:rPr>
          <w:b/>
          <w:bCs/>
        </w:rPr>
        <w:t xml:space="preserve">EXO NA (Exor) — QUIET.</w:t>
      </w:r>
      <w:r>
        <w:t xml:space="preserve"> H1 NAV €157.9/share (−3.9%), €500m buyback to March 2027 (</w:t>
      </w:r>
      <w:hyperlink w:history="1" r:id="rIdn0v8otoyfqvhqb3wvmh0g">
        <w:r>
          <w:rPr>
            <w:rStyle w:val="Hyperlink"/>
          </w:rPr>
          <w:t xml:space="preserve">Calcio e Finanza</w:t>
        </w:r>
      </w:hyperlink>
      <w:r>
        <w:t xml:space="preserve">). An undated item on Ferrari −8% "after a move launched by Exor" could not be verified.</w:t>
      </w:r>
    </w:p>
    <w:p>
      <w:pPr>
        <w:pStyle w:val="ListParagraph"/>
        <w:numPr>
          <w:ilvl w:val="0"/>
          <w:numId w:val="2"/>
        </w:numPr>
        <w:spacing w:after="60"/>
      </w:pPr>
      <w:r>
        <w:rPr>
          <w:b/>
          <w:bCs/>
        </w:rPr>
        <w:t xml:space="preserve">373220 KS (LGES) — NOISE.</w:t>
      </w:r>
      <w:r>
        <w:t xml:space="preserve"> Preliminary Q3 (Oct 8): operating profit KRW 756bn including KRW 416.9bn of 45X credit (KRW 339.1bn ex-subsidy vs ~364bn consensus) (</w:t>
      </w:r>
      <w:hyperlink w:history="1" r:id="rIdmnkxm_dnhrxwtp8rr9ixi">
        <w:r>
          <w:rPr>
            <w:rStyle w:val="Hyperlink"/>
          </w:rPr>
          <w:t xml:space="preserve">StockHub</w:t>
        </w:r>
      </w:hyperlink>
      <w:r>
        <w:t xml:space="preserve">). Final call possibly Oct 29–30, unconfirmed.</w:t>
      </w:r>
    </w:p>
    <w:p>
      <w:pPr>
        <w:pStyle w:val="ListParagraph"/>
        <w:numPr>
          <w:ilvl w:val="0"/>
          <w:numId w:val="2"/>
        </w:numPr>
        <w:spacing w:after="60"/>
      </w:pPr>
      <w:r>
        <w:rPr>
          <w:b/>
          <w:bCs/>
        </w:rPr>
        <w:t xml:space="preserve">MF FP (Wendel) — QUIET.</w:t>
      </w:r>
      <w:r>
        <w:t xml:space="preserve"> Q3 NAV news was Oct 22 (see yesterday's brief).</w:t>
      </w:r>
    </w:p>
    <w:p>
      <w:pPr>
        <w:pStyle w:val="ListParagraph"/>
        <w:numPr>
          <w:ilvl w:val="0"/>
          <w:numId w:val="2"/>
        </w:numPr>
        <w:spacing w:after="60"/>
      </w:pPr>
      <w:r>
        <w:rPr>
          <w:b/>
          <w:bCs/>
        </w:rPr>
        <w:t xml:space="preserve">BX US — QUIET.</w:t>
      </w:r>
      <w:r>
        <w:t xml:space="preserve"> Q3 (Oct 22): DE $1.7bn ($1.32/share), FRE $1.6bn, AUM ~$1.37tn, revenue $3.06bn slight miss, dividend $1.12 with record date Nov 2, paid Nov 9 (</w:t>
      </w:r>
      <w:hyperlink w:history="1" r:id="rIdvd-vfsslfhy2bwpgbmurm">
        <w:r>
          <w:rPr>
            <w:rStyle w:val="Hyperlink"/>
          </w:rPr>
          <w:t xml:space="preserve">Blackstone</w:t>
        </w:r>
      </w:hyperlink>
      <w:r>
        <w:t xml:space="preserve">, </w:t>
      </w:r>
      <w:hyperlink w:history="1" r:id="rId2zfxahkhhlndj2lvy5juq">
        <w:r>
          <w:rPr>
            <w:rStyle w:val="Hyperlink"/>
          </w:rPr>
          <w:t xml:space="preserve">RTT</w:t>
        </w:r>
      </w:hyperlink>
      <w:r>
        <w:t xml:space="preserve">).</w:t>
      </w:r>
    </w:p>
    <w:p>
      <w:pPr>
        <w:pStyle w:val="ListParagraph"/>
        <w:numPr>
          <w:ilvl w:val="0"/>
          <w:numId w:val="2"/>
        </w:numPr>
        <w:spacing w:after="60"/>
      </w:pPr>
      <w:r>
        <w:rPr>
          <w:b/>
          <w:bCs/>
        </w:rPr>
        <w:t xml:space="preserve">PGHN SW — QUIET.</w:t>
      </w:r>
      <w:r>
        <w:t xml:space="preserve"> H1 AuM $186bn; no October news.</w:t>
      </w:r>
    </w:p>
    <w:p>
      <w:pPr>
        <w:pStyle w:val="ListParagraph"/>
        <w:numPr>
          <w:ilvl w:val="0"/>
          <w:numId w:val="2"/>
        </w:numPr>
        <w:spacing w:after="60"/>
      </w:pPr>
      <w:r>
        <w:rPr>
          <w:b/>
          <w:bCs/>
        </w:rPr>
        <w:t xml:space="preserve">BVI FP — QUIET.</w:t>
      </w:r>
      <w:r>
        <w:t xml:space="preserve"> Q3 (Oct 21): revenue €1,569.7m, +10.1% (organic +6.2%), FY outlook confirmed, 2027–28 CAGR target raised (</w:t>
      </w:r>
      <w:hyperlink w:history="1" r:id="rIdkgkd5fyvu0dscxo7wqsd4">
        <w:r>
          <w:rPr>
            <w:rStyle w:val="Hyperlink"/>
          </w:rPr>
          <w:t xml:space="preserve">STT</w:t>
        </w:r>
      </w:hyperlink>
      <w:r>
        <w:t xml:space="preserve">).</w:t>
      </w:r>
    </w:p>
    <w:p>
      <w:pPr>
        <w:pStyle w:val="ListParagraph"/>
        <w:numPr>
          <w:ilvl w:val="0"/>
          <w:numId w:val="2"/>
        </w:numPr>
        <w:spacing w:after="60"/>
      </w:pPr>
      <w:r>
        <w:rPr>
          <w:b/>
          <w:bCs/>
        </w:rPr>
        <w:t xml:space="preserve">QCQ6 / copper — unverified.</w:t>
      </w:r>
      <w:r>
        <w:t xml:space="preserve"> No Oct 28–29 COMEX price found (latest dated data Sept 10, ~$6.49/lb). August contract is past delivery.</w:t>
      </w:r>
    </w:p>
    <w:p>
      <w:pPr>
        <w:spacing w:after="100"/>
      </w:pPr>
      <w:r>
        <w:rPr>
          <w:b/>
          <w:bCs/>
        </w:rPr>
        <w:t xml:space="preserve">Quiet names (status lines)</w:t>
      </w:r>
    </w:p>
    <w:p>
      <w:pPr>
        <w:pStyle w:val="ListParagraph"/>
        <w:numPr>
          <w:ilvl w:val="0"/>
          <w:numId w:val="2"/>
        </w:numPr>
        <w:spacing w:after="60"/>
      </w:pPr>
      <w:r>
        <w:rPr>
          <w:b/>
          <w:bCs/>
        </w:rPr>
        <w:t xml:space="preserve">RACE IM</w:t>
      </w:r>
      <w:r>
        <w:t xml:space="preserve"> — Q3 </w:t>
      </w:r>
      <w:r>
        <w:rPr>
          <w:b/>
          <w:bCs/>
        </w:rPr>
        <w:t xml:space="preserve">Nov 3</w:t>
      </w:r>
      <w:r>
        <w:t xml:space="preserve"> (</w:t>
      </w:r>
      <w:hyperlink w:history="1" r:id="rIdrjjg9rxt10mxhh7vopv-f">
        <w:r>
          <w:rPr>
            <w:rStyle w:val="Hyperlink"/>
          </w:rPr>
          <w:t xml:space="preserve">Simply Wall St</w:t>
        </w:r>
      </w:hyperlink>
      <w:r>
        <w:t xml:space="preserve">).</w:t>
      </w:r>
    </w:p>
    <w:p>
      <w:pPr>
        <w:pStyle w:val="ListParagraph"/>
        <w:numPr>
          <w:ilvl w:val="0"/>
          <w:numId w:val="2"/>
        </w:numPr>
        <w:spacing w:after="60"/>
      </w:pPr>
      <w:r>
        <w:rPr>
          <w:b/>
          <w:bCs/>
        </w:rPr>
        <w:t xml:space="preserve">COTY US / IPAR US / ITP FP</w:t>
      </w:r>
      <w:r>
        <w:t xml:space="preserve"> — dates unconfirmed and conflicting (~Nov 4 per </w:t>
      </w:r>
      <w:hyperlink w:history="1" r:id="rIdrmwra3dfumu_20devq79l">
        <w:r>
          <w:rPr>
            <w:rStyle w:val="Hyperlink"/>
          </w:rPr>
          <w:t xml:space="preserve">Unusual Whales</w:t>
        </w:r>
      </w:hyperlink>
      <w:r>
        <w:t xml:space="preserve">; Coty Nov 10 per </w:t>
      </w:r>
      <w:hyperlink w:history="1" r:id="rIdanf8h8egttniztyth6acn">
        <w:r>
          <w:rPr>
            <w:rStyle w:val="Hyperlink"/>
          </w:rPr>
          <w:t xml:space="preserve">TipRanks</w:t>
        </w:r>
      </w:hyperlink>
      <w:r>
        <w:t xml:space="preserve">).</w:t>
      </w:r>
    </w:p>
    <w:p>
      <w:pPr>
        <w:pStyle w:val="ListParagraph"/>
        <w:numPr>
          <w:ilvl w:val="0"/>
          <w:numId w:val="2"/>
        </w:numPr>
        <w:spacing w:after="60"/>
      </w:pPr>
      <w:r>
        <w:rPr>
          <w:b/>
          <w:bCs/>
        </w:rPr>
        <w:t xml:space="preserve">PSH LN / PSUS US</w:t>
      </w:r>
      <w:r>
        <w:t xml:space="preserve"> — no news found.</w:t>
      </w:r>
    </w:p>
    <w:p>
      <w:pPr>
        <w:pStyle w:val="ListParagraph"/>
        <w:numPr>
          <w:ilvl w:val="0"/>
          <w:numId w:val="2"/>
        </w:numPr>
        <w:spacing w:after="60"/>
      </w:pPr>
      <w:r>
        <w:rPr>
          <w:b/>
          <w:bCs/>
        </w:rPr>
        <w:t xml:space="preserve">NPN SJ / PRX NA</w:t>
      </w:r>
      <w:r>
        <w:t xml:space="preserve"> — no news; interims expected late November (~Nov 30 per </w:t>
      </w:r>
      <w:hyperlink w:history="1" r:id="rIdnym9zlgfafq1-e2mygunf">
        <w:r>
          <w:rPr>
            <w:rStyle w:val="Hyperlink"/>
          </w:rPr>
          <w:t xml:space="preserve">TipRanks</w:t>
        </w:r>
      </w:hyperlink>
      <w:r>
        <w:t xml:space="preserve">, unconfirmed).</w:t>
      </w:r>
    </w:p>
    <w:p>
      <w:pPr>
        <w:pStyle w:val="ListParagraph"/>
        <w:numPr>
          <w:ilvl w:val="0"/>
          <w:numId w:val="2"/>
        </w:numPr>
        <w:spacing w:after="60"/>
      </w:pPr>
      <w:r>
        <w:rPr>
          <w:b/>
          <w:bCs/>
        </w:rPr>
        <w:t xml:space="preserve">051910 KS (LG Chem), 028260 KS (Samsung C&amp;T)</w:t>
      </w:r>
      <w:r>
        <w:t xml:space="preserve"> — no Q3 releases found; check DART. LG Chem last year reported Oct 31.</w:t>
      </w:r>
    </w:p>
    <w:p>
      <w:pPr>
        <w:pStyle w:val="ListParagraph"/>
        <w:numPr>
          <w:ilvl w:val="0"/>
          <w:numId w:val="2"/>
        </w:numPr>
        <w:spacing w:after="60"/>
      </w:pPr>
      <w:r>
        <w:rPr>
          <w:b/>
          <w:bCs/>
        </w:rPr>
        <w:t xml:space="preserve">9433 JP (KDDI), 9432 JP (NTT), 6707 JP (Sanken)</w:t>
      </w:r>
      <w:r>
        <w:t xml:space="preserve"> — H1 dates unconfirmed, early November likely. One unverified summary mentions an advertising-agency transactions investigation touching KDDI.</w:t>
      </w:r>
    </w:p>
    <w:p>
      <w:pPr>
        <w:pStyle w:val="ListParagraph"/>
        <w:numPr>
          <w:ilvl w:val="0"/>
          <w:numId w:val="2"/>
        </w:numPr>
        <w:spacing w:after="60"/>
      </w:pPr>
      <w:r>
        <w:rPr>
          <w:b/>
          <w:bCs/>
        </w:rPr>
        <w:t xml:space="preserve">INDUA SS, IPRV LN, MSE FP</w:t>
      </w:r>
      <w:r>
        <w:t xml:space="preserve"> — no news; no index close for MSE found.</w:t>
      </w:r>
    </w:p>
    <w:p>
      <w:pPr>
        <w:pStyle w:val="Heading3"/>
        <w:spacing w:after="100" w:before="200"/>
      </w:pPr>
      <w:r>
        <w:t xml:space="preserve">Group 3 — Small/mid-cap &amp; special situations</w:t>
      </w:r>
    </w:p>
    <w:p>
      <w:pPr>
        <w:pStyle w:val="ListParagraph"/>
        <w:numPr>
          <w:ilvl w:val="0"/>
          <w:numId w:val="2"/>
        </w:numPr>
        <w:spacing w:after="60"/>
      </w:pPr>
      <w:r>
        <w:rPr>
          <w:b/>
          <w:bCs/>
        </w:rPr>
        <w:t xml:space="preserve">SLV / SIL / VZLA — MATTERS (macro).</w:t>
      </w:r>
      <w:r>
        <w:t xml:space="preserve"> Gold ~$4,035–4,057, silver ~$53.7–54.1 (−0.5% to −1%) after the hawkish hold (</w:t>
      </w:r>
      <w:hyperlink w:history="1" r:id="rIdeddamya2dh3lii12i_hr0">
        <w:r>
          <w:rPr>
            <w:rStyle w:val="Hyperlink"/>
          </w:rPr>
          <w:t xml:space="preserve">Kitco</w:t>
        </w:r>
      </w:hyperlink>
      <w:r>
        <w:t xml:space="preserve">). Sucden sees gold $3,900 and silver $50 by year-end (</w:t>
      </w:r>
      <w:hyperlink w:history="1" r:id="rIdmn8jwfirv1dxnrxutty6c">
        <w:r>
          <w:rPr>
            <w:rStyle w:val="Hyperlink"/>
          </w:rPr>
          <w:t xml:space="preserve">Kitco</w:t>
        </w:r>
      </w:hyperlink>
      <w:r>
        <w:t xml:space="preserve">). No VZLA-specific October news.</w:t>
      </w:r>
    </w:p>
    <w:p>
      <w:pPr>
        <w:pStyle w:val="ListParagraph"/>
        <w:numPr>
          <w:ilvl w:val="0"/>
          <w:numId w:val="2"/>
        </w:numPr>
        <w:spacing w:after="60"/>
      </w:pPr>
      <w:r>
        <w:rPr>
          <w:b/>
          <w:bCs/>
        </w:rPr>
        <w:t xml:space="preserve">NAK US — QUIET, binary.</w:t>
      </w:r>
      <w:r>
        <w:t xml:space="preserve"> Pebble: argued Jun 25, no decision reported (</w:t>
      </w:r>
      <w:hyperlink w:history="1" r:id="rIdlar6gy8vznnre3qx3ckcw">
        <w:r>
          <w:rPr>
            <w:rStyle w:val="Hyperlink"/>
          </w:rPr>
          <w:t xml:space="preserve">SEC exhibit</w:t>
        </w:r>
      </w:hyperlink>
      <w:r>
        <w:t xml:space="preserve">). Ruling could come any day.</w:t>
      </w:r>
    </w:p>
    <w:p>
      <w:pPr>
        <w:pStyle w:val="ListParagraph"/>
        <w:numPr>
          <w:ilvl w:val="0"/>
          <w:numId w:val="2"/>
        </w:numPr>
        <w:spacing w:after="60"/>
      </w:pPr>
      <w:r>
        <w:rPr>
          <w:b/>
          <w:bCs/>
        </w:rPr>
        <w:t xml:space="preserve">DDL US — QUIET, status unknown.</w:t>
      </w:r>
      <w:r>
        <w:t xml:space="preserve"> $717m sale of the China business to Meituan, announced Feb 5, conditioned on SAMR clearance and an EGM (</w:t>
      </w:r>
      <w:hyperlink w:history="1" r:id="rIdpaq3wedxyrnk3gbjjyqsh">
        <w:r>
          <w:rPr>
            <w:rStyle w:val="Hyperlink"/>
          </w:rPr>
          <w:t xml:space="preserve">Placera</w:t>
        </w:r>
      </w:hyperlink>
      <w:r>
        <w:t xml:space="preserve">); closing status not found. Check filings.</w:t>
      </w:r>
    </w:p>
    <w:p>
      <w:pPr>
        <w:pStyle w:val="ListParagraph"/>
        <w:numPr>
          <w:ilvl w:val="0"/>
          <w:numId w:val="2"/>
        </w:numPr>
        <w:spacing w:after="60"/>
      </w:pPr>
      <w:r>
        <w:rPr>
          <w:b/>
          <w:bCs/>
        </w:rPr>
        <w:t xml:space="preserve">GPH CN / GPH-WA CN — QUIET.</w:t>
      </w:r>
      <w:r>
        <w:t xml:space="preserve"> 20,002,000 warrants listed as GPH.WT.A around Mar 3, 2026 (terms not found); earlier GPH.WT series C$1.10 strike, ~Aug 2027 expiry (arithmetic, unverified) (</w:t>
      </w:r>
      <w:hyperlink w:history="1" r:id="rIdkvda5yg--xpv3imvfxwtn">
        <w:r>
          <w:rPr>
            <w:rStyle w:val="Hyperlink"/>
          </w:rPr>
          <w:t xml:space="preserve">Graphite One</w:t>
        </w:r>
      </w:hyperlink>
      <w:r>
        <w:t xml:space="preserve">). Series still not confirmed.</w:t>
      </w:r>
    </w:p>
    <w:p>
      <w:pPr>
        <w:pStyle w:val="ListParagraph"/>
        <w:numPr>
          <w:ilvl w:val="0"/>
          <w:numId w:val="2"/>
        </w:numPr>
        <w:spacing w:after="60"/>
      </w:pPr>
      <w:r>
        <w:rPr>
          <w:b/>
          <w:bCs/>
        </w:rPr>
        <w:t xml:space="preserve">BUKA IJ — QUIET.</w:t>
      </w:r>
      <w:r>
        <w:t xml:space="preserve"> Q3 out ~Oct 25–27: net loss ~Rp881–886bn vs a Rp2.9tn profit a year earlier (likely one-off), 9M revenue Rp5.64tn, cash Rp16.8tn (</w:t>
      </w:r>
      <w:hyperlink w:history="1" r:id="rIdkx0aywj02civrdfdp28y2">
        <w:r>
          <w:rPr>
            <w:rStyle w:val="Hyperlink"/>
          </w:rPr>
          <w:t xml:space="preserve">Kontan</w:t>
        </w:r>
      </w:hyperlink>
      <w:r>
        <w:t xml:space="preserve">).</w:t>
      </w:r>
    </w:p>
    <w:p>
      <w:pPr>
        <w:pStyle w:val="ListParagraph"/>
        <w:numPr>
          <w:ilvl w:val="0"/>
          <w:numId w:val="2"/>
        </w:numPr>
        <w:spacing w:after="60"/>
      </w:pPr>
      <w:r>
        <w:rPr>
          <w:b/>
          <w:bCs/>
        </w:rPr>
        <w:t xml:space="preserve">7912 JP / 7911 JP</w:t>
      </w:r>
      <w:r>
        <w:t xml:space="preserve"> — next results listed Nov 13 (unverified, secondary sources).</w:t>
      </w:r>
    </w:p>
    <w:p>
      <w:pPr>
        <w:pStyle w:val="ListParagraph"/>
        <w:numPr>
          <w:ilvl w:val="0"/>
          <w:numId w:val="2"/>
        </w:numPr>
        <w:spacing w:after="60"/>
      </w:pPr>
      <w:r>
        <w:rPr>
          <w:b/>
          <w:bCs/>
        </w:rPr>
        <w:t xml:space="preserve">LIO LN</w:t>
      </w:r>
      <w:r>
        <w:t xml:space="preserve"> — Q3 Nov 4 per yesterday's brief; no new news.</w:t>
      </w:r>
    </w:p>
    <w:p>
      <w:pPr>
        <w:pStyle w:val="ListParagraph"/>
        <w:numPr>
          <w:ilvl w:val="0"/>
          <w:numId w:val="2"/>
        </w:numPr>
        <w:spacing w:after="60"/>
      </w:pPr>
      <w:r>
        <w:rPr>
          <w:b/>
          <w:bCs/>
        </w:rPr>
        <w:t xml:space="preserve">SMH LN / 3445 JP</w:t>
      </w:r>
      <w:r>
        <w:t xml:space="preserve"> — no Oct 28 SOX move found (last datapoint SOX 10,779 on Oct 23, well below the Jun 22 high of 14,655; single source). Memory results are the better read-through.</w:t>
      </w:r>
    </w:p>
    <w:p>
      <w:pPr>
        <w:pStyle w:val="ListParagraph"/>
        <w:numPr>
          <w:ilvl w:val="0"/>
          <w:numId w:val="2"/>
        </w:numPr>
        <w:spacing w:after="60"/>
      </w:pPr>
      <w:r>
        <w:rPr>
          <w:b/>
          <w:bCs/>
        </w:rPr>
        <w:t xml:space="preserve">6425 JP</w:t>
      </w:r>
      <w:r>
        <w:t xml:space="preserve"> — 1H revenue ¥76.6bn (+23.1%); Q3 results likely Nov 6–13 (unverified).</w:t>
      </w:r>
    </w:p>
    <w:p>
      <w:pPr>
        <w:pStyle w:val="ListParagraph"/>
        <w:numPr>
          <w:ilvl w:val="0"/>
          <w:numId w:val="2"/>
        </w:numPr>
        <w:spacing w:after="60"/>
      </w:pPr>
      <w:r>
        <w:rPr>
          <w:b/>
          <w:bCs/>
        </w:rPr>
        <w:t xml:space="preserve">CDZI US, DIDIY US (Nov 12 per StockAnalysis, conflicting), IPX LN (next results Dec 2, unverified), JUP LN</w:t>
      </w:r>
      <w:r>
        <w:t xml:space="preserve"> — QUIET.</w:t>
      </w:r>
    </w:p>
    <w:p>
      <w:pPr>
        <w:pStyle w:val="ListParagraph"/>
        <w:numPr>
          <w:ilvl w:val="0"/>
          <w:numId w:val="2"/>
        </w:numPr>
        <w:spacing w:after="60"/>
      </w:pPr>
      <w:r>
        <w:rPr>
          <w:b/>
          <w:bCs/>
        </w:rPr>
        <w:t xml:space="preserve">EP059897 Pfd — UNRESOLVED.</w:t>
      </w:r>
      <w:r>
        <w:t xml:space="preserve"> Not guessed. Owner to supply ISIN/issuer.</w:t>
      </w:r>
    </w:p>
    <w:p>
      <w:pPr>
        <w:pStyle w:val="Heading3"/>
        <w:spacing w:after="100" w:before="200"/>
      </w:pPr>
      <w:r>
        <w:t xml:space="preserve">Group 4 — Futures / macro hedges</w:t>
      </w:r>
    </w:p>
    <w:p>
      <w:pPr>
        <w:spacing w:after="100"/>
      </w:pPr>
      <w:r>
        <w:t xml:space="preserve">All dated futures on the watchlist are expired or past delivery (see §4); levels below are cash proxies.</w:t>
      </w:r>
    </w:p>
    <w:p>
      <w:pPr>
        <w:pStyle w:val="ListParagraph"/>
        <w:numPr>
          <w:ilvl w:val="0"/>
          <w:numId w:val="2"/>
        </w:numPr>
        <w:spacing w:after="60"/>
      </w:pPr>
      <w:r>
        <w:rPr>
          <w:b/>
          <w:bCs/>
        </w:rPr>
        <w:t xml:space="preserve">NQ / ES</w:t>
      </w:r>
      <w:r>
        <w:t xml:space="preserve"> — MATTERS. Nasdaq Composite 26,549.85, S&amp;P 7,743.98 (§1). Futures this morning: no quotes found; Alphabet −10% after hours is the drag.</w:t>
      </w:r>
    </w:p>
    <w:p>
      <w:pPr>
        <w:pStyle w:val="ListParagraph"/>
        <w:numPr>
          <w:ilvl w:val="0"/>
          <w:numId w:val="2"/>
        </w:numPr>
        <w:spacing w:after="60"/>
      </w:pPr>
      <w:r>
        <w:rPr>
          <w:b/>
          <w:bCs/>
        </w:rPr>
        <w:t xml:space="preserve">Z (FTSE 100)</w:t>
      </w:r>
      <w:r>
        <w:t xml:space="preserve"> — 10,694.50, +0.1% (single source, unverified; </w:t>
      </w:r>
      <w:hyperlink w:history="1" r:id="rId76rhw1cpvwrig31anlvbz">
        <w:r>
          <w:rPr>
            <w:rStyle w:val="Hyperlink"/>
          </w:rPr>
          <w:t xml:space="preserve">Share Talk</w:t>
        </w:r>
      </w:hyperlink>
      <w:r>
        <w:t xml:space="preserve">).</w:t>
      </w:r>
    </w:p>
    <w:p>
      <w:pPr>
        <w:pStyle w:val="ListParagraph"/>
        <w:numPr>
          <w:ilvl w:val="0"/>
          <w:numId w:val="2"/>
        </w:numPr>
        <w:spacing w:after="60"/>
      </w:pPr>
      <w:r>
        <w:rPr>
          <w:b/>
          <w:bCs/>
        </w:rPr>
        <w:t xml:space="preserve">WNU6 / IEF</w:t>
      </w:r>
      <w:r>
        <w:t xml:space="preserve"> — MATTERS. 10-year ~5.02–5.03% (unverified), 2-year ~4.71%, 30-year ~5.33% intraday. The 10-year hit 5.23% on Sep 28, the highest since 2007.</w:t>
      </w:r>
    </w:p>
    <w:p>
      <w:pPr>
        <w:pStyle w:val="ListParagraph"/>
        <w:numPr>
          <w:ilvl w:val="0"/>
          <w:numId w:val="2"/>
        </w:numPr>
        <w:spacing w:after="60"/>
      </w:pPr>
      <w:r>
        <w:rPr>
          <w:b/>
          <w:bCs/>
        </w:rPr>
        <w:t xml:space="preserve">HYG</w:t>
      </w:r>
      <w:r>
        <w:t xml:space="preserve"> — no October data found; check FRED BAMLH0A0HYM2.</w:t>
      </w:r>
    </w:p>
    <w:p>
      <w:pPr>
        <w:pStyle w:val="ListParagraph"/>
        <w:numPr>
          <w:ilvl w:val="0"/>
          <w:numId w:val="2"/>
        </w:numPr>
        <w:spacing w:after="60"/>
      </w:pPr>
      <w:r>
        <w:rPr>
          <w:b/>
          <w:bCs/>
        </w:rPr>
        <w:t xml:space="preserve">UXQ6 / uranium</w:t>
      </w:r>
      <w:r>
        <w:t xml:space="preserve"> — see §4. Spot ~$89.6–89.9/lb, long-term price $96.50.</w:t>
      </w:r>
    </w:p>
    <w:p>
      <w:pPr>
        <w:pStyle w:val="ListParagraph"/>
        <w:numPr>
          <w:ilvl w:val="0"/>
          <w:numId w:val="2"/>
        </w:numPr>
        <w:spacing w:after="60"/>
      </w:pPr>
      <w:r>
        <w:rPr>
          <w:b/>
          <w:bCs/>
        </w:rPr>
        <w:t xml:space="preserve">YBYU6</w:t>
      </w:r>
      <w:r>
        <w:t xml:space="preserve"> — still unidentified; "U6" implies September 2026, expired.</w:t>
      </w:r>
    </w:p>
    <w:p>
      <w:pPr>
        <w:spacing w:after="100"/>
      </w:pPr>
      <w:r>
        <w:rPr>
          <w:b/>
          <w:bCs/>
        </w:rPr>
        <w:t xml:space="preserve">Week in context.</w:t>
      </w:r>
      <w:r>
        <w:t xml:space="preserve"> Oct 22–23 AI selloff with oil at $113–117 and a 5% 10-year; Oct 23 gold −2.8%, silver −5.9%; Oct 26–28 three straight up days (S&amp;P 7,623.68 → 7,676.77 → 7,722.60 → 7,743.98). Oil plus a 5% 10-year and a hike-leaning Fed are the headwind; AI capex is the swing factor and today's Alphabet reaction tests it. Still to come: Amazon today, Apple/Palantir Nov 2, Nov 3 midterms.</w:t>
      </w:r>
    </w:p>
    <w:p>
      <w:pPr>
        <w:pStyle w:val="Heading3"/>
        <w:spacing w:after="100" w:before="200"/>
      </w:pPr>
      <w:r>
        <w:t xml:space="preserve">Group 5 — US large-cap core</w:t>
      </w:r>
    </w:p>
    <w:p>
      <w:pPr>
        <w:pStyle w:val="ListParagraph"/>
        <w:numPr>
          <w:ilvl w:val="0"/>
          <w:numId w:val="2"/>
        </w:numPr>
        <w:spacing w:after="60"/>
      </w:pPr>
      <w:r>
        <w:rPr>
          <w:b/>
          <w:bCs/>
        </w:rPr>
        <w:t xml:space="preserve">CAT US — MATTERS today.</w:t>
      </w:r>
      <w:r>
        <w:t xml:space="preserve"> Q3 pre-market, call 8:30am ET; no results indexed. Consensus EPS ~$7.04–7.12, revenue ~$20.6–20.8bn; ~$600m tariff cost guided; shares closed $713.31 on Oct 27 (+3.1%) after ~−15% over the prior month (</w:t>
      </w:r>
      <w:hyperlink w:history="1" r:id="rIddpmwyyfik5j5sl_0buyug">
        <w:r>
          <w:rPr>
            <w:rStyle w:val="Hyperlink"/>
          </w:rPr>
          <w:t xml:space="preserve">Caterpillar</w:t>
        </w:r>
      </w:hyperlink>
      <w:r>
        <w:t xml:space="preserve">, </w:t>
      </w:r>
      <w:hyperlink w:history="1" r:id="rId7aejdgbmvo0c8howhg2ca">
        <w:r>
          <w:rPr>
            <w:rStyle w:val="Hyperlink"/>
          </w:rPr>
          <w:t xml:space="preserve">24/7 Wall St</w:t>
        </w:r>
      </w:hyperlink>
      <w:r>
        <w:t xml:space="preserve">).</w:t>
      </w:r>
    </w:p>
    <w:p>
      <w:pPr>
        <w:pStyle w:val="ListParagraph"/>
        <w:numPr>
          <w:ilvl w:val="0"/>
          <w:numId w:val="2"/>
        </w:numPr>
        <w:spacing w:after="60"/>
      </w:pPr>
      <w:r>
        <w:rPr>
          <w:b/>
          <w:bCs/>
        </w:rPr>
        <w:t xml:space="preserve">LLY US — MATTERS today.</w:t>
      </w:r>
      <w:r>
        <w:t xml:space="preserve"> Q3 call 10am ET; no results indexed. Revenue consensus ~$22.4–22.6bn; EPS consensus conflicts across sources (yesterday: $5.4 / $7.0 / $9.8) because of acquired-IPR&amp;D charges; watch Foundayo (oral orforglipron) and the $85–87bn guide (</w:t>
      </w:r>
      <w:hyperlink w:history="1" r:id="rId1fjwexsekc3esxwpxnon0">
        <w:r>
          <w:rPr>
            <w:rStyle w:val="Hyperlink"/>
          </w:rPr>
          <w:t xml:space="preserve">Hudson Labs</w:t>
        </w:r>
      </w:hyperlink>
      <w:r>
        <w:t xml:space="preserve">).</w:t>
      </w:r>
    </w:p>
    <w:p>
      <w:pPr>
        <w:pStyle w:val="ListParagraph"/>
        <w:numPr>
          <w:ilvl w:val="0"/>
          <w:numId w:val="2"/>
        </w:numPr>
        <w:spacing w:after="60"/>
      </w:pPr>
      <w:r>
        <w:rPr>
          <w:b/>
          <w:bCs/>
        </w:rPr>
        <w:t xml:space="preserve">MAGS US — MATTERS.</w:t>
      </w:r>
      <w:r>
        <w:t xml:space="preserve"> NAV 70.09 on Oct 23 (</w:t>
      </w:r>
      <w:hyperlink w:history="1" r:id="rIdrnpm7apb1cq4ne1c04e5-">
        <w:r>
          <w:rPr>
            <w:rStyle w:val="Hyperlink"/>
          </w:rPr>
          <w:t xml:space="preserve">Roundhill</w:t>
        </w:r>
      </w:hyperlink>
      <w:r>
        <w:t xml:space="preserve">). GOOGL ~−10% and MSFT ~+3–5% after hours roughly offset; META fell ~7% to $648.85 on Oct 22 after its print (incl. a $9.89bn legal charge); AMZN today after close.</w:t>
      </w:r>
    </w:p>
    <w:p>
      <w:pPr>
        <w:pStyle w:val="ListParagraph"/>
        <w:numPr>
          <w:ilvl w:val="0"/>
          <w:numId w:val="2"/>
        </w:numPr>
        <w:spacing w:after="60"/>
      </w:pPr>
      <w:r>
        <w:rPr>
          <w:b/>
          <w:bCs/>
        </w:rPr>
        <w:t xml:space="preserve">PLTR US — QUIET until Nov 2</w:t>
      </w:r>
      <w:r>
        <w:t xml:space="preserve"> after close (not confirmed by the company in my search; </w:t>
      </w:r>
      <w:hyperlink w:history="1" r:id="rId6ymihnxzrpltdxr3kc1lq">
        <w:r>
          <w:rPr>
            <w:rStyle w:val="Hyperlink"/>
          </w:rPr>
          <w:t xml:space="preserve">TheRightTrader</w:t>
        </w:r>
      </w:hyperlink>
      <w:r>
        <w:t xml:space="preserve">). Revenue guide $2.160–2.164bn.</w:t>
      </w:r>
    </w:p>
    <w:p>
      <w:pPr>
        <w:pStyle w:val="ListParagraph"/>
        <w:numPr>
          <w:ilvl w:val="0"/>
          <w:numId w:val="2"/>
        </w:numPr>
        <w:spacing w:after="60"/>
      </w:pPr>
      <w:r>
        <w:rPr>
          <w:b/>
          <w:bCs/>
        </w:rPr>
        <w:t xml:space="preserve">TPR US — QUIET.</w:t>
      </w:r>
      <w:r>
        <w:t xml:space="preserve"> FQ1 call Nov 5 pre-market per TipRanks (unverified); guide adj. EPS ~$1.55 vs $1.48 consensus (</w:t>
      </w:r>
      <w:hyperlink w:history="1" r:id="rIdixsb75wnhx-1dnsgewq4r">
        <w:r>
          <w:rPr>
            <w:rStyle w:val="Hyperlink"/>
          </w:rPr>
          <w:t xml:space="preserve">Finviz</w:t>
        </w:r>
      </w:hyperlink>
      <w:r>
        <w:t xml:space="preserve">).</w:t>
      </w:r>
    </w:p>
    <w:p>
      <w:pPr>
        <w:pStyle w:val="ListParagraph"/>
        <w:numPr>
          <w:ilvl w:val="0"/>
          <w:numId w:val="2"/>
        </w:numPr>
        <w:spacing w:after="60"/>
      </w:pPr>
      <w:r>
        <w:rPr>
          <w:b/>
          <w:bCs/>
        </w:rPr>
        <w:t xml:space="preserve">COST / WMT / IBKR</w:t>
      </w:r>
      <w:r>
        <w:t xml:space="preserve"> — QUIET. Costco Sept sales $30.02bn (+13.0%); October sales likely early November. IBKR October metrics normally ~Nov 2.</w:t>
      </w:r>
    </w:p>
    <w:p>
      <w:pPr>
        <w:pBdr>
          <w:bottom w:val="single" w:color="999999" w:sz="6" w:space="1"/>
        </w:pBdr>
      </w:pPr>
    </w:p>
    <w:p>
      <w:pPr>
        <w:pStyle w:val="Heading2"/>
        <w:spacing w:after="100" w:before="200"/>
      </w:pPr>
      <w:r>
        <w:t xml:space="preserve">3. Probably noise</w:t>
      </w:r>
    </w:p>
    <w:p>
      <w:pPr>
        <w:pStyle w:val="ListParagraph"/>
        <w:numPr>
          <w:ilvl w:val="0"/>
          <w:numId w:val="2"/>
        </w:numPr>
        <w:spacing w:after="60"/>
      </w:pPr>
      <w:r>
        <w:rPr>
          <w:b/>
          <w:bCs/>
        </w:rPr>
        <w:t xml:space="preserve">Porsche AG 9M</w:t>
      </w:r>
      <w:r>
        <w:t xml:space="preserve"> — out Oct 27, outside the window; expected after VW's Sept 18 pre-announcement.</w:t>
      </w:r>
    </w:p>
    <w:p>
      <w:pPr>
        <w:pStyle w:val="ListParagraph"/>
        <w:numPr>
          <w:ilvl w:val="0"/>
          <w:numId w:val="2"/>
        </w:numPr>
        <w:spacing w:after="60"/>
      </w:pPr>
      <w:r>
        <w:rPr>
          <w:b/>
          <w:bCs/>
        </w:rPr>
        <w:t xml:space="preserve">VW's €8.7bn special items</w:t>
      </w:r>
      <w:r>
        <w:t xml:space="preserve"> — mostly pre-announced; the news is the Q3 operating loss, not the impairment.</w:t>
      </w:r>
    </w:p>
    <w:p>
      <w:pPr>
        <w:pStyle w:val="ListParagraph"/>
        <w:numPr>
          <w:ilvl w:val="0"/>
          <w:numId w:val="2"/>
        </w:numPr>
        <w:spacing w:after="60"/>
      </w:pPr>
      <w:r>
        <w:rPr>
          <w:b/>
          <w:bCs/>
        </w:rPr>
        <w:t xml:space="preserve">Eni and Blackstone Q3</w:t>
      </w:r>
      <w:r>
        <w:t xml:space="preserve"> — out Oct 22–23 and priced.</w:t>
      </w:r>
    </w:p>
    <w:p>
      <w:pPr>
        <w:pStyle w:val="ListParagraph"/>
        <w:numPr>
          <w:ilvl w:val="0"/>
          <w:numId w:val="2"/>
        </w:numPr>
        <w:spacing w:after="60"/>
      </w:pPr>
      <w:r>
        <w:rPr>
          <w:b/>
          <w:bCs/>
        </w:rPr>
        <w:t xml:space="preserve">LGES KRW 756bn headline</w:t>
      </w:r>
      <w:r>
        <w:t xml:space="preserve"> — 45X subsidy credit inflates it; consensus ex-subsidy was the comparison.</w:t>
      </w:r>
    </w:p>
    <w:p>
      <w:pPr>
        <w:pStyle w:val="ListParagraph"/>
        <w:numPr>
          <w:ilvl w:val="0"/>
          <w:numId w:val="2"/>
        </w:numPr>
        <w:spacing w:after="60"/>
      </w:pPr>
      <w:r>
        <w:rPr>
          <w:b/>
          <w:bCs/>
        </w:rPr>
        <w:t xml:space="preserve">Conflicting 10-year closes (5.00 / 5.015 / 5.03%) and Brent prints ($111.64–116.37)</w:t>
      </w:r>
      <w:r>
        <w:t xml:space="preserve"> — source and contract differences.</w:t>
      </w:r>
    </w:p>
    <w:p>
      <w:pPr>
        <w:pStyle w:val="ListParagraph"/>
        <w:numPr>
          <w:ilvl w:val="0"/>
          <w:numId w:val="2"/>
        </w:numPr>
        <w:spacing w:after="60"/>
      </w:pPr>
      <w:r>
        <w:rPr>
          <w:b/>
          <w:bCs/>
        </w:rPr>
        <w:t xml:space="preserve">Stale TradingView "HG ~$4.30" copper quote</w:t>
      </w:r>
      <w:r>
        <w:t xml:space="preserve"> — mis-scaled; ignore.</w:t>
      </w:r>
    </w:p>
    <w:p>
      <w:pPr>
        <w:pStyle w:val="ListParagraph"/>
        <w:numPr>
          <w:ilvl w:val="0"/>
          <w:numId w:val="2"/>
        </w:numPr>
        <w:spacing w:after="60"/>
      </w:pPr>
      <w:r>
        <w:rPr>
          <w:b/>
          <w:bCs/>
        </w:rPr>
        <w:t xml:space="preserve">Single-analyst CRML allegations (Panabee)</w:t>
      </w:r>
      <w:r>
        <w:t xml:space="preserve"> — unverified, not acted on.</w:t>
      </w:r>
    </w:p>
    <w:p>
      <w:pPr>
        <w:pBdr>
          <w:bottom w:val="single" w:color="999999" w:sz="6" w:space="1"/>
        </w:pBdr>
      </w:pPr>
    </w:p>
    <w:p>
      <w:pPr>
        <w:pStyle w:val="Heading2"/>
        <w:spacing w:after="100" w:before="200"/>
      </w:pPr>
      <w:r>
        <w:t xml:space="preserve">4. Time-sensitive / positions watch</w:t>
      </w:r>
    </w:p>
    <w:p>
      <w:pPr>
        <w:pStyle w:val="Heading3"/>
        <w:spacing w:after="100" w:before="200"/>
      </w:pPr>
      <w:r>
        <w:t xml:space="preserve">Instruments that have expired or rolled — </w:t>
      </w:r>
      <w:r>
        <w:rPr>
          <w:rFonts w:ascii="Consolas" w:cs="Consolas" w:eastAsia="Consolas" w:hAnsi="Consolas"/>
        </w:rPr>
        <w:t xml:space="preserve">watchlist.md</w:t>
      </w:r>
      <w:r>
        <w:t xml:space="preserve"> needs updating (not edited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580"/>
      </w:tblGrid>
      <w:tr>
        <w:trPr>
          <w:tblHeader/>
        </w:trPr>
        <w:tc>
          <w:tcPr>
            <w:tcW w:type="dxa" w:w="2800"/>
            <w:tcBorders>
              <w:top w:val="single" w:color="999999" w:sz="4"/>
              <w:left w:val="single" w:color="999999" w:sz="4"/>
              <w:bottom w:val="single" w:color="999999" w:sz="4"/>
              <w:right w:val="single" w:color="999999" w:sz="4"/>
            </w:tcBorders>
            <w:shd w:fill="E8EDF3" w:color="auto" w:val="clear"/>
            <w:tcMar>
              <w:top w:type="dxa" w:w="40"/>
              <w:left w:type="dxa" w:w="80"/>
              <w:bottom w:type="dxa" w:w="40"/>
              <w:right w:type="dxa" w:w="80"/>
            </w:tcMar>
          </w:tcPr>
          <w:p>
            <w:r>
              <w:rPr>
                <w:b/>
                <w:bCs/>
                <w:sz w:val="18"/>
                <w:szCs w:val="18"/>
              </w:rPr>
              <w:t xml:space="preserve">Watchlist entry</w:t>
            </w:r>
          </w:p>
        </w:tc>
        <w:tc>
          <w:tcPr>
            <w:tcW w:type="dxa" w:w="3700"/>
            <w:tcBorders>
              <w:top w:val="single" w:color="999999" w:sz="4"/>
              <w:left w:val="single" w:color="999999" w:sz="4"/>
              <w:bottom w:val="single" w:color="999999" w:sz="4"/>
              <w:right w:val="single" w:color="999999" w:sz="4"/>
            </w:tcBorders>
            <w:shd w:fill="E8EDF3" w:color="auto" w:val="clear"/>
            <w:tcMar>
              <w:top w:type="dxa" w:w="40"/>
              <w:left w:type="dxa" w:w="80"/>
              <w:bottom w:type="dxa" w:w="40"/>
              <w:right w:type="dxa" w:w="80"/>
            </w:tcMar>
          </w:tcPr>
          <w:p>
            <w:r>
              <w:rPr>
                <w:b/>
                <w:bCs/>
                <w:sz w:val="18"/>
                <w:szCs w:val="18"/>
              </w:rPr>
              <w:t xml:space="preserve">Status</w:t>
            </w:r>
          </w:p>
        </w:tc>
        <w:tc>
          <w:tcPr>
            <w:tcW w:type="dxa" w:w="3580"/>
            <w:tcBorders>
              <w:top w:val="single" w:color="999999" w:sz="4"/>
              <w:left w:val="single" w:color="999999" w:sz="4"/>
              <w:bottom w:val="single" w:color="999999" w:sz="4"/>
              <w:right w:val="single" w:color="999999" w:sz="4"/>
            </w:tcBorders>
            <w:shd w:fill="E8EDF3" w:color="auto" w:val="clear"/>
            <w:tcMar>
              <w:top w:type="dxa" w:w="40"/>
              <w:left w:type="dxa" w:w="80"/>
              <w:bottom w:type="dxa" w:w="40"/>
              <w:right w:type="dxa" w:w="80"/>
            </w:tcMar>
          </w:tcPr>
          <w:p>
            <w:r>
              <w:rPr>
                <w:b/>
                <w:bCs/>
                <w:sz w:val="18"/>
                <w:szCs w:val="18"/>
              </w:rPr>
              <w:t xml:space="preserve">Action</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CRML US 08/21/26 C12.5</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8"/>
                <w:szCs w:val="18"/>
              </w:rPr>
              <w:t xml:space="preserve">Expired Aug 21, worthless</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Remove</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QCQ6 (COMEX copper, Aug 2026)</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Delivery month passed</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Replace with Dec (HGZ6)</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NQU6 / ESU6 (Sep 2026)</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Expired mid-Sept</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Replace with NQZ6 / ESZ6</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Z U6 (FTSE 100, Sep)</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Expired</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Replace with Z Z6</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WNU6 (Ultra T-bond, Sep)</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Expired</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Replace with WNZ6</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UXQ6 (UxC uranium, Aug)</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Expired. Oct contract UXV6 expired Oct 26 per Barchart (matches CME last-Monday rule; TradingView's Oct 28 likely wrong)</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Roll to Nov</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YBYU6</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Unidentified; U6 implies expired</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Owner to clarify</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GPH-WA CN warrants</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Aug 8, 2026 date passed; series likely GPH.WT.A, terms unverified</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Owner to confirm</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EP059897 Pfd</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Unidentified</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Owner to supply ISIN/issuer</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EULIF</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Schemes effective; EUR suspended Oct 27; ratio 0.045</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Update note; delisting Nov 6</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AAUC CN</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Zijin takeover terminated Jul 29</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Update note</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CEC GY</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EC deadline appears to be Nov 4</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Update note</w:t>
            </w:r>
          </w:p>
        </w:tc>
      </w:tr>
      <w:t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BHF US</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Outside date auto-extended to Dec 6</w:t>
            </w:r>
          </w:p>
        </w:tc>
        <w:tc>
          <w:tcPr>
            <w:tcW w:type="dxa" w:w="35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Update note</w:t>
            </w:r>
          </w:p>
        </w:tc>
      </w:tr>
    </w:tbl>
    <w:p>
      <w:pPr>
        <w:spacing w:after="100"/>
      </w:pPr>
    </w:p>
    <w:p>
      <w:pPr>
        <w:pStyle w:val="Heading3"/>
        <w:spacing w:after="100" w:before="200"/>
      </w:pPr>
      <w:r>
        <w:t xml:space="preserve">Decisions needing attention</w:t>
      </w:r>
    </w:p>
    <w:p>
      <w:pPr>
        <w:pStyle w:val="ListParagraph"/>
        <w:numPr>
          <w:ilvl w:val="0"/>
          <w:numId w:val="2"/>
        </w:numPr>
        <w:spacing w:after="60"/>
      </w:pPr>
      <w:r>
        <w:rPr>
          <w:b/>
          <w:bCs/>
        </w:rPr>
        <w:t xml:space="preserve">EUR / CRML</w:t>
      </w:r>
      <w:r>
        <w:t xml:space="preserve"> — record date today; implementation Nov 5; delisting Nov 6. Confirm EULIF ADR treatment and any broker election (sale facility for ≤50,000 securities).</w:t>
      </w:r>
    </w:p>
    <w:p>
      <w:pPr>
        <w:pStyle w:val="ListParagraph"/>
        <w:numPr>
          <w:ilvl w:val="0"/>
          <w:numId w:val="2"/>
        </w:numPr>
        <w:spacing w:after="60"/>
      </w:pPr>
      <w:r>
        <w:rPr>
          <w:b/>
          <w:bCs/>
        </w:rPr>
        <w:t xml:space="preserve">UXV6 uranium</w:t>
      </w:r>
      <w:r>
        <w:t xml:space="preserve"> — appears already expired (Oct 26); confirm the position is closed or rolled into November.</w:t>
      </w:r>
    </w:p>
    <w:p>
      <w:pPr>
        <w:pStyle w:val="ListParagraph"/>
        <w:numPr>
          <w:ilvl w:val="0"/>
          <w:numId w:val="2"/>
        </w:numPr>
        <w:spacing w:after="60"/>
      </w:pPr>
      <w:r>
        <w:rPr>
          <w:b/>
          <w:bCs/>
        </w:rPr>
        <w:t xml:space="preserve">Hedges after a hawkish hold</w:t>
      </w:r>
      <w:r>
        <w:t xml:space="preserve"> — WNZ6/IEF, ES/NQ, MAGS sizing, with Alphabet −10% after hours and a live December hike.</w:t>
      </w:r>
    </w:p>
    <w:p>
      <w:pPr>
        <w:pStyle w:val="ListParagraph"/>
        <w:numPr>
          <w:ilvl w:val="0"/>
          <w:numId w:val="2"/>
        </w:numPr>
        <w:spacing w:after="60"/>
      </w:pPr>
      <w:r>
        <w:rPr>
          <w:b/>
          <w:bCs/>
        </w:rPr>
        <w:t xml:space="preserve">Genting Berhad and Genting Singapore</w:t>
      </w:r>
      <w:r>
        <w:t xml:space="preserve"> — both rights issues pending; no EGM dates or final terms yet. Confirm entitlements and funding.</w:t>
      </w:r>
    </w:p>
    <w:p>
      <w:pPr>
        <w:pStyle w:val="ListParagraph"/>
        <w:numPr>
          <w:ilvl w:val="0"/>
          <w:numId w:val="2"/>
        </w:numPr>
        <w:spacing w:after="60"/>
      </w:pPr>
      <w:r>
        <w:rPr>
          <w:b/>
          <w:bCs/>
        </w:rPr>
        <w:t xml:space="preserve">Ceconomy</w:t>
      </w:r>
      <w:r>
        <w:t xml:space="preserve"> — EC decision ~Nov 4 (unverified); nothing to do until announced.</w:t>
      </w:r>
    </w:p>
    <w:p>
      <w:pPr>
        <w:pStyle w:val="Heading3"/>
        <w:spacing w:after="100" w:before="200"/>
      </w:pPr>
      <w:r>
        <w:t xml:space="preserve">Dated catalyst calendar (next ~2 weeks)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rPr>
          <w:tblHeader/>
        </w:trPr>
        <w:tc>
          <w:tcPr>
            <w:tcW w:type="dxa" w:w="1700"/>
            <w:tcBorders>
              <w:top w:val="single" w:color="999999" w:sz="4"/>
              <w:left w:val="single" w:color="999999" w:sz="4"/>
              <w:bottom w:val="single" w:color="999999" w:sz="4"/>
              <w:right w:val="single" w:color="999999" w:sz="4"/>
            </w:tcBorders>
            <w:shd w:fill="E8EDF3" w:color="auto" w:val="clear"/>
            <w:tcMar>
              <w:top w:type="dxa" w:w="40"/>
              <w:left w:type="dxa" w:w="80"/>
              <w:bottom w:type="dxa" w:w="40"/>
              <w:right w:type="dxa" w:w="80"/>
            </w:tcMar>
          </w:tcPr>
          <w:p>
            <w:r>
              <w:rPr>
                <w:b/>
                <w:bCs/>
                <w:sz w:val="18"/>
                <w:szCs w:val="18"/>
              </w:rPr>
              <w:t xml:space="preserve">Date</w:t>
            </w:r>
          </w:p>
        </w:tc>
        <w:tc>
          <w:tcPr>
            <w:tcW w:type="dxa" w:w="8380"/>
            <w:tcBorders>
              <w:top w:val="single" w:color="999999" w:sz="4"/>
              <w:left w:val="single" w:color="999999" w:sz="4"/>
              <w:bottom w:val="single" w:color="999999" w:sz="4"/>
              <w:right w:val="single" w:color="999999" w:sz="4"/>
            </w:tcBorders>
            <w:shd w:fill="E8EDF3" w:color="auto" w:val="clear"/>
            <w:tcMar>
              <w:top w:type="dxa" w:w="40"/>
              <w:left w:type="dxa" w:w="80"/>
              <w:bottom w:type="dxa" w:w="40"/>
              <w:right w:type="dxa" w:w="80"/>
            </w:tcMar>
          </w:tcPr>
          <w:p>
            <w:r>
              <w:rPr>
                <w:b/>
                <w:bCs/>
                <w:sz w:val="18"/>
                <w:szCs w:val="18"/>
              </w:rPr>
              <w:t xml:space="preserve">Event</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8"/>
                <w:szCs w:val="18"/>
              </w:rPr>
              <w:t xml:space="preserve">Thu Oct 29</w:t>
            </w:r>
          </w:p>
        </w:tc>
        <w:tc>
          <w:tcPr>
            <w:tcW w:type="dxa" w:w="8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Caterpillar, Lilly, Allegro (pre-market); Repsol (or Oct 30); Amazon after close; </w:t>
            </w:r>
            <w:r>
              <w:rPr>
                <w:b/>
                <w:bCs/>
                <w:sz w:val="18"/>
                <w:szCs w:val="18"/>
              </w:rPr>
              <w:t xml:space="preserve">EUR record date</w:t>
            </w:r>
            <w:r>
              <w:rPr>
                <w:sz w:val="18"/>
                <w:szCs w:val="18"/>
              </w:rPr>
              <w:t xml:space="preserve">; LGES/LG Chem/Samsung C&amp;T finals possible; TotalEnergies full Q3 (date unconfirmed)</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Fri Oct 30</w:t>
            </w:r>
          </w:p>
        </w:tc>
        <w:tc>
          <w:tcPr>
            <w:tcW w:type="dxa" w:w="8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Repsol if later date; LG Chem (last year Oct 31); KDDI estimated</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Mon Nov 2</w:t>
            </w:r>
          </w:p>
        </w:tc>
        <w:tc>
          <w:tcPr>
            <w:tcW w:type="dxa" w:w="8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Apple; Palantir (unconfirmed); Blackstone dividend record date; IBKR October metrics (typical)</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Tue Nov 3</w:t>
            </w:r>
          </w:p>
        </w:tc>
        <w:tc>
          <w:tcPr>
            <w:tcW w:type="dxa" w:w="8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Ferrari Q3; US midterm elections</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Wed Nov 4</w:t>
            </w:r>
          </w:p>
        </w:tc>
        <w:tc>
          <w:tcPr>
            <w:tcW w:type="dxa" w:w="8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8"/>
                <w:szCs w:val="18"/>
              </w:rPr>
              <w:t xml:space="preserve">EC deadline on JD/Ceconomy (unverified)</w:t>
            </w:r>
            <w:r>
              <w:rPr>
                <w:sz w:val="18"/>
                <w:szCs w:val="18"/>
              </w:rPr>
              <w:t xml:space="preserve">; Lion Finance Q3; Inter Parfums (~Nov 4, unconfirmed)</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Thu Nov 5</w:t>
            </w:r>
          </w:p>
        </w:tc>
        <w:tc>
          <w:tcPr>
            <w:tcW w:type="dxa" w:w="8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8"/>
                <w:szCs w:val="18"/>
              </w:rPr>
              <w:t xml:space="preserve">EUR/CRML implementation</w:t>
            </w:r>
            <w:r>
              <w:rPr>
                <w:sz w:val="18"/>
                <w:szCs w:val="18"/>
              </w:rPr>
              <w:t xml:space="preserve">; Tapestry FQ1 (unverified); Brighthouse Q3 (~Nov 5–6, estimate); AAUC Q3 (likely)</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Fri Nov 6</w:t>
            </w:r>
          </w:p>
        </w:tc>
        <w:tc>
          <w:tcPr>
            <w:tcW w:type="dxa" w:w="8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8"/>
                <w:szCs w:val="18"/>
              </w:rPr>
              <w:t xml:space="preserve">EUR delisted from ASX 10:00am AEDT; new CRML shares</w:t>
            </w:r>
            <w:r>
              <w:rPr>
                <w:sz w:val="18"/>
                <w:szCs w:val="18"/>
              </w:rPr>
              <w:t xml:space="preserve">; KDDI/Toppan H1 (unconfirmed)</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Mon Nov 9</w:t>
            </w:r>
          </w:p>
        </w:tc>
        <w:tc>
          <w:tcPr>
            <w:tcW w:type="dxa" w:w="8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Blackstone dividend paid</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Thu Nov 12</w:t>
            </w:r>
          </w:p>
        </w:tc>
        <w:tc>
          <w:tcPr>
            <w:tcW w:type="dxa" w:w="8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DiDi (unverified); AlTi (~Nov 10–12, estimate)</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Fri Nov 13</w:t>
            </w:r>
          </w:p>
        </w:tc>
        <w:tc>
          <w:tcPr>
            <w:tcW w:type="dxa" w:w="8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DNP and Toppan results (unverified)</w:t>
            </w:r>
          </w:p>
        </w:tc>
      </w:tr>
    </w:tbl>
    <w:p>
      <w:pPr>
        <w:spacing w:after="100"/>
      </w:pPr>
    </w:p>
    <w:p>
      <w:pPr>
        <w:pStyle w:val="Heading3"/>
        <w:spacing w:after="100" w:before="200"/>
      </w:pPr>
      <w:r>
        <w:t xml:space="preserve">Undated but live</w:t>
      </w:r>
    </w:p>
    <w:p>
      <w:pPr>
        <w:pStyle w:val="ListParagraph"/>
        <w:numPr>
          <w:ilvl w:val="0"/>
          <w:numId w:val="2"/>
        </w:numPr>
        <w:spacing w:after="60"/>
      </w:pPr>
      <w:r>
        <w:rPr>
          <w:b/>
          <w:bCs/>
        </w:rPr>
        <w:t xml:space="preserve">Brighthouse:</w:t>
      </w:r>
      <w:r>
        <w:t xml:space="preserve"> DE/NY/MA approvals; Dec 6 outside date.</w:t>
      </w:r>
    </w:p>
    <w:p>
      <w:pPr>
        <w:pStyle w:val="ListParagraph"/>
        <w:numPr>
          <w:ilvl w:val="0"/>
          <w:numId w:val="2"/>
        </w:numPr>
        <w:spacing w:after="60"/>
      </w:pPr>
      <w:r>
        <w:rPr>
          <w:b/>
          <w:bCs/>
        </w:rPr>
        <w:t xml:space="preserve">ZIM:</w:t>
      </w:r>
      <w:r>
        <w:t xml:space="preserve"> GCA approval/refiling; Q3 date notice.</w:t>
      </w:r>
    </w:p>
    <w:p>
      <w:pPr>
        <w:pStyle w:val="ListParagraph"/>
        <w:numPr>
          <w:ilvl w:val="0"/>
          <w:numId w:val="2"/>
        </w:numPr>
        <w:spacing w:after="60"/>
      </w:pPr>
      <w:r>
        <w:rPr>
          <w:b/>
          <w:bCs/>
        </w:rPr>
        <w:t xml:space="preserve">UNP/NSC:</w:t>
      </w:r>
      <w:r>
        <w:t xml:space="preserve"> STB process; BNSF and CN opposition.</w:t>
      </w:r>
    </w:p>
    <w:p>
      <w:pPr>
        <w:pStyle w:val="ListParagraph"/>
        <w:numPr>
          <w:ilvl w:val="0"/>
          <w:numId w:val="2"/>
        </w:numPr>
        <w:spacing w:after="60"/>
      </w:pPr>
      <w:r>
        <w:rPr>
          <w:b/>
          <w:bCs/>
        </w:rPr>
        <w:t xml:space="preserve">Northern Dynasty:</w:t>
      </w:r>
      <w:r>
        <w:t xml:space="preserve"> Pebble ruling any day.</w:t>
      </w:r>
    </w:p>
    <w:p>
      <w:pPr>
        <w:pStyle w:val="ListParagraph"/>
        <w:numPr>
          <w:ilvl w:val="0"/>
          <w:numId w:val="2"/>
        </w:numPr>
        <w:spacing w:after="60"/>
      </w:pPr>
      <w:r>
        <w:rPr>
          <w:b/>
          <w:bCs/>
        </w:rPr>
        <w:t xml:space="preserve">Dingdong:</w:t>
      </w:r>
      <w:r>
        <w:t xml:space="preserve"> closing status of the Meituan sale.</w:t>
      </w:r>
    </w:p>
    <w:p>
      <w:pPr>
        <w:pStyle w:val="ListParagraph"/>
        <w:numPr>
          <w:ilvl w:val="0"/>
          <w:numId w:val="2"/>
        </w:numPr>
        <w:spacing w:after="60"/>
      </w:pPr>
      <w:r>
        <w:rPr>
          <w:b/>
          <w:bCs/>
        </w:rPr>
        <w:t xml:space="preserve">Samsung Electronics:</w:t>
      </w:r>
      <w:r>
        <w:t xml:space="preserve"> KRW 55–75tn of 2026 return detail due end-January.</w:t>
      </w:r>
    </w:p>
    <w:p>
      <w:pPr>
        <w:pStyle w:val="ListParagraph"/>
        <w:numPr>
          <w:ilvl w:val="0"/>
          <w:numId w:val="2"/>
        </w:numPr>
        <w:spacing w:after="60"/>
      </w:pPr>
      <w:r>
        <w:rPr>
          <w:b/>
          <w:bCs/>
        </w:rPr>
        <w:t xml:space="preserve">FOMC:</w:t>
      </w:r>
      <w:r>
        <w:t xml:space="preserve"> December 9 meeting; minutes Nov 18.</w:t>
      </w:r>
    </w:p>
    <w:p>
      <w:pPr>
        <w:pStyle w:val="ListParagraph"/>
        <w:numPr>
          <w:ilvl w:val="0"/>
          <w:numId w:val="2"/>
        </w:numPr>
        <w:spacing w:after="60"/>
      </w:pPr>
      <w:r>
        <w:rPr>
          <w:b/>
          <w:bCs/>
        </w:rPr>
        <w:t xml:space="preserve">AlTi, LG Chem, Samsung C&amp;T, NTT, Sanken, Cadiz, Jupiter, Impax (Dec 2):</w:t>
      </w:r>
      <w:r>
        <w:t xml:space="preserve"> dates unconfirmed.</w:t>
      </w:r>
    </w:p>
    <w:p>
      <w:pPr>
        <w:pBdr>
          <w:bottom w:val="single" w:color="999999" w:sz="6" w:space="1"/>
        </w:pBdr>
      </w:pPr>
    </w:p>
    <w:p>
      <w:pPr>
        <w:pStyle w:val="Heading2"/>
        <w:spacing w:after="100" w:before="200"/>
      </w:pPr>
      <w:r>
        <w:t xml:space="preserve">5. Follow-up questions to investigate</w:t>
      </w:r>
    </w:p>
    <w:p>
      <w:pPr>
        <w:pStyle w:val="ListParagraph"/>
        <w:numPr>
          <w:ilvl w:val="0"/>
          <w:numId w:val="2"/>
        </w:numPr>
        <w:spacing w:after="60"/>
      </w:pPr>
      <w:r>
        <w:rPr>
          <w:b/>
          <w:bCs/>
        </w:rPr>
        <w:t xml:space="preserve">Fed:</w:t>
      </w:r>
      <w:r>
        <w:t xml:space="preserve"> What are December hike odds after the presser, and how do WNZ6, IEF and HYG react to a 5% 10-year with two hike dissents?</w:t>
      </w:r>
    </w:p>
    <w:p>
      <w:pPr>
        <w:pStyle w:val="ListParagraph"/>
        <w:numPr>
          <w:ilvl w:val="0"/>
          <w:numId w:val="2"/>
        </w:numPr>
        <w:spacing w:after="60"/>
      </w:pPr>
      <w:r>
        <w:rPr>
          <w:b/>
          <w:bCs/>
        </w:rPr>
        <w:t xml:space="preserve">Alphabet:</w:t>
      </w:r>
      <w:r>
        <w:t xml:space="preserve"> Is the EPS miss real or a basis difference ($2.67 vs $3.02 vs $2.12), and does a 2027 capex above $300bn help or hurt the semis and MAGS?</w:t>
      </w:r>
    </w:p>
    <w:p>
      <w:pPr>
        <w:pStyle w:val="ListParagraph"/>
        <w:numPr>
          <w:ilvl w:val="0"/>
          <w:numId w:val="2"/>
        </w:numPr>
        <w:spacing w:after="60"/>
      </w:pPr>
      <w:r>
        <w:rPr>
          <w:b/>
          <w:bCs/>
        </w:rPr>
        <w:t xml:space="preserve">SK hynix:</w:t>
      </w:r>
      <w:r>
        <w:t xml:space="preserve"> What is the true shareholder-return breakdown (KRW 100tn headline vs 90tn components), the real stock reaction, and the "Dalian approval" headline?</w:t>
      </w:r>
    </w:p>
    <w:p>
      <w:pPr>
        <w:pStyle w:val="ListParagraph"/>
        <w:numPr>
          <w:ilvl w:val="0"/>
          <w:numId w:val="2"/>
        </w:numPr>
        <w:spacing w:after="60"/>
      </w:pPr>
      <w:r>
        <w:rPr>
          <w:b/>
          <w:bCs/>
        </w:rPr>
        <w:t xml:space="preserve">Samsung Electronics:</w:t>
      </w:r>
      <w:r>
        <w:t xml:space="preserve"> How will the remaining KRW 55–75tn be split between dividends and buybacks, and what is the 2027 policy?</w:t>
      </w:r>
    </w:p>
    <w:p>
      <w:pPr>
        <w:pStyle w:val="ListParagraph"/>
        <w:numPr>
          <w:ilvl w:val="0"/>
          <w:numId w:val="2"/>
        </w:numPr>
        <w:spacing w:after="60"/>
      </w:pPr>
      <w:r>
        <w:rPr>
          <w:b/>
          <w:bCs/>
        </w:rPr>
        <w:t xml:space="preserve">EUR/CRML:</w:t>
      </w:r>
      <w:r>
        <w:t xml:space="preserve"> How is the EULIF ADR converted, and is any action needed before record or implementation date?</w:t>
      </w:r>
    </w:p>
    <w:p>
      <w:pPr>
        <w:pStyle w:val="ListParagraph"/>
        <w:numPr>
          <w:ilvl w:val="0"/>
          <w:numId w:val="2"/>
        </w:numPr>
        <w:spacing w:after="60"/>
      </w:pPr>
      <w:r>
        <w:rPr>
          <w:b/>
          <w:bCs/>
        </w:rPr>
        <w:t xml:space="preserve">Genting:</w:t>
      </w:r>
      <w:r>
        <w:t xml:space="preserve"> Will the Genting Singapore S$1.63bn and Genting Berhad RM1.25bn rights issues land together, and when are the EGMs?</w:t>
      </w:r>
    </w:p>
    <w:p>
      <w:pPr>
        <w:pStyle w:val="ListParagraph"/>
        <w:numPr>
          <w:ilvl w:val="0"/>
          <w:numId w:val="2"/>
        </w:numPr>
        <w:spacing w:after="60"/>
      </w:pPr>
      <w:r>
        <w:rPr>
          <w:b/>
          <w:bCs/>
        </w:rPr>
        <w:t xml:space="preserve">Caterpillar and Lilly (today):</w:t>
      </w:r>
      <w:r>
        <w:t xml:space="preserve"> Results, guidance, and which Lilly EPS basis was used.</w:t>
      </w:r>
    </w:p>
    <w:p>
      <w:pPr>
        <w:pStyle w:val="ListParagraph"/>
        <w:numPr>
          <w:ilvl w:val="0"/>
          <w:numId w:val="2"/>
        </w:numPr>
        <w:spacing w:after="60"/>
      </w:pPr>
      <w:r>
        <w:rPr>
          <w:b/>
          <w:bCs/>
        </w:rPr>
        <w:t xml:space="preserve">Ceconomy:</w:t>
      </w:r>
      <w:r>
        <w:t xml:space="preserve"> Is Nov 4 the true EC date, and have Austria and Spain cleared?</w:t>
      </w:r>
    </w:p>
    <w:p>
      <w:pPr>
        <w:pStyle w:val="ListParagraph"/>
        <w:numPr>
          <w:ilvl w:val="0"/>
          <w:numId w:val="2"/>
        </w:numPr>
        <w:spacing w:after="60"/>
      </w:pPr>
      <w:r>
        <w:rPr>
          <w:b/>
          <w:bCs/>
        </w:rPr>
        <w:t xml:space="preserve">UNP/NSC:</w:t>
      </w:r>
      <w:r>
        <w:t xml:space="preserve"> What are the STB filing-window dates, and what does BNSF/CN opposition imply for timing?</w:t>
      </w:r>
    </w:p>
    <w:p>
      <w:pPr>
        <w:pStyle w:val="ListParagraph"/>
        <w:numPr>
          <w:ilvl w:val="0"/>
          <w:numId w:val="2"/>
        </w:numPr>
        <w:spacing w:after="60"/>
      </w:pPr>
      <w:r>
        <w:rPr>
          <w:b/>
          <w:bCs/>
        </w:rPr>
        <w:t xml:space="preserve">Dingdong:</w:t>
      </w:r>
      <w:r>
        <w:t xml:space="preserve"> Did SAMR clear and the Meituan sale close?</w:t>
      </w:r>
    </w:p>
    <w:p>
      <w:pPr>
        <w:pStyle w:val="ListParagraph"/>
        <w:numPr>
          <w:ilvl w:val="0"/>
          <w:numId w:val="2"/>
        </w:numPr>
        <w:spacing w:after="60"/>
      </w:pPr>
      <w:r>
        <w:rPr>
          <w:b/>
          <w:bCs/>
        </w:rPr>
        <w:t xml:space="preserve">Puig:</w:t>
      </w:r>
      <w:r>
        <w:t xml:space="preserve"> Market reaction to Vision 2032, and the outcome of the Estée Lauder talks.</w:t>
      </w:r>
    </w:p>
    <w:p>
      <w:pPr>
        <w:pStyle w:val="ListParagraph"/>
        <w:numPr>
          <w:ilvl w:val="0"/>
          <w:numId w:val="2"/>
        </w:numPr>
        <w:spacing w:after="60"/>
      </w:pPr>
      <w:r>
        <w:rPr>
          <w:b/>
          <w:bCs/>
        </w:rPr>
        <w:t xml:space="preserve">Dior SE:</w:t>
      </w:r>
      <w:r>
        <w:t xml:space="preserve"> Terms and timing of the reported Arnault holding reorganization.</w:t>
      </w:r>
    </w:p>
    <w:p>
      <w:pPr>
        <w:pStyle w:val="ListParagraph"/>
        <w:numPr>
          <w:ilvl w:val="0"/>
          <w:numId w:val="2"/>
        </w:numPr>
        <w:spacing w:after="60"/>
      </w:pPr>
      <w:r>
        <w:rPr>
          <w:b/>
          <w:bCs/>
        </w:rPr>
        <w:t xml:space="preserve">Unresolved identifiers:</w:t>
      </w:r>
      <w:r>
        <w:t xml:space="preserve"> EP059897 Pfd, YBYU6, GPH-WA series.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Calibri" w:cs="Calibri" w:eastAsia="Calibri" w:hAnsi="Calibri"/>
      <w:b/>
      <w:bCs/>
      <w:color w:val="1F3350"/>
      <w:sz w:val="34"/>
      <w:szCs w:val="34"/>
    </w:rPr>
  </w:style>
  <w:style w:type="paragraph" w:styleId="Heading2">
    <w:name w:val="Heading 2"/>
    <w:basedOn w:val="Normal"/>
    <w:next w:val="Normal"/>
    <w:qFormat/>
    <w:pPr>
      <w:outlineLvl w:val="1"/>
    </w:pPr>
    <w:rPr>
      <w:rFonts w:ascii="Calibri" w:cs="Calibri" w:eastAsia="Calibri" w:hAnsi="Calibri"/>
      <w:b/>
      <w:bCs/>
      <w:color w:val="1F3350"/>
      <w:sz w:val="28"/>
      <w:szCs w:val="28"/>
    </w:rPr>
  </w:style>
  <w:style w:type="paragraph" w:styleId="Heading3">
    <w:name w:val="Heading 3"/>
    <w:basedOn w:val="Normal"/>
    <w:next w:val="Normal"/>
    <w:qFormat/>
    <w:pPr>
      <w:outlineLvl w:val="2"/>
    </w:pPr>
    <w:rPr>
      <w:rFonts w:ascii="Calibri" w:cs="Calibri" w:eastAsia="Calibri" w:hAnsi="Calibri"/>
      <w:b/>
      <w:bCs/>
      <w:color w:val="3A4F6B"/>
      <w:sz w:val="23"/>
      <w:szCs w:val="23"/>
    </w:rPr>
  </w:style>
  <w:style w:type="character" w:styleId="Hyperlink">
    <w:name w:val="Hyperlink"/>
    <w:uiPriority w:val="99"/>
    <w:unhideWhenUsed/>
    <w:rPr>
      <w:color w:val="1A4F8B"/>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stehzlpochhypsmcgrvc" Type="http://schemas.openxmlformats.org/officeDocument/2006/relationships/hyperlink" Target="https://www.cnbc.com/2026/10/28/fed-rate-decision-warsh-takeaways.html" TargetMode="External"/><Relationship Id="rIdd_zy7opao7r1fr9kv2nqk" Type="http://schemas.openxmlformats.org/officeDocument/2006/relationships/hyperlink" Target="https://www.kitco.com/news/article/2026-10-28/gold-price-drops-4035oz-fed-votes-10-2-favor-rate-hold" TargetMode="External"/><Relationship Id="rId4bz7occ3cepooynbbq_vv" Type="http://schemas.openxmlformats.org/officeDocument/2006/relationships/hyperlink" Target="https://www.fool.com/coverage/stock-market-today/2026/10/28/stock-market-today-oct-28-markets-edge-higher-as-fed-holds-rates-steady/" TargetMode="External"/><Relationship Id="rId0mjd9lmzbbklpwuvicbkd" Type="http://schemas.openxmlformats.org/officeDocument/2006/relationships/hyperlink" Target="https://english.news.cn/20261029/f80380f9d16c4f11887371493d2b3211/c.html" TargetMode="External"/><Relationship Id="rIdlwf-ff-k7s9zffuw91nu0" Type="http://schemas.openxmlformats.org/officeDocument/2006/relationships/hyperlink" Target="https://www.cnbc.com/2026/10/28/alphabet-googl-earnings-q3-2026.html" TargetMode="External"/><Relationship Id="rIdecp4u7vmibvjyqykijmxa" Type="http://schemas.openxmlformats.org/officeDocument/2006/relationships/hyperlink" Target="https://www.stocktitan.net/articles/stock-market-today-live-october-28-2026" TargetMode="External"/><Relationship Id="rIdk2g5mxpcgezzfsyuyhhld" Type="http://schemas.openxmlformats.org/officeDocument/2006/relationships/hyperlink" Target="https://www.cnbc.com/2026/10/28/microsoft-msft-q1-earnings-report-2027.html" TargetMode="External"/><Relationship Id="rIdamxdxifnzfl94pbqnmv_z" Type="http://schemas.openxmlformats.org/officeDocument/2006/relationships/hyperlink" Target="https://investinglive.com/stocks/microsoft-q1-beats-as-azure-grows-48-and-capex-lands-6bn-below-forecast/" TargetMode="External"/><Relationship Id="rIdua-7qwxdqalyr9qol_ijc" Type="http://schemas.openxmlformats.org/officeDocument/2006/relationships/hyperlink" Target="https://www.aboutamazon.com/md/news/company-news/amazon-earnings-q3-2026-report" TargetMode="External"/><Relationship Id="rIdjgx6u5eejr3pqvgg3ylv8" Type="http://schemas.openxmlformats.org/officeDocument/2006/relationships/hyperlink" Target="https://9to5mac.com/2026/10/06/apple-sets-q4-2026-earnings-release-for-november-2/" TargetMode="External"/><Relationship Id="rIdbvstq3ribsf1e1nmheexh" Type="http://schemas.openxmlformats.org/officeDocument/2006/relationships/hyperlink" Target="https://en.sedaily.com/finance/2026/10/29/sk-hynix-posts-record-quarter-as-d-ram-hbm-sold-out-through" TargetMode="External"/><Relationship Id="rIdm6ouuru7hpppmu7p1gnxr" Type="http://schemas.openxmlformats.org/officeDocument/2006/relationships/hyperlink" Target="https://www.ajupress.com/view/20261028000619602" TargetMode="External"/><Relationship Id="rIdzeokjkthlkx_u21e8b7o_" Type="http://schemas.openxmlformats.org/officeDocument/2006/relationships/hyperlink" Target="https://news.samsung.com/global/samsung-electronics-announces-third-quarter-2026-results" TargetMode="External"/><Relationship Id="rIduux4epskqyxenhynmealq" Type="http://schemas.openxmlformats.org/officeDocument/2006/relationships/hyperlink" Target="https://www.asiae.co.kr/en/article/enterprise-CEO/2026102911191454019" TargetMode="External"/><Relationship Id="rIdyas2nrt-qcbmzv92cnuft" Type="http://schemas.openxmlformats.org/officeDocument/2006/relationships/hyperlink" Target="https://en.fnnews.com/news/202610291134409054" TargetMode="External"/><Relationship Id="rIdi1-2osj4dwbza2gqgqgn_" Type="http://schemas.openxmlformats.org/officeDocument/2006/relationships/hyperlink" Target="https://kalkine.com.au/news/announcements/european-lithium-securities-suspended-from-quotation-after-critical-metals-corp-scheme-of-arrangement-approved" TargetMode="External"/><Relationship Id="rIdzrg56zxcm4amnmn_kwewn" Type="http://schemas.openxmlformats.org/officeDocument/2006/relationships/hyperlink" Target="https://kalkine.com.au/news/announcements/european-lithium-wins-supreme-court-approval-for-schemes-of-arrangement-with-critical-metals-corp" TargetMode="External"/><Relationship Id="rId0onnlgaeigm7tqqhwkmix" Type="http://schemas.openxmlformats.org/officeDocument/2006/relationships/hyperlink" Target="https://investingnews.com/critical-metals-corp-acquisition-of-european-lithium-approved-by-supreme-court-of-western-australia/" TargetMode="External"/><Relationship Id="rIdgx-40ezolihhx4saaxavj" Type="http://schemas.openxmlformats.org/officeDocument/2006/relationships/hyperlink" Target="https://www.volkswagen-group.com/en/press-releases/volkswagen-group-nine-month-results-underline-urgent-need-for-action-20799" TargetMode="External"/><Relationship Id="rIdvp5kojgizjuuyvfphzktk" Type="http://schemas.openxmlformats.org/officeDocument/2006/relationships/hyperlink" Target="https://www.investing.com/news/earnings/volkswagen-ninemonth-operating-profit-plunges-987-on-87-bln-charges-4981632" TargetMode="External"/><Relationship Id="rIdk-sglk_nqo5i6iiidck2d" Type="http://schemas.openxmlformats.org/officeDocument/2006/relationships/hyperlink" Target="https://en.ilsole24ore.com/art/volkswagen-red-figures-operating-loss-of-58-billion-in-the-quarter-AJMHRixB" TargetMode="External"/><Relationship Id="rIdnd9rfom_caectdk2ufz_z" Type="http://schemas.openxmlformats.org/officeDocument/2006/relationships/hyperlink" Target="https://fashionunited.uk/news/business/puig-unveils-vision-2032-strategy-targeting-8-billion-euros-in-net-sales/2026102891089" TargetMode="External"/><Relationship Id="rIdxlaowybz1-ds5fhmias-l" Type="http://schemas.openxmlformats.org/officeDocument/2006/relationships/hyperlink" Target="https://wwd.com/beauty-industry-news/beauty-features/puig-aims-cross-8-billion-euro-yearly-sales-mark-2032-1239388818/" TargetMode="External"/><Relationship Id="rId8m6katokc7nefxgsim4z0" Type="http://schemas.openxmlformats.org/officeDocument/2006/relationships/hyperlink" Target="https://live.euronext.com/en/financial-news/jdcom-set-win-eu-approval-ceconomy-deal-source-says" TargetMode="External"/><Relationship Id="rIdwbhtmz8ztxolz3x3ddcjh" Type="http://schemas.openxmlformats.org/officeDocument/2006/relationships/hyperlink" Target="https://technode.com/2026/10/09/jd-coms-2-5-billion-ceconomy-takeover-moves-closer-to-eu-approval/" TargetMode="External"/><Relationship Id="rIdsv-ihspeuibmuf_so7wsq" Type="http://schemas.openxmlformats.org/officeDocument/2006/relationships/hyperlink" Target="https://www.scmp.com/tech/policy/article/3358902/jdcoms-bid-europes-ceconomy-clears-german-hurdle-eu-subsidy-probe-looms" TargetMode="External"/><Relationship Id="rIdgw0fiukvcd_zngq3rkhcm" Type="http://schemas.openxmlformats.org/officeDocument/2006/relationships/hyperlink" Target="https://en.globes.co.il/en/article-1001535167" TargetMode="External"/><Relationship Id="rId4fwzs9llofzafjll63v1u" Type="http://schemas.openxmlformats.org/officeDocument/2006/relationships/hyperlink" Target="https://www.businesswire.com/news/home/20260212418449/en/brighthouse-financial-stockholders-approve-merger-with-aquarian-capital/" TargetMode="External"/><Relationship Id="rIdgsvz07akx5kjlyri-babx" Type="http://schemas.openxmlformats.org/officeDocument/2006/relationships/hyperlink" Target="https://railmarket.com/news/business/57579-us-surface-transportation-board-accepts-union-pacific-norfolk-southern-merger-application" TargetMode="External"/><Relationship Id="rIdyosn4pjak8juztxnjfo1p" Type="http://schemas.openxmlformats.org/officeDocument/2006/relationships/hyperlink" Target="https://finviz.com/news/374022/allied-gold-announces-termination-of-arrangement-agreement-with-zijin-gold-and-a-us295-million-strategic-investment-in-allied-gold-by-zijin-gold" TargetMode="External"/><Relationship Id="rIdy964ucvbqknhe1yk4drfh" Type="http://schemas.openxmlformats.org/officeDocument/2006/relationships/hyperlink" Target="https://www.businesswire.com/news/home/20251112059440/en/AlTi-Global-Inc.-Reports-Third-Quarter-2025-Financial-Results" TargetMode="External"/><Relationship Id="rIdb7nbjmvc-o9b2jzisv37j" Type="http://schemas.openxmlformats.org/officeDocument/2006/relationships/hyperlink" Target="https://www.panabee.com/idea/is-critical-metals-crml-a-buy-10152026" TargetMode="External"/><Relationship Id="rIdy8gqzlmfgkd6jyufs9emj" Type="http://schemas.openxmlformats.org/officeDocument/2006/relationships/hyperlink" Target="https://newsroom.porsche.com/fr_CH/2026/company/porsche-financial-figures-q3-2026-43586.html" TargetMode="External"/><Relationship Id="rId2lh-eclhn3z0j_kaeveg-" Type="http://schemas.openxmlformats.org/officeDocument/2006/relationships/hyperlink" Target="https://primexbt.com/news/porsche-keeps-2026-outlook-as-nine-month-profit-rebounds-and-deliveries-fall-16/" TargetMode="External"/><Relationship Id="rIdcvq5xljxz39zlz2wb8bfu" Type="http://schemas.openxmlformats.org/officeDocument/2006/relationships/hyperlink" Target="https://www.volkswagen-group.com/en/articles/traton-group-increases-unit-sales-sales-revenue-and-adjusted-operating-result-in-the-first-nine-months-of-2026-20795" TargetMode="External"/><Relationship Id="rIdswa_lumwii4wzuzscv5dq" Type="http://schemas.openxmlformats.org/officeDocument/2006/relationships/hyperlink" Target="https://www.thestar.com.my/business/business-news/2026/10/09/genting-proposes-rm125bil-rights-issue-to-pare-down-debt-boost-working-capital" TargetMode="External"/><Relationship Id="rIduaw8klcgivktzgkkgdios" Type="http://schemas.openxmlformats.org/officeDocument/2006/relationships/hyperlink" Target="https://asgam.com/2026/10/14/creditsights-genting-bhd-rights-issue-a-positive-but-small-step-towards-deleveraging/" TargetMode="External"/><Relationship Id="rIddndphu8tlefsmnp9wpzyw" Type="http://schemas.openxmlformats.org/officeDocument/2006/relationships/hyperlink" Target="https://theedgemalaysia.com/article/updated-genting-singapore-raise-s163b-rights-issue" TargetMode="External"/><Relationship Id="rId38hirfh88ir-fvlbqxvrc" Type="http://schemas.openxmlformats.org/officeDocument/2006/relationships/hyperlink" Target="https://www.eni.com/en-IT/media/press-release/2026/10/2026-third-quarter-results.html" TargetMode="External"/><Relationship Id="rIdzr0n6jhjharlnf1dm_a5m" Type="http://schemas.openxmlformats.org/officeDocument/2006/relationships/hyperlink" Target="https://www.rttnews.com/3699254/totalenergies-expects-higher-q3-hydrocarbon-production-sees-sharp-rise-in-downstream-cash-flows.aspx" TargetMode="External"/><Relationship Id="rIdr8eh_cvfqxsiqz0rjevry" Type="http://schemas.openxmlformats.org/officeDocument/2006/relationships/hyperlink" Target="https://quartr.com/events/repsol-s-a-rep-q3-2026-tu_3gHVXVtY" TargetMode="External"/><Relationship Id="rIdyuj2zkh2zz77eb7ohcqbf" Type="http://schemas.openxmlformats.org/officeDocument/2006/relationships/hyperlink" Target="https://www.lvmh.com/en/publications/continued-growth-in-the-third-quarter-of-2026" TargetMode="External"/><Relationship Id="rIdldqrn-xhci8bofs23fn6s" Type="http://schemas.openxmlformats.org/officeDocument/2006/relationships/hyperlink" Target="https://ww.fashionnetwork.com/news/Christian-dior-holding-company-jumps-17-on-paris-stock-exchange-in-wake-of-lvmh-reorganisation-news,1869757.html" TargetMode="External"/><Relationship Id="rIdnczy88i4fcqrzlc_59gfo" Type="http://schemas.openxmlformats.org/officeDocument/2006/relationships/hyperlink" Target="https://finviz.com/news/400313/allegro-microsystems-to-announce-second-quarter-fiscal-year-2027-financial-results" TargetMode="External"/><Relationship Id="rIds523mhubsdjecd9svcy9e" Type="http://schemas.openxmlformats.org/officeDocument/2006/relationships/hyperlink" Target="https://www.earningswhispers.com/epsdetails/ALGM" TargetMode="External"/><Relationship Id="rIdn0v8otoyfqvhqb3wvmh0g" Type="http://schemas.openxmlformats.org/officeDocument/2006/relationships/hyperlink" Target="https://www.calcioefinanza.it/2026/09/22/ceo-john-elkann-conti-semestrale-exor/" TargetMode="External"/><Relationship Id="rIdmnkxm_dnhrxwtp8rr9ixi" Type="http://schemas.openxmlformats.org/officeDocument/2006/relationships/hyperlink" Target="https://stockhub.kr/en/insights/lg-energy-solution-373220-cy26-q3-preliminary-earnings-20261008" TargetMode="External"/><Relationship Id="rIdvd-vfsslfhy2bwpgbmurm" Type="http://schemas.openxmlformats.org/officeDocument/2006/relationships/hyperlink" Target="https://www.blackstone.com/blackstone3q26earningspressrelease/" TargetMode="External"/><Relationship Id="rId2zfxahkhhlndj2lvy5juq" Type="http://schemas.openxmlformats.org/officeDocument/2006/relationships/hyperlink" Target="https://www.rttnews.com/3701819/blackstone-q3-net-income-rises-total-aum-up-10.aspx" TargetMode="External"/><Relationship Id="rIdkgkd5fyvu0dscxo7wqsd4" Type="http://schemas.openxmlformats.org/officeDocument/2006/relationships/hyperlink" Target="https://www.sttinfo.fi/tiedote/72429302/bureau-veritas-double-digit-total-revenue-growth-in-the-third-quarter-of-2026?publisherId=58763726" TargetMode="External"/><Relationship Id="rIdrjjg9rxt10mxhh7vopv-f" Type="http://schemas.openxmlformats.org/officeDocument/2006/relationships/hyperlink" Target="https://simplywall.st/stocks/it/automobiles/bit-race/ferrari-shares/news/ferrari-nv-bitrace-third-quarter-results-heres-what-analysts" TargetMode="External"/><Relationship Id="rIdrmwra3dfumu_20devq79l" Type="http://schemas.openxmlformats.org/officeDocument/2006/relationships/hyperlink" Target="https://unusualwhales.com/stock/IPAR/earnings" TargetMode="External"/><Relationship Id="rIdanf8h8egttniztyth6acn" Type="http://schemas.openxmlformats.org/officeDocument/2006/relationships/hyperlink" Target="https://www.tipranks.com/stocks/COTY/earnings" TargetMode="External"/><Relationship Id="rIdnym9zlgfafq1-e2mygunf" Type="http://schemas.openxmlformats.org/officeDocument/2006/relationships/hyperlink" Target="https://www.tipranks.com/stocks/NAPRF/earnings" TargetMode="External"/><Relationship Id="rIdeddamya2dh3lii12i_hr0" Type="http://schemas.openxmlformats.org/officeDocument/2006/relationships/hyperlink" Target="https://www.kitco.com/news/article/2026-10-28/gold-steadies-silver-falls-fed-holds-rates-two-officials-favor-hike-kitco" TargetMode="External"/><Relationship Id="rIdmn8jwfirv1dxnrxutty6c" Type="http://schemas.openxmlformats.org/officeDocument/2006/relationships/hyperlink" Target="https://www.kitco.com/news/article/2026-10-28/gold-prices-could-fall-3900-silver-50-fed-tightening-pressures-precious" TargetMode="External"/><Relationship Id="rIdlar6gy8vznnre3qx3ckcw" Type="http://schemas.openxmlformats.org/officeDocument/2006/relationships/hyperlink" Target="https://www.sec.gov/Archives/edgar/data/0001164771/000165495426006227/ndm_ex991.htm" TargetMode="External"/><Relationship Id="rIdpaq3wedxyrnk3gbjjyqsh" Type="http://schemas.openxmlformats.org/officeDocument/2006/relationships/hyperlink" Target="https://www.placera.se/pressmeddelanden/dingdong-cayman-dingdong-announces-entry-into-definitive-agreement-to-sell-its-china-business-to-meituan-20260205" TargetMode="External"/><Relationship Id="rIdkvda5yg--xpv3imvfxwtn" Type="http://schemas.openxmlformats.org/officeDocument/2006/relationships/hyperlink" Target="https://www.graphiteoneinc.com/?p=4511" TargetMode="External"/><Relationship Id="rIdkx0aywj02civrdfdp28y2" Type="http://schemas.openxmlformats.org/officeDocument/2006/relationships/hyperlink" Target="https://industri.kontan.co.id/news/bukalapak-buka-raup-pendapatan-rp-56-triliun-rugi-bersih-tembus-rp-881-miliar" TargetMode="External"/><Relationship Id="rId76rhw1cpvwrig31anlvbz" Type="http://schemas.openxmlformats.org/officeDocument/2006/relationships/hyperlink" Target="https://www.share-talk.com/ftse-100-edges-higher-as-uk-budget-steadies-bond-markets-but-housebuilders-slump/" TargetMode="External"/><Relationship Id="rIddpmwyyfik5j5sl_0buyug" Type="http://schemas.openxmlformats.org/officeDocument/2006/relationships/hyperlink" Target="https://www.caterpillar.com/en/news/corporate-press-releases/h/caterpillar-to-announce-3Q-2026-financial-results-on-oct-29.html" TargetMode="External"/><Relationship Id="rId7aejdgbmvo0c8howhg2ca" Type="http://schemas.openxmlformats.org/officeDocument/2006/relationships/hyperlink" Target="https://247wallst.com/investing/2026/10/25/can-caterpillars-72b-backlog-save-its-stock-from-a-10-slump/" TargetMode="External"/><Relationship Id="rId1fjwexsekc3esxwpxnon0" Type="http://schemas.openxmlformats.org/officeDocument/2006/relationships/hyperlink" Target="https://www.hudson-labs.com/research/eli-lilly-q3-2026-earnings-preview-lly-revenue-eps-preview" TargetMode="External"/><Relationship Id="rIdrnpm7apb1cq4ne1c04e5-" Type="http://schemas.openxmlformats.org/officeDocument/2006/relationships/hyperlink" Target="https://roundhillinvestments.com/etf/mags" TargetMode="External"/><Relationship Id="rId6ymihnxzrpltdxr3kc1lq" Type="http://schemas.openxmlformats.org/officeDocument/2006/relationships/hyperlink" Target="https://therighttrader.com/earnings-calendar/pltr" TargetMode="External"/><Relationship Id="rIdixsb75wnhx-1dnsgewq4r" Type="http://schemas.openxmlformats.org/officeDocument/2006/relationships/hyperlink" Target="https://finviz.com/news/406202/tapestry-inc-to-host-fy27-first-quarter-earnings-call" TargetMode="External"/><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2026-10-29T10:10:15.906Z</dcterms:created>
  <dcterms:modified xsi:type="dcterms:W3CDTF">2026-10-29T10:10:15.907Z</dcterms:modified>
</cp:coreProperties>
</file>

<file path=docProps/custom.xml><?xml version="1.0" encoding="utf-8"?>
<Properties xmlns="http://schemas.openxmlformats.org/officeDocument/2006/custom-properties" xmlns:vt="http://schemas.openxmlformats.org/officeDocument/2006/docPropsVTypes"/>
</file>