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color w:val="0F5C4A"/>
          <w:sz w:val="30"/>
          <w:szCs w:val="30"/>
        </w:rPr>
        <w:t xml:space="preserve">UK Asset-Manager Executive Pay — Structure &amp; Quantum Comparison</w:t>
      </w:r>
    </w:p>
    <w:p>
      <w:pPr>
        <w:spacing w:after="13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CEO &amp; CFO base salaries  ·  annual bonus and LTIP structures  ·  latest AUM  ·  Liontrust (LIO) benchmarked vs. IPX · PMI · JUP · POLR  ·  As at 23 July 2026</w:t>
      </w:r>
    </w:p>
    <w:tbl>
      <w:tblPr>
        <w:tblW w:type="dxa" w:w="14688"/>
        <w:tblBorders>
          <w:top w:val="single" w:color="D5E3DD" w:sz="2"/>
          <w:left w:val="single" w:color="1F7A5C" w:sz="24"/>
          <w:bottom w:val="single" w:color="D5E3DD" w:sz="2"/>
          <w:right w:val="single" w:color="D5E3DD" w:sz="2"/>
          <w:insideH w:val="none"/>
          <w:insideV w:val="none"/>
        </w:tblBorders>
      </w:tblPr>
      <w:tblGrid>
        <w:gridCol w:w="14688"/>
      </w:tblGrid>
      <w:tr>
        <w:tc>
          <w:tcPr>
            <w:tcW w:type="dxa" w:w="14688"/>
            <w:shd w:fill="FDF6E3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line="2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5C4A"/>
                <w:sz w:val="16"/>
                <w:szCs w:val="16"/>
              </w:rPr>
              <w:t xml:space="preserve">Peer set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five UK-listed active managers, with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Liontrust (LIO LN)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 as the anchor. The shared template is a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6"/>
                <w:szCs w:val="16"/>
              </w:rPr>
              <w:t xml:space="preserve">modest base + heavily deferred / share-based variable + a 3-year LTIP with a 2-year post-vest holding period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6"/>
                <w:szCs w:val="16"/>
              </w:rPr>
              <w:t xml:space="preserve">. The real differentiators are the depth of bonus deferral, the presence of a fund-manager profit-share pool, and whether net flows are directly rewarded.</w:t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5"/>
          <w:szCs w:val="15"/>
        </w:rPr>
        <w:t xml:space="preserve"/>
      </w:r>
    </w:p>
    <w:tbl>
      <w:tblPr>
        <w:tblW w:type="dxa" w:w="14688"/>
        <w:tblBorders>
          <w:top w:val="single" w:color="D5E3DD" w:sz="2"/>
          <w:left w:val="single" w:color="D5E3DD" w:sz="2"/>
          <w:bottom w:val="single" w:color="D5E3DD" w:sz="2"/>
          <w:right w:val="single" w:color="D5E3DD" w:sz="2"/>
          <w:insideH w:val="single" w:color="D5E3DD" w:sz="2"/>
          <w:insideV w:val="single" w:color="D5E3DD" w:sz="2"/>
        </w:tblBorders>
      </w:tblPr>
      <w:tblGrid>
        <w:gridCol w:w="1900"/>
        <w:gridCol w:w="1690"/>
        <w:gridCol w:w="1840"/>
        <w:gridCol w:w="1840"/>
        <w:gridCol w:w="3700"/>
        <w:gridCol w:w="3718"/>
      </w:tblGrid>
      <w:tr>
        <w:trPr>
          <w:tblHeader/>
        </w:trPr>
        <w:tc>
          <w:tcPr>
            <w:tcW w:type="dxa" w:w="1900"/>
            <w:shd w:fill="0F5C4A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Firm (FY end)</w:t>
            </w:r>
          </w:p>
        </w:tc>
        <w:tc>
          <w:tcPr>
            <w:tcW w:type="dxa" w:w="1690"/>
            <w:shd w:fill="0F5C4A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Latest AUM</w:t>
            </w:r>
          </w:p>
        </w:tc>
        <w:tc>
          <w:tcPr>
            <w:tcW w:type="dxa" w:w="1840"/>
            <w:shd w:fill="0F5C4A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CEO — base salary</w:t>
            </w:r>
          </w:p>
        </w:tc>
        <w:tc>
          <w:tcPr>
            <w:tcW w:type="dxa" w:w="1840"/>
            <w:shd w:fill="0F5C4A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CFO — base salary</w:t>
            </w:r>
          </w:p>
        </w:tc>
        <w:tc>
          <w:tcPr>
            <w:tcW w:type="dxa" w:w="3700"/>
            <w:shd w:fill="0F5C4A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Annual bonus (max % of salary; structure)</w:t>
            </w:r>
          </w:p>
        </w:tc>
        <w:tc>
          <w:tcPr>
            <w:tcW w:type="dxa" w:w="3718"/>
            <w:shd w:fill="0F5C4A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LTIP (max % of salary; metrics; vest / hold)</w:t>
            </w:r>
          </w:p>
        </w:tc>
      </w:tr>
      <w:tr>
        <w:tc>
          <w:tcPr>
            <w:tcW w:type="dxa" w:w="1900"/>
            <w:shd w:fill="EAF3E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10" w:line="2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5C4A"/>
                <w:sz w:val="16"/>
                <w:szCs w:val="16"/>
              </w:rPr>
              <w:t xml:space="preserve">Liontrust (LIO)</w:t>
            </w:r>
          </w:p>
          <w:p>
            <w:pPr>
              <w:spacing w:after="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31 Mar</w:t>
            </w:r>
          </w:p>
        </w:tc>
        <w:tc>
          <w:tcPr>
            <w:tcW w:type="dxa" w:w="1690"/>
            <w:shd w:fill="EAF3E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£19.6bn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(Mar-26); £21.4bn (Jun-26)</w:t>
            </w:r>
          </w:p>
        </w:tc>
        <w:tc>
          <w:tcPr>
            <w:tcW w:type="dxa" w:w="1840"/>
            <w:shd w:fill="EAF3E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John Ions —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£584k</w:t>
            </w:r>
          </w:p>
        </w:tc>
        <w:tc>
          <w:tcPr>
            <w:tcW w:type="dxa" w:w="1840"/>
            <w:shd w:fill="EAF3E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Vinay Abrol (CFO/COO) —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~£420k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5"/>
                <w:szCs w:val="15"/>
              </w:rPr>
              <w:t xml:space="preserve">(2022; current n/d)</w:t>
            </w:r>
          </w:p>
        </w:tc>
        <w:tc>
          <w:tcPr>
            <w:tcW w:type="dxa" w:w="3700"/>
            <w:shd w:fill="EAF3E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CEO 450% / CFO 350%.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“Holistic” assessment (weightings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5"/>
                <w:szCs w:val="15"/>
              </w:rPr>
              <w:t xml:space="preserve">n/d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);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15"/>
                <w:szCs w:val="15"/>
              </w:rPr>
              <w:t xml:space="preserve">100% of bonus deferred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15"/>
                <w:szCs w:val="15"/>
              </w:rPr>
              <w:t xml:space="preserve"> into 3-yr nil-cost options.</w:t>
            </w:r>
          </w:p>
        </w:tc>
        <w:tc>
          <w:tcPr>
            <w:tcW w:type="dxa" w:w="3718"/>
            <w:shd w:fill="EAF3E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CEO 350% / CFO 250%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(recent grants cut ~15%).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40% absolute TSR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(FTSE-250 underpin) · 30% adj EPS · 30% fund perf. vs IA quartiles. 3-yr +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2-yr hold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.</w:t>
            </w:r>
          </w:p>
        </w:tc>
      </w:tr>
      <w:tr>
        <w:tc>
          <w:tcPr>
            <w:tcW w:type="dxa" w:w="1900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10" w:line="2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5C4A"/>
                <w:sz w:val="16"/>
                <w:szCs w:val="16"/>
              </w:rPr>
              <w:t xml:space="preserve">Impax (IPX)</w:t>
            </w:r>
          </w:p>
          <w:p>
            <w:pPr>
              <w:spacing w:after="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30 Sep</w:t>
            </w:r>
          </w:p>
        </w:tc>
        <w:tc>
          <w:tcPr>
            <w:tcW w:type="dxa" w:w="1690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£23.3bn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(Jun-26); £26.1bn (FY25)</w:t>
            </w:r>
          </w:p>
        </w:tc>
        <w:tc>
          <w:tcPr>
            <w:tcW w:type="dxa" w:w="1840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Ian Simm —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£300k</w:t>
            </w:r>
          </w:p>
        </w:tc>
        <w:tc>
          <w:tcPr>
            <w:tcW w:type="dxa" w:w="1840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In transition (Karen Cockburn named CFO) —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5"/>
                <w:szCs w:val="15"/>
              </w:rPr>
              <w:t xml:space="preserve">n/d</w:t>
            </w:r>
          </w:p>
        </w:tc>
        <w:tc>
          <w:tcPr>
            <w:tcW w:type="dxa" w:w="3700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Max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5"/>
                <w:szCs w:val="15"/>
              </w:rPr>
              <w:t xml:space="preserve">n/d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. Cash bonus + deferred shares; part of bonus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deferred into Impax funds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(co-investment).</w:t>
            </w:r>
          </w:p>
        </w:tc>
        <w:tc>
          <w:tcPr>
            <w:tcW w:type="dxa" w:w="3718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Max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5"/>
                <w:szCs w:val="15"/>
              </w:rPr>
              <w:t xml:space="preserve">n/d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. Performance Share Plan; specific metrics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5"/>
                <w:szCs w:val="15"/>
              </w:rPr>
              <w:t xml:space="preserve">n/d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.</w:t>
            </w:r>
          </w:p>
        </w:tc>
      </w:tr>
      <w:tr>
        <w:tc>
          <w:tcPr>
            <w:tcW w:type="dxa" w:w="1900"/>
            <w:shd w:fill="EAF3E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10" w:line="2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5C4A"/>
                <w:sz w:val="16"/>
                <w:szCs w:val="16"/>
              </w:rPr>
              <w:t xml:space="preserve">Premier Miton (PMI)</w:t>
            </w:r>
          </w:p>
          <w:p>
            <w:pPr>
              <w:spacing w:after="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30 Sep</w:t>
            </w:r>
          </w:p>
        </w:tc>
        <w:tc>
          <w:tcPr>
            <w:tcW w:type="dxa" w:w="1690"/>
            <w:shd w:fill="EAF3E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£8.6bn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(Jun-26); £10.3bn (Sep-25)</w:t>
            </w:r>
          </w:p>
        </w:tc>
        <w:tc>
          <w:tcPr>
            <w:tcW w:type="dxa" w:w="1840"/>
            <w:shd w:fill="EAF3E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Mike O’Shea —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~£350k</w:t>
            </w:r>
          </w:p>
        </w:tc>
        <w:tc>
          <w:tcPr>
            <w:tcW w:type="dxa" w:w="1840"/>
            <w:shd w:fill="EAF3E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Piers Harrison —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5"/>
                <w:szCs w:val="15"/>
              </w:rPr>
              <w:t xml:space="preserve">n/d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(below CEO)</w:t>
            </w:r>
          </w:p>
        </w:tc>
        <w:tc>
          <w:tcPr>
            <w:tcW w:type="dxa" w:w="3700"/>
            <w:shd w:fill="EAF3E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Max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5"/>
                <w:szCs w:val="15"/>
              </w:rPr>
              <w:t xml:space="preserve">n/d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. Cash + deferred shares (~62% of O’Shea’s ~£0.92m total was variable).</w:t>
            </w:r>
          </w:p>
        </w:tc>
        <w:tc>
          <w:tcPr>
            <w:tcW w:type="dxa" w:w="3718"/>
            <w:shd w:fill="EAF3E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Max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5"/>
                <w:szCs w:val="15"/>
              </w:rPr>
              <w:t xml:space="preserve">n/d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. 3-yr performance period (e.g. cycle to 30 Sep-28); metrics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5"/>
                <w:szCs w:val="15"/>
              </w:rPr>
              <w:t xml:space="preserve">n/d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.</w:t>
            </w:r>
          </w:p>
        </w:tc>
      </w:tr>
      <w:tr>
        <w:tc>
          <w:tcPr>
            <w:tcW w:type="dxa" w:w="1900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10" w:line="2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5C4A"/>
                <w:sz w:val="16"/>
                <w:szCs w:val="16"/>
              </w:rPr>
              <w:t xml:space="preserve">Jupiter (JUP)</w:t>
            </w:r>
          </w:p>
          <w:p>
            <w:pPr>
              <w:spacing w:after="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31 Dec</w:t>
            </w:r>
          </w:p>
        </w:tc>
        <w:tc>
          <w:tcPr>
            <w:tcW w:type="dxa" w:w="1690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~£73.7bn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(Jun-26, incl. CCLA); £54.0bn (FY25)</w:t>
            </w:r>
          </w:p>
        </w:tc>
        <w:tc>
          <w:tcPr>
            <w:tcW w:type="dxa" w:w="1840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Matthew Beesley —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£484k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(→£500,950 in 2026)</w:t>
            </w:r>
          </w:p>
        </w:tc>
        <w:tc>
          <w:tcPr>
            <w:tcW w:type="dxa" w:w="1840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Wayne Mepham —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~£425k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(→£437,800 in 2026)</w:t>
            </w:r>
          </w:p>
        </w:tc>
        <w:tc>
          <w:tcPr>
            <w:tcW w:type="dxa" w:w="3700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CEO 425%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(policy); CFO ~250% (2019 joining terms; current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5"/>
                <w:szCs w:val="15"/>
              </w:rPr>
              <w:t xml:space="preserve">n/d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). Deferred into nil-cost options (DBP).</w:t>
            </w:r>
          </w:p>
        </w:tc>
        <w:tc>
          <w:tcPr>
            <w:tcW w:type="dxa" w:w="3718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CEO 375%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(policy); CFO ~225% historic. 3-yr nil-cost options; metrics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5"/>
                <w:szCs w:val="15"/>
              </w:rPr>
              <w:t xml:space="preserve">n/d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(typically rel. TSR / flows / strategic).</w:t>
            </w:r>
          </w:p>
        </w:tc>
      </w:tr>
      <w:tr>
        <w:tc>
          <w:tcPr>
            <w:tcW w:type="dxa" w:w="1900"/>
            <w:shd w:fill="EAF3E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10" w:line="2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5C4A"/>
                <w:sz w:val="16"/>
                <w:szCs w:val="16"/>
              </w:rPr>
              <w:t xml:space="preserve">Polar Capital (POLR)</w:t>
            </w:r>
          </w:p>
          <w:p>
            <w:pPr>
              <w:spacing w:after="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31 Mar</w:t>
            </w:r>
          </w:p>
        </w:tc>
        <w:tc>
          <w:tcPr>
            <w:tcW w:type="dxa" w:w="1690"/>
            <w:shd w:fill="EAF3E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£45.0bn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(Jun-26, record); £30.6bn (FY26)</w:t>
            </w:r>
          </w:p>
        </w:tc>
        <w:tc>
          <w:tcPr>
            <w:tcW w:type="dxa" w:w="1840"/>
            <w:shd w:fill="EAF3E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Iain Evans (from Sep-25; prev. Rochussen) —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5"/>
                <w:szCs w:val="15"/>
              </w:rPr>
              <w:t xml:space="preserve">n/d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(~£350k hist.)</w:t>
            </w:r>
          </w:p>
        </w:tc>
        <w:tc>
          <w:tcPr>
            <w:tcW w:type="dxa" w:w="1840"/>
            <w:shd w:fill="EAF3E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Samir Ayub —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5"/>
                <w:szCs w:val="15"/>
              </w:rPr>
              <w:t xml:space="preserve">n/d</w:t>
            </w:r>
          </w:p>
        </w:tc>
        <w:tc>
          <w:tcPr>
            <w:tcW w:type="dxa" w:w="3700"/>
            <w:shd w:fill="EAF3E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Max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5"/>
                <w:szCs w:val="15"/>
              </w:rPr>
              <w:t xml:space="preserve">n/d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. After-tax bonus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deferred into shares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(DRP), released ⅓/yr 2026–28; separate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fund-manager profit-share pool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.</w:t>
            </w:r>
          </w:p>
        </w:tc>
        <w:tc>
          <w:tcPr>
            <w:tcW w:type="dxa" w:w="3718"/>
            <w:shd w:fill="EAF3EF" w:color="auto" w:val="clear"/>
            <w:tcMar>
              <w:top w:type="dxa" w:w="45"/>
              <w:left w:type="dxa" w:w="85"/>
              <w:bottom w:type="dxa" w:w="45"/>
              <w:right w:type="dxa" w:w="85"/>
            </w:tcMar>
            <w:vAlign w:val="center"/>
          </w:tcPr>
          <w:p>
            <w:pPr>
              <w:spacing w:after="0" w:line="21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Max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5"/>
                <w:szCs w:val="15"/>
              </w:rPr>
              <w:t xml:space="preserve">n/d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EPS growth · relative TSR vs FTSE 250 · net fund inflows · strategic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. 3-yr +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2-yr hold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.</w:t>
            </w:r>
          </w:p>
        </w:tc>
      </w:tr>
    </w:tbl>
    <w:p>
      <w:pPr>
        <w:spacing w:after="120"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3"/>
          <w:szCs w:val="13"/>
        </w:rPr>
        <w:t xml:space="preserve">n/d = not disclosed in accessible sources (resides in the firm’s Directors’ Remuneration Report PDF). “Policy” maxima are the shareholder-approved ceilings, not amounts paid. Salaries mix latest-filing and aggregator data.</w:t>
      </w:r>
    </w:p>
    <w:p>
      <w:pPr>
        <w:spacing w:after="70"/>
      </w:pPr>
      <w:r>
        <w:rPr>
          <w:rFonts w:ascii="Calibri" w:cs="Calibri" w:eastAsia="Calibri" w:hAnsi="Calibri"/>
          <w:b/>
          <w:bCs/>
          <w:i w:val="false"/>
          <w:iCs w:val="false"/>
          <w:color w:val="0F5C4A"/>
          <w:sz w:val="20"/>
          <w:szCs w:val="20"/>
        </w:rPr>
        <w:t xml:space="preserve">How to read this</w:t>
      </w:r>
    </w:p>
    <w:p>
      <w:pPr>
        <w:spacing w:after="60"/>
        <w:ind w:left="150" w:hanging="150"/>
      </w:pPr>
      <w:r>
        <w:rPr>
          <w:rFonts w:ascii="Calibri" w:cs="Calibri" w:eastAsia="Calibri" w:hAnsi="Calibri"/>
          <w:b/>
          <w:bCs/>
          <w:i w:val="false"/>
          <w:iCs w:val="false"/>
          <w:color w:val="0F5C4A"/>
          <w:sz w:val="15"/>
          <w:szCs w:val="15"/>
        </w:rPr>
        <w:t xml:space="preserve">▪ 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5"/>
          <w:szCs w:val="15"/>
        </w:rPr>
        <w:t xml:space="preserve">Fixed pay — Liontrust is the outlier.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5"/>
          <w:szCs w:val="15"/>
        </w:rPr>
        <w:t xml:space="preserve">Its CEO base (£584k) is the highest of the group — above Jupiter (£484k, ~4× the assets) and roughly double Impax (£300k) / Premier Miton (~£350k).</w:t>
      </w:r>
    </w:p>
    <w:p>
      <w:pPr>
        <w:spacing w:after="60"/>
        <w:ind w:left="150" w:hanging="150"/>
      </w:pPr>
      <w:r>
        <w:rPr>
          <w:rFonts w:ascii="Calibri" w:cs="Calibri" w:eastAsia="Calibri" w:hAnsi="Calibri"/>
          <w:b/>
          <w:bCs/>
          <w:i w:val="false"/>
          <w:iCs w:val="false"/>
          <w:color w:val="B45309"/>
          <w:sz w:val="15"/>
          <w:szCs w:val="15"/>
        </w:rPr>
        <w:t xml:space="preserve">▪  </w:t>
      </w:r>
      <w:r>
        <w:rPr>
          <w:rFonts w:ascii="Calibri" w:cs="Calibri" w:eastAsia="Calibri" w:hAnsi="Calibri"/>
          <w:b/>
          <w:bCs/>
          <w:i w:val="false"/>
          <w:iCs w:val="false"/>
          <w:color w:val="B45309"/>
          <w:sz w:val="15"/>
          <w:szCs w:val="15"/>
        </w:rPr>
        <w:t xml:space="preserve">Ceilings — where disclosed, Liontrust tops the list.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5"/>
          <w:szCs w:val="15"/>
        </w:rPr>
        <w:t xml:space="preserve">LIO’s maxima (450% bonus + 350% LTIP ≈ 800% of salary) exceed Jupiter’s (425% + 375%), despite Jupiter being far larger — a framework anchored to a bigger firm than LIO now is.</w:t>
      </w:r>
    </w:p>
    <w:p>
      <w:pPr>
        <w:spacing w:after="60"/>
        <w:ind w:left="150" w:hanging="150"/>
      </w:pPr>
      <w:r>
        <w:rPr>
          <w:rFonts w:ascii="Calibri" w:cs="Calibri" w:eastAsia="Calibri" w:hAnsi="Calibri"/>
          <w:b/>
          <w:bCs/>
          <w:i w:val="false"/>
          <w:iCs w:val="false"/>
          <w:color w:val="166534"/>
          <w:sz w:val="15"/>
          <w:szCs w:val="15"/>
        </w:rPr>
        <w:t xml:space="preserve">▪  </w:t>
      </w:r>
      <w:r>
        <w:rPr>
          <w:rFonts w:ascii="Calibri" w:cs="Calibri" w:eastAsia="Calibri" w:hAnsi="Calibri"/>
          <w:b/>
          <w:bCs/>
          <w:i w:val="false"/>
          <w:iCs w:val="false"/>
          <w:color w:val="166534"/>
          <w:sz w:val="15"/>
          <w:szCs w:val="15"/>
        </w:rPr>
        <w:t xml:space="preserve">Structure — similar template, different alignment.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5"/>
          <w:szCs w:val="15"/>
        </w:rPr>
        <w:t xml:space="preserve">All run 3-yr LTIPs with a 2-yr hold. Differentiators: LIO’s 100% bonus deferral; Polar’s fund-manager profit-share; Impax’s bonus into own funds — “skin-in-the-game” features LIO lacks at executive-director level.</w:t>
      </w:r>
    </w:p>
    <w:p>
      <w:pPr>
        <w:spacing w:after="60"/>
        <w:ind w:left="150" w:hanging="150"/>
      </w:pPr>
      <w:r>
        <w:rPr>
          <w:rFonts w:ascii="Calibri" w:cs="Calibri" w:eastAsia="Calibri" w:hAnsi="Calibri"/>
          <w:b/>
          <w:bCs/>
          <w:i w:val="false"/>
          <w:iCs w:val="false"/>
          <w:color w:val="B45309"/>
          <w:sz w:val="15"/>
          <w:szCs w:val="15"/>
        </w:rPr>
        <w:t xml:space="preserve">▪  </w:t>
      </w:r>
      <w:r>
        <w:rPr>
          <w:rFonts w:ascii="Calibri" w:cs="Calibri" w:eastAsia="Calibri" w:hAnsi="Calibri"/>
          <w:b/>
          <w:bCs/>
          <w:i w:val="false"/>
          <w:iCs w:val="false"/>
          <w:color w:val="B45309"/>
          <w:sz w:val="15"/>
          <w:szCs w:val="15"/>
        </w:rPr>
        <w:t xml:space="preserve">Flows — only Polar rewards them.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5"/>
          <w:szCs w:val="15"/>
        </w:rPr>
        <w:t xml:space="preserve">AUM is diverging (POLR £45bn and JUP £74bn growing; LIO £19.6bn, IPX £23.3bn, PMI £8.6bn in outflow), yet only Polar’s LTIP carries a direct net-flows metric.</w:t>
      </w:r>
    </w:p>
    <w:p>
      <w:pPr>
        <w:pBdr>
          <w:top w:val="single" w:color="D5E3DD" w:sz="4" w:space="4"/>
        </w:pBdr>
        <w:spacing w:after="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3"/>
          <w:szCs w:val="13"/>
        </w:rPr>
        <w:t xml:space="preserve">Caveat &amp; sources: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3"/>
          <w:szCs w:val="13"/>
        </w:rPr>
        <w:t xml:space="preserve">filing-hosting sites and financial-news domains were not directly retrievable in this environment (egress policy / 403); figures are from search-surfaced summaries of the firms’ latest annual reports / Directors’ Remuneration Reports and AUM RNSs, plus aggregators (Simply Wall St, TipRanks, Investegate, Citywire, Portfolio Adviser, Investing.com, MarketScreener), and should be confirmed against each company’s report before use. Latest-AUM RNSs: Liontrust FY2026 (Jun-26); Impax Q3 (30 Jun-26); Premier Miton Q3 (30 Jun-26); Jupiter H1-26 / CCLA; Polar Capital AuM update (30 Jun-26). Bonus/LTIP maxima confirmed for LIO and JUP (policy); n/d for IPX, PMI, POLR.</w:t>
      </w:r>
    </w:p>
    <w:sectPr>
      <w:pgSz w:w="15840" w:h="12240" w:orient="landscape"/>
      <w:pgMar w:top="620" w:right="576" w:bottom="52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UK Asset-Manager Executive Pay — Structure &amp; Quantum Comparison</dc:title>
  <dc:creator>RF-Stuff</dc:creator>
  <cp:lastModifiedBy>Un-named</cp:lastModifiedBy>
  <cp:revision>1</cp:revision>
  <dcterms:created xsi:type="dcterms:W3CDTF">2026-07-23T15:26:41.984Z</dcterms:created>
  <dcterms:modified xsi:type="dcterms:W3CDTF">2026-07-23T15:26:41.993Z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