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2F6FD0"/>
          <w:sz w:val="17"/>
        </w:rPr>
        <w:t>EQUITY RESEARCH | JAPAN | BUILDING PRODUCTS / SEMICONDUCTOR CERAMICS</w:t>
      </w:r>
    </w:p>
    <w:p>
      <w:r>
        <w:rPr>
          <w:b/>
          <w:i w:val="0"/>
          <w:color w:val="16243D"/>
          <w:sz w:val="60"/>
        </w:rPr>
        <w:t>TOTO Ltd (5332 JP)</w:t>
      </w:r>
    </w:p>
    <w:p>
      <w:r>
        <w:rPr>
          <w:b w:val="0"/>
          <w:i w:val="0"/>
          <w:color w:val="5E6878"/>
          <w:sz w:val="30"/>
        </w:rPr>
        <w:t>The toilet maker with a semiconductor engine</w:t>
      </w:r>
    </w:p>
    <w:p>
      <w:r>
        <w:rPr>
          <w:b/>
          <w:i w:val="0"/>
          <w:color w:val="2F6FD0"/>
          <w:sz w:val="24"/>
        </w:rPr>
        <w:t>RATING: BUY  |  12-month target ¥7,200 (+18%)  |  Probability-weighted ~¥6,975</w:t>
      </w:r>
    </w:p>
    <w:p>
      <w:r>
        <w:rPr>
          <w:b w:val="0"/>
          <w:i w:val="0"/>
          <w:color w:val="16243D"/>
          <w:sz w:val="20"/>
        </w:rPr>
        <w:t>Price ¥6,097 (2 Oct 2026) | Mkt cap ~¥1.0tn | EV ~¥937bn (e) | P/E 21.8x FY3/27E | EV/EBITDA 10.6x FY3/26A | Yield 2.0%</w:t>
      </w:r>
    </w:p>
    <w:p>
      <w:r>
        <w:rPr>
          <w:b w:val="0"/>
          <w:i w:val="0"/>
          <w:color w:val="5E6878"/>
          <w:sz w:val="16"/>
        </w:rPr>
        <w:t>Equity Research | 4 October 2026. Figures marked (e)/~ are estimates — see Data Notes (Section 25).</w:t>
      </w:r>
    </w:p>
    <w:p>
      <w:r>
        <w:br w:type="page"/>
      </w:r>
    </w:p>
    <w:p>
      <w:pPr>
        <w:pStyle w:val="Heading1"/>
      </w:pPr>
      <w:r>
        <w:t>1. Investment Summary</w:t>
      </w:r>
    </w:p>
    <w:tbl>
      <w:tblPr>
        <w:tblW w:type="auto" w:w="0"/>
        <w:tblLook w:firstColumn="1" w:firstRow="1" w:lastColumn="0" w:lastRow="0" w:noHBand="0" w:noVBand="1" w:val="04A0"/>
      </w:tblPr>
      <w:tblGrid>
        <w:gridCol w:w="9866"/>
      </w:tblGrid>
      <w:tr>
        <w:tc>
          <w:tcPr>
            <w:tcW w:type="dxa" w:w="9866"/>
            <w:shd w:val="clear" w:color="auto" w:fill="2B3A55"/>
          </w:tcPr>
          <w:p>
            <w:r/>
            <w:r>
              <w:rPr>
                <w:b/>
                <w:i w:val="0"/>
                <w:color w:val="FFFFFF"/>
                <w:sz w:val="18"/>
              </w:rPr>
              <w:t>Rating: BUY (moderate conviction, event-driven sizing). 12-month target ¥7,200 (+18% vs ¥6,097 close on 2 Oct 2026); probability-weighted value ~¥6,975 (+14%).</w:t>
            </w:r>
            <w:r>
              <w:rPr>
                <w:b w:val="0"/>
                <w:i w:val="0"/>
                <w:color w:val="FFFFFF"/>
                <w:sz w:val="18"/>
              </w:rPr>
              <w:t xml:space="preserve"> TOTO is no longer a toilet company with a ceramics hobby: in FY3/26 Advanced Ceramics (electrostatic chucks for NAND cryogenic etch) generated ¥28.9bn of operating profit on ¥67.4bn of sales (42.9% margin), exceeding the entire ¥670bn housing business for the first time. The stock has round-tripped from ¥9,500 (23 Jun 2026) to ¥6,097 on a Q1 miss, giving a second entry point into a business mix shift that the consolidated P&amp;L still obscures.</w:t>
            </w:r>
          </w:p>
        </w:tc>
      </w:tr>
    </w:tbl>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c>
          <w:tcPr>
            <w:tcW w:type="dxa" w:w="2619"/>
            <w:shd w:val="clear" w:color="auto" w:fill="16243D"/>
          </w:tcPr>
          <w:p>
            <w:r/>
            <w:r>
              <w:rPr>
                <w:b/>
                <w:i w:val="0"/>
                <w:color w:val="FFFFFF"/>
                <w:sz w:val="15"/>
              </w:rPr>
              <w:t>Market data (2 Oct 2026)</w:t>
            </w:r>
          </w:p>
        </w:tc>
        <w:tc>
          <w:tcPr>
            <w:tcW w:type="dxa" w:w="2095"/>
            <w:shd w:val="clear" w:color="auto" w:fill="16243D"/>
          </w:tcPr>
          <w:p>
            <w:r/>
            <w:r>
              <w:rPr>
                <w:b/>
                <w:i w:val="0"/>
                <w:color w:val="FFFFFF"/>
                <w:sz w:val="15"/>
              </w:rPr>
              <w:t>Value</w:t>
            </w:r>
          </w:p>
        </w:tc>
        <w:tc>
          <w:tcPr>
            <w:tcW w:type="dxa" w:w="1746"/>
            <w:shd w:val="clear" w:color="auto" w:fill="16243D"/>
          </w:tcPr>
          <w:p>
            <w:r/>
            <w:r>
              <w:rPr>
                <w:b/>
                <w:i w:val="0"/>
                <w:color w:val="FFFFFF"/>
                <w:sz w:val="15"/>
              </w:rPr>
              <w:t>Valuation</w:t>
            </w:r>
          </w:p>
        </w:tc>
        <w:tc>
          <w:tcPr>
            <w:tcW w:type="dxa" w:w="1135"/>
            <w:shd w:val="clear" w:color="auto" w:fill="16243D"/>
          </w:tcPr>
          <w:p>
            <w:r/>
            <w:r>
              <w:rPr>
                <w:b/>
                <w:i w:val="0"/>
                <w:color w:val="FFFFFF"/>
                <w:sz w:val="15"/>
              </w:rPr>
              <w:t>FY3/26A</w:t>
            </w:r>
          </w:p>
        </w:tc>
        <w:tc>
          <w:tcPr>
            <w:tcW w:type="dxa" w:w="1135"/>
            <w:shd w:val="clear" w:color="auto" w:fill="16243D"/>
          </w:tcPr>
          <w:p>
            <w:r/>
            <w:r>
              <w:rPr>
                <w:b/>
                <w:i w:val="0"/>
                <w:color w:val="FFFFFF"/>
                <w:sz w:val="15"/>
              </w:rPr>
              <w:t>FY3/27E</w:t>
            </w:r>
          </w:p>
        </w:tc>
        <w:tc>
          <w:tcPr>
            <w:tcW w:type="dxa" w:w="1135"/>
            <w:shd w:val="clear" w:color="auto" w:fill="16243D"/>
          </w:tcPr>
          <w:p>
            <w:r/>
            <w:r>
              <w:rPr>
                <w:b/>
                <w:i w:val="0"/>
                <w:color w:val="FFFFFF"/>
                <w:sz w:val="15"/>
              </w:rPr>
              <w:t>FY3/28E</w:t>
            </w:r>
          </w:p>
        </w:tc>
      </w:tr>
      <w:tr>
        <w:tc>
          <w:tcPr>
            <w:tcW w:type="dxa" w:w="2619"/>
          </w:tcPr>
          <w:p>
            <w:r/>
            <w:r>
              <w:rPr>
                <w:b w:val="0"/>
                <w:i w:val="0"/>
                <w:sz w:val="15"/>
              </w:rPr>
              <w:t>Share price</w:t>
            </w:r>
          </w:p>
        </w:tc>
        <w:tc>
          <w:tcPr>
            <w:tcW w:type="dxa" w:w="2095"/>
          </w:tcPr>
          <w:p>
            <w:r/>
            <w:r>
              <w:rPr>
                <w:b w:val="0"/>
                <w:i w:val="0"/>
                <w:sz w:val="15"/>
              </w:rPr>
              <w:t>¥6,097</w:t>
            </w:r>
          </w:p>
        </w:tc>
        <w:tc>
          <w:tcPr>
            <w:tcW w:type="dxa" w:w="1746"/>
          </w:tcPr>
          <w:p>
            <w:r/>
            <w:r>
              <w:rPr>
                <w:b w:val="0"/>
                <w:i w:val="0"/>
                <w:sz w:val="15"/>
              </w:rPr>
              <w:t>P/E</w:t>
            </w:r>
          </w:p>
        </w:tc>
        <w:tc>
          <w:tcPr>
            <w:tcW w:type="dxa" w:w="1135"/>
          </w:tcPr>
          <w:p>
            <w:r/>
            <w:r>
              <w:rPr>
                <w:b w:val="0"/>
                <w:i w:val="0"/>
                <w:sz w:val="15"/>
              </w:rPr>
              <w:t>25.1x</w:t>
            </w:r>
          </w:p>
        </w:tc>
        <w:tc>
          <w:tcPr>
            <w:tcW w:type="dxa" w:w="1135"/>
          </w:tcPr>
          <w:p>
            <w:r/>
            <w:r>
              <w:rPr>
                <w:b w:val="0"/>
                <w:i w:val="0"/>
                <w:sz w:val="15"/>
              </w:rPr>
              <w:t>21.8x</w:t>
            </w:r>
          </w:p>
        </w:tc>
        <w:tc>
          <w:tcPr>
            <w:tcW w:type="dxa" w:w="1135"/>
          </w:tcPr>
          <w:p>
            <w:r/>
            <w:r>
              <w:rPr>
                <w:b w:val="0"/>
                <w:i w:val="0"/>
                <w:sz w:val="15"/>
              </w:rPr>
              <w:t>17.3x</w:t>
            </w:r>
          </w:p>
        </w:tc>
      </w:tr>
      <w:tr>
        <w:tc>
          <w:tcPr>
            <w:tcW w:type="dxa" w:w="2619"/>
            <w:shd w:val="clear" w:color="auto" w:fill="F1F3F7"/>
          </w:tcPr>
          <w:p>
            <w:r/>
            <w:r>
              <w:rPr>
                <w:b w:val="0"/>
                <w:i w:val="0"/>
                <w:sz w:val="15"/>
              </w:rPr>
              <w:t>52-week range</w:t>
            </w:r>
          </w:p>
        </w:tc>
        <w:tc>
          <w:tcPr>
            <w:tcW w:type="dxa" w:w="2095"/>
            <w:shd w:val="clear" w:color="auto" w:fill="F1F3F7"/>
          </w:tcPr>
          <w:p>
            <w:r/>
            <w:r>
              <w:rPr>
                <w:b w:val="0"/>
                <w:i w:val="0"/>
                <w:sz w:val="15"/>
              </w:rPr>
              <w:t>¥3,766 – ¥9,500</w:t>
            </w:r>
          </w:p>
        </w:tc>
        <w:tc>
          <w:tcPr>
            <w:tcW w:type="dxa" w:w="1746"/>
            <w:shd w:val="clear" w:color="auto" w:fill="F1F3F7"/>
          </w:tcPr>
          <w:p>
            <w:r/>
            <w:r>
              <w:rPr>
                <w:b w:val="0"/>
                <w:i w:val="0"/>
                <w:sz w:val="15"/>
              </w:rPr>
              <w:t>EV/Sales</w:t>
            </w:r>
          </w:p>
        </w:tc>
        <w:tc>
          <w:tcPr>
            <w:tcW w:type="dxa" w:w="1135"/>
            <w:shd w:val="clear" w:color="auto" w:fill="F1F3F7"/>
          </w:tcPr>
          <w:p>
            <w:r/>
            <w:r>
              <w:rPr>
                <w:b w:val="0"/>
                <w:i w:val="0"/>
                <w:sz w:val="15"/>
              </w:rPr>
              <w:t>1.27x</w:t>
            </w:r>
          </w:p>
        </w:tc>
        <w:tc>
          <w:tcPr>
            <w:tcW w:type="dxa" w:w="1135"/>
            <w:shd w:val="clear" w:color="auto" w:fill="F1F3F7"/>
          </w:tcPr>
          <w:p>
            <w:r/>
            <w:r>
              <w:rPr>
                <w:b w:val="0"/>
                <w:i w:val="0"/>
                <w:sz w:val="15"/>
              </w:rPr>
              <w:t>1.22x</w:t>
            </w:r>
          </w:p>
        </w:tc>
        <w:tc>
          <w:tcPr>
            <w:tcW w:type="dxa" w:w="1135"/>
            <w:shd w:val="clear" w:color="auto" w:fill="F1F3F7"/>
          </w:tcPr>
          <w:p>
            <w:r/>
            <w:r>
              <w:rPr>
                <w:b w:val="0"/>
                <w:i w:val="0"/>
                <w:sz w:val="15"/>
              </w:rPr>
              <w:t>1.17x</w:t>
            </w:r>
          </w:p>
        </w:tc>
      </w:tr>
      <w:tr>
        <w:tc>
          <w:tcPr>
            <w:tcW w:type="dxa" w:w="2619"/>
          </w:tcPr>
          <w:p>
            <w:r/>
            <w:r>
              <w:rPr>
                <w:b w:val="0"/>
                <w:i w:val="0"/>
                <w:sz w:val="15"/>
              </w:rPr>
              <w:t>Shares outstanding (ex-treasury)</w:t>
            </w:r>
          </w:p>
        </w:tc>
        <w:tc>
          <w:tcPr>
            <w:tcW w:type="dxa" w:w="2095"/>
          </w:tcPr>
          <w:p>
            <w:r/>
            <w:r>
              <w:rPr>
                <w:b w:val="0"/>
                <w:i w:val="0"/>
                <w:sz w:val="15"/>
              </w:rPr>
              <w:t>~164.4m</w:t>
            </w:r>
          </w:p>
        </w:tc>
        <w:tc>
          <w:tcPr>
            <w:tcW w:type="dxa" w:w="1746"/>
          </w:tcPr>
          <w:p>
            <w:r/>
            <w:r>
              <w:rPr>
                <w:b w:val="0"/>
                <w:i w:val="0"/>
                <w:sz w:val="15"/>
              </w:rPr>
              <w:t>EV/EBITDA</w:t>
            </w:r>
          </w:p>
        </w:tc>
        <w:tc>
          <w:tcPr>
            <w:tcW w:type="dxa" w:w="1135"/>
          </w:tcPr>
          <w:p>
            <w:r/>
            <w:r>
              <w:rPr>
                <w:b w:val="0"/>
                <w:i w:val="0"/>
                <w:sz w:val="15"/>
              </w:rPr>
              <w:t>10.6x</w:t>
            </w:r>
          </w:p>
        </w:tc>
        <w:tc>
          <w:tcPr>
            <w:tcW w:type="dxa" w:w="1135"/>
          </w:tcPr>
          <w:p>
            <w:r/>
            <w:r>
              <w:rPr>
                <w:b w:val="0"/>
                <w:i w:val="0"/>
                <w:sz w:val="15"/>
              </w:rPr>
              <w:t>9.8x</w:t>
            </w:r>
          </w:p>
        </w:tc>
        <w:tc>
          <w:tcPr>
            <w:tcW w:type="dxa" w:w="1135"/>
          </w:tcPr>
          <w:p>
            <w:r/>
            <w:r>
              <w:rPr>
                <w:b w:val="0"/>
                <w:i w:val="0"/>
                <w:sz w:val="15"/>
              </w:rPr>
              <w:t>8.1x</w:t>
            </w:r>
          </w:p>
        </w:tc>
      </w:tr>
      <w:tr>
        <w:tc>
          <w:tcPr>
            <w:tcW w:type="dxa" w:w="2619"/>
            <w:shd w:val="clear" w:color="auto" w:fill="F1F3F7"/>
          </w:tcPr>
          <w:p>
            <w:r/>
            <w:r>
              <w:rPr>
                <w:b w:val="0"/>
                <w:i w:val="0"/>
                <w:sz w:val="15"/>
              </w:rPr>
              <w:t>Market cap</w:t>
            </w:r>
          </w:p>
        </w:tc>
        <w:tc>
          <w:tcPr>
            <w:tcW w:type="dxa" w:w="2095"/>
            <w:shd w:val="clear" w:color="auto" w:fill="F1F3F7"/>
          </w:tcPr>
          <w:p>
            <w:r/>
            <w:r>
              <w:rPr>
                <w:b w:val="0"/>
                <w:i w:val="0"/>
                <w:sz w:val="15"/>
              </w:rPr>
              <w:t>~¥1.00tn (~US$6.7bn)</w:t>
            </w:r>
          </w:p>
        </w:tc>
        <w:tc>
          <w:tcPr>
            <w:tcW w:type="dxa" w:w="1746"/>
            <w:shd w:val="clear" w:color="auto" w:fill="F1F3F7"/>
          </w:tcPr>
          <w:p>
            <w:r/>
            <w:r>
              <w:rPr>
                <w:b w:val="0"/>
                <w:i w:val="0"/>
                <w:sz w:val="15"/>
              </w:rPr>
              <w:t>EV/EBIT</w:t>
            </w:r>
          </w:p>
        </w:tc>
        <w:tc>
          <w:tcPr>
            <w:tcW w:type="dxa" w:w="1135"/>
            <w:shd w:val="clear" w:color="auto" w:fill="F1F3F7"/>
          </w:tcPr>
          <w:p>
            <w:r/>
            <w:r>
              <w:rPr>
                <w:b w:val="0"/>
                <w:i w:val="0"/>
                <w:sz w:val="15"/>
              </w:rPr>
              <w:t>17.4x</w:t>
            </w:r>
          </w:p>
        </w:tc>
        <w:tc>
          <w:tcPr>
            <w:tcW w:type="dxa" w:w="1135"/>
            <w:shd w:val="clear" w:color="auto" w:fill="F1F3F7"/>
          </w:tcPr>
          <w:p>
            <w:r/>
            <w:r>
              <w:rPr>
                <w:b w:val="0"/>
                <w:i w:val="0"/>
                <w:sz w:val="15"/>
              </w:rPr>
              <w:t>15.6x</w:t>
            </w:r>
          </w:p>
        </w:tc>
        <w:tc>
          <w:tcPr>
            <w:tcW w:type="dxa" w:w="1135"/>
            <w:shd w:val="clear" w:color="auto" w:fill="F1F3F7"/>
          </w:tcPr>
          <w:p>
            <w:r/>
            <w:r>
              <w:rPr>
                <w:b w:val="0"/>
                <w:i w:val="0"/>
                <w:sz w:val="15"/>
              </w:rPr>
              <w:t>12.0x</w:t>
            </w:r>
          </w:p>
        </w:tc>
      </w:tr>
      <w:tr>
        <w:tc>
          <w:tcPr>
            <w:tcW w:type="dxa" w:w="2619"/>
          </w:tcPr>
          <w:p>
            <w:r/>
            <w:r>
              <w:rPr>
                <w:b w:val="0"/>
                <w:i w:val="0"/>
                <w:sz w:val="15"/>
              </w:rPr>
              <w:t>Net cash (e)</w:t>
            </w:r>
          </w:p>
        </w:tc>
        <w:tc>
          <w:tcPr>
            <w:tcW w:type="dxa" w:w="2095"/>
          </w:tcPr>
          <w:p>
            <w:r/>
            <w:r>
              <w:rPr>
                <w:b w:val="0"/>
                <w:i w:val="0"/>
                <w:sz w:val="15"/>
              </w:rPr>
              <w:t>~¥65bn</w:t>
            </w:r>
          </w:p>
        </w:tc>
        <w:tc>
          <w:tcPr>
            <w:tcW w:type="dxa" w:w="1746"/>
          </w:tcPr>
          <w:p>
            <w:r/>
            <w:r>
              <w:rPr>
                <w:b w:val="0"/>
                <w:i w:val="0"/>
                <w:sz w:val="15"/>
              </w:rPr>
              <w:t>Dividend yield</w:t>
            </w:r>
          </w:p>
        </w:tc>
        <w:tc>
          <w:tcPr>
            <w:tcW w:type="dxa" w:w="1135"/>
          </w:tcPr>
          <w:p>
            <w:r/>
            <w:r>
              <w:rPr>
                <w:b w:val="0"/>
                <w:i w:val="0"/>
                <w:sz w:val="15"/>
              </w:rPr>
              <w:t>1.8%</w:t>
            </w:r>
          </w:p>
        </w:tc>
        <w:tc>
          <w:tcPr>
            <w:tcW w:type="dxa" w:w="1135"/>
          </w:tcPr>
          <w:p>
            <w:r/>
            <w:r>
              <w:rPr>
                <w:b w:val="0"/>
                <w:i w:val="0"/>
                <w:sz w:val="15"/>
              </w:rPr>
              <w:t>2.0%</w:t>
            </w:r>
          </w:p>
        </w:tc>
        <w:tc>
          <w:tcPr>
            <w:tcW w:type="dxa" w:w="1135"/>
          </w:tcPr>
          <w:p>
            <w:r/>
            <w:r>
              <w:rPr>
                <w:b w:val="0"/>
                <w:i w:val="0"/>
                <w:sz w:val="15"/>
              </w:rPr>
              <w:t>2.1%</w:t>
            </w:r>
          </w:p>
        </w:tc>
      </w:tr>
      <w:tr>
        <w:tc>
          <w:tcPr>
            <w:tcW w:type="dxa" w:w="2619"/>
            <w:shd w:val="clear" w:color="auto" w:fill="F1F3F7"/>
          </w:tcPr>
          <w:p>
            <w:r/>
            <w:r>
              <w:rPr>
                <w:b w:val="0"/>
                <w:i w:val="0"/>
                <w:sz w:val="15"/>
              </w:rPr>
              <w:t>Enterprise value (e)</w:t>
            </w:r>
          </w:p>
        </w:tc>
        <w:tc>
          <w:tcPr>
            <w:tcW w:type="dxa" w:w="2095"/>
            <w:shd w:val="clear" w:color="auto" w:fill="F1F3F7"/>
          </w:tcPr>
          <w:p>
            <w:r/>
            <w:r>
              <w:rPr>
                <w:b w:val="0"/>
                <w:i w:val="0"/>
                <w:sz w:val="15"/>
              </w:rPr>
              <w:t>~¥937bn</w:t>
            </w:r>
          </w:p>
        </w:tc>
        <w:tc>
          <w:tcPr>
            <w:tcW w:type="dxa" w:w="1746"/>
            <w:shd w:val="clear" w:color="auto" w:fill="F1F3F7"/>
          </w:tcPr>
          <w:p>
            <w:r/>
            <w:r>
              <w:rPr>
                <w:b w:val="0"/>
                <w:i w:val="0"/>
                <w:sz w:val="15"/>
              </w:rPr>
              <w:t>Net debt/EBITDA</w:t>
            </w:r>
          </w:p>
        </w:tc>
        <w:tc>
          <w:tcPr>
            <w:tcW w:type="dxa" w:w="1135"/>
            <w:shd w:val="clear" w:color="auto" w:fill="F1F3F7"/>
          </w:tcPr>
          <w:p>
            <w:r/>
            <w:r>
              <w:rPr>
                <w:b w:val="0"/>
                <w:i w:val="0"/>
                <w:sz w:val="15"/>
              </w:rPr>
              <w:t>-0.7x</w:t>
            </w:r>
          </w:p>
        </w:tc>
        <w:tc>
          <w:tcPr>
            <w:tcW w:type="dxa" w:w="1135"/>
            <w:shd w:val="clear" w:color="auto" w:fill="F1F3F7"/>
          </w:tcPr>
          <w:p>
            <w:r/>
            <w:r>
              <w:rPr>
                <w:b w:val="0"/>
                <w:i w:val="0"/>
                <w:sz w:val="15"/>
              </w:rPr>
              <w:t>-0.7x</w:t>
            </w:r>
          </w:p>
        </w:tc>
        <w:tc>
          <w:tcPr>
            <w:tcW w:type="dxa" w:w="1135"/>
            <w:shd w:val="clear" w:color="auto" w:fill="F1F3F7"/>
          </w:tcPr>
          <w:p>
            <w:r/>
            <w:r>
              <w:rPr>
                <w:b w:val="0"/>
                <w:i w:val="0"/>
                <w:sz w:val="15"/>
              </w:rPr>
              <w:t>-0.7x</w:t>
            </w:r>
          </w:p>
        </w:tc>
      </w:tr>
      <w:tr>
        <w:tc>
          <w:tcPr>
            <w:tcW w:type="dxa" w:w="2619"/>
          </w:tcPr>
          <w:p>
            <w:r/>
            <w:r>
              <w:rPr>
                <w:b w:val="0"/>
                <w:i w:val="0"/>
                <w:sz w:val="15"/>
              </w:rPr>
              <w:t>Consensus target (8 analysts)</w:t>
            </w:r>
          </w:p>
        </w:tc>
        <w:tc>
          <w:tcPr>
            <w:tcW w:type="dxa" w:w="2095"/>
          </w:tcPr>
          <w:p>
            <w:r/>
            <w:r>
              <w:rPr>
                <w:b w:val="0"/>
                <w:i w:val="0"/>
                <w:sz w:val="15"/>
              </w:rPr>
              <w:t>~¥7,785–7,955</w:t>
            </w:r>
          </w:p>
        </w:tc>
        <w:tc>
          <w:tcPr>
            <w:tcW w:type="dxa" w:w="1746"/>
          </w:tcPr>
          <w:p>
            <w:r/>
            <w:r>
              <w:rPr>
                <w:b w:val="0"/>
                <w:i w:val="0"/>
                <w:sz w:val="15"/>
              </w:rPr>
              <w:t>ROE</w:t>
            </w:r>
          </w:p>
        </w:tc>
        <w:tc>
          <w:tcPr>
            <w:tcW w:type="dxa" w:w="1135"/>
          </w:tcPr>
          <w:p>
            <w:r/>
            <w:r>
              <w:rPr>
                <w:b w:val="0"/>
                <w:i w:val="0"/>
                <w:sz w:val="15"/>
              </w:rPr>
              <w:t>7.7%</w:t>
            </w:r>
          </w:p>
        </w:tc>
        <w:tc>
          <w:tcPr>
            <w:tcW w:type="dxa" w:w="1135"/>
          </w:tcPr>
          <w:p>
            <w:r/>
            <w:r>
              <w:rPr>
                <w:b w:val="0"/>
                <w:i w:val="0"/>
                <w:sz w:val="15"/>
              </w:rPr>
              <w:t>~8.6%</w:t>
            </w:r>
          </w:p>
        </w:tc>
        <w:tc>
          <w:tcPr>
            <w:tcW w:type="dxa" w:w="1135"/>
          </w:tcPr>
          <w:p>
            <w:r/>
            <w:r>
              <w:rPr>
                <w:b w:val="0"/>
                <w:i w:val="0"/>
                <w:sz w:val="15"/>
              </w:rPr>
              <w:t>~10.3%</w:t>
            </w:r>
          </w:p>
        </w:tc>
      </w:tr>
    </w:tbl>
    <w:p>
      <w:r>
        <w:rPr>
          <w:b w:val="0"/>
          <w:i/>
          <w:color w:val="5E6878"/>
          <w:sz w:val="14"/>
        </w:rPr>
        <w:t>Sources: company filings (FY3/26 results 30 Apr 2026; Q1 FY3/27 31 Jul 2026), Kabuyoho/Minkabu/TipRanks consensus; FY3/27E–FY3/28E are our estimates. (e) = estimate, balance sheet not directly verified — see Data Notes.</w:t>
      </w:r>
    </w:p>
    <w:p>
      <w:pPr>
        <w:pStyle w:val="Heading2"/>
      </w:pPr>
      <w:r>
        <w:t>Thesis in five points</w:t>
      </w:r>
    </w:p>
    <w:p>
      <w:pPr>
        <w:pStyle w:val="ListBullet"/>
        <w:spacing w:after="20"/>
      </w:pPr>
      <w:r>
        <w:rPr>
          <w:b/>
          <w:i w:val="0"/>
        </w:rPr>
        <w:t>Hidden compounder inside a mature franchise.</w:t>
      </w:r>
      <w:r>
        <w:rPr>
          <w:b w:val="0"/>
          <w:i w:val="0"/>
        </w:rPr>
        <w:t xml:space="preserve"> Ceramics OP has grown from ~¥9bn (FY3/22e) to ¥28.9bn (FY3/26) and is guided to ~58% of group OP in FY3/27. Replacement demand (~80% of segment sales per Palliser) and Lam Research's cryo-etch installed base (expected to triple in 3–5 years) underpin a multi-year growth runway; capacity +20% from Jan 2027 (Buzen) and a ~¥30bn (FY28) / reported ~¥80bn (5-year) investment programme.</w:t>
      </w:r>
    </w:p>
    <w:p>
      <w:pPr>
        <w:pStyle w:val="ListBullet"/>
        <w:spacing w:after="20"/>
      </w:pPr>
      <w:r>
        <w:rPr>
          <w:b/>
          <w:i w:val="0"/>
        </w:rPr>
        <w:t>Housing at a cyclical and structural trough, with self-help.</w:t>
      </w:r>
      <w:r>
        <w:rPr>
          <w:b w:val="0"/>
          <w:i w:val="0"/>
        </w:rPr>
        <w:t xml:space="preserve"> Japan new-build starts fell 12.9% in FY2025 to ~711k; China lost ¥6.9bn in FY3/26. But two China plants are closed (~¥7bn profit improvement targeted for FY3/27), US capacity +150% (Georgia), and an 8–13% Japan price increase lands 1 Dec 2026 — the largest in a decade.</w:t>
      </w:r>
    </w:p>
    <w:p>
      <w:pPr>
        <w:pStyle w:val="ListBullet"/>
        <w:spacing w:after="20"/>
      </w:pPr>
      <w:r>
        <w:rPr>
          <w:b/>
          <w:i w:val="0"/>
        </w:rPr>
        <w:t>Activist has already won the first round.</w:t>
      </w:r>
      <w:r>
        <w:rPr>
          <w:b w:val="0"/>
          <w:i w:val="0"/>
        </w:rPr>
        <w:t xml:space="preserve"> Palliser Capital (Feb 2026) asked for ceramics disclosure, more ceramics investment, housing/China restructuring and capital efficiency. TOTO adopted the substance on 30 Apr 2026 (Palliser statement, 7 May 2026). Round two — cross-shareholding sell-down, excess cash, balance-sheet efficiency (equity ratio 63.8%) — is the likely content of the next mid-term plan (STAGE3, ~Apr 2027).</w:t>
      </w:r>
    </w:p>
    <w:p>
      <w:pPr>
        <w:pStyle w:val="ListBullet"/>
        <w:spacing w:after="20"/>
      </w:pPr>
      <w:r>
        <w:rPr>
          <w:b/>
          <w:i w:val="0"/>
        </w:rPr>
        <w:t>Valuation reset.</w:t>
      </w:r>
      <w:r>
        <w:rPr>
          <w:b w:val="0"/>
          <w:i w:val="0"/>
        </w:rPr>
        <w:t xml:space="preserve"> At ¥6,097 the market implies ~¥615bn for ceramics (≈19x FY3/27E EBIT, ~15x FY3/28E) if housing is valued on the peer margin regression — not demanding for a ~43%-margin, sole/dual-source semiconductor consumable versus NGK Insulators at 22x forward P/E.</w:t>
      </w:r>
    </w:p>
    <w:p>
      <w:pPr>
        <w:pStyle w:val="ListBullet"/>
        <w:spacing w:after="20"/>
      </w:pPr>
      <w:r>
        <w:rPr>
          <w:b/>
          <w:i w:val="0"/>
        </w:rPr>
        <w:t>The bear case is real and cyclical, not existential.</w:t>
      </w:r>
      <w:r>
        <w:rPr>
          <w:b w:val="0"/>
          <w:i w:val="0"/>
        </w:rPr>
        <w:t xml:space="preserve"> FY3/24 showed ceramics OP can fall ~35% in a memory capex downturn; customer concentration (Lam) is high; Q1 FY3/27 showed shipment lumpiness. Our bear value of ~¥3,500 reflects a full memory downturn plus housing de-rating.</w:t>
      </w:r>
    </w:p>
    <w:p>
      <w:pPr>
        <w:pStyle w:val="Heading2"/>
      </w:pPr>
      <w:r>
        <w:t>What has to go right / what would make us wrong</w:t>
      </w:r>
    </w:p>
    <w:tbl>
      <w:tblPr>
        <w:tblStyle w:val="TableGrid"/>
        <w:tblW w:type="auto" w:w="0"/>
        <w:jc w:val="center"/>
        <w:tblLayout w:type="fixed"/>
        <w:tblLook w:firstColumn="1" w:firstRow="1" w:lastColumn="0" w:lastRow="0" w:noHBand="0" w:noVBand="1" w:val="04A0"/>
      </w:tblPr>
      <w:tblGrid>
        <w:gridCol w:w="4933"/>
        <w:gridCol w:w="4933"/>
      </w:tblGrid>
      <w:tr>
        <w:tc>
          <w:tcPr>
            <w:tcW w:type="dxa" w:w="4932"/>
            <w:shd w:val="clear" w:color="auto" w:fill="16243D"/>
          </w:tcPr>
          <w:p>
            <w:r/>
            <w:r>
              <w:rPr>
                <w:b/>
                <w:i w:val="0"/>
                <w:color w:val="FFFFFF"/>
                <w:sz w:val="15"/>
              </w:rPr>
              <w:t>Must go right (next 2–3 quarters)</w:t>
            </w:r>
          </w:p>
        </w:tc>
        <w:tc>
          <w:tcPr>
            <w:tcW w:type="dxa" w:w="4932"/>
            <w:shd w:val="clear" w:color="auto" w:fill="16243D"/>
          </w:tcPr>
          <w:p>
            <w:r/>
            <w:r>
              <w:rPr>
                <w:b/>
                <w:i w:val="0"/>
                <w:color w:val="FFFFFF"/>
                <w:sz w:val="15"/>
              </w:rPr>
              <w:t>Would change our view</w:t>
            </w:r>
          </w:p>
        </w:tc>
      </w:tr>
      <w:tr>
        <w:tc>
          <w:tcPr>
            <w:tcW w:type="dxa" w:w="4932"/>
          </w:tcPr>
          <w:p>
            <w:r/>
            <w:r>
              <w:rPr>
                <w:b w:val="0"/>
                <w:i w:val="0"/>
                <w:sz w:val="15"/>
              </w:rPr>
              <w:t>H1 FY3/27 (~30 Oct 2026) shows Q1 ESC shipment slip was timing, ceramics H1 OP ≥ ¥15bn</w:t>
            </w:r>
          </w:p>
        </w:tc>
        <w:tc>
          <w:tcPr>
            <w:tcW w:type="dxa" w:w="4932"/>
          </w:tcPr>
          <w:p>
            <w:r/>
            <w:r>
              <w:rPr>
                <w:b w:val="0"/>
                <w:i w:val="0"/>
                <w:sz w:val="15"/>
              </w:rPr>
              <w:t>Ceramics H1 OP down y/y with no customer-timing explanation; guidance for ceramics sales (¥85.5bn) cut</w:t>
            </w:r>
          </w:p>
        </w:tc>
      </w:tr>
      <w:tr>
        <w:tc>
          <w:tcPr>
            <w:tcW w:type="dxa" w:w="4932"/>
            <w:shd w:val="clear" w:color="auto" w:fill="F1F3F7"/>
          </w:tcPr>
          <w:p>
            <w:r/>
            <w:r>
              <w:rPr>
                <w:b w:val="0"/>
                <w:i w:val="0"/>
                <w:sz w:val="15"/>
              </w:rPr>
              <w:t>China returns to near break-even as plant closures flow through</w:t>
            </w:r>
          </w:p>
        </w:tc>
        <w:tc>
          <w:tcPr>
            <w:tcW w:type="dxa" w:w="4932"/>
            <w:shd w:val="clear" w:color="auto" w:fill="F1F3F7"/>
          </w:tcPr>
          <w:p>
            <w:r/>
            <w:r>
              <w:rPr>
                <w:b w:val="0"/>
                <w:i w:val="0"/>
                <w:sz w:val="15"/>
              </w:rPr>
              <w:t>China losses persist beyond FY3/27, implying further impairment</w:t>
            </w:r>
          </w:p>
        </w:tc>
      </w:tr>
      <w:tr>
        <w:tc>
          <w:tcPr>
            <w:tcW w:type="dxa" w:w="4932"/>
          </w:tcPr>
          <w:p>
            <w:r/>
            <w:r>
              <w:rPr>
                <w:b w:val="0"/>
                <w:i w:val="0"/>
                <w:sz w:val="15"/>
              </w:rPr>
              <w:t>Dec 2026 Japan price hike sticks (TOTO ~60% toilet share; LIXIL follows)</w:t>
            </w:r>
          </w:p>
        </w:tc>
        <w:tc>
          <w:tcPr>
            <w:tcW w:type="dxa" w:w="4932"/>
          </w:tcPr>
          <w:p>
            <w:r/>
            <w:r>
              <w:rPr>
                <w:b w:val="0"/>
                <w:i w:val="0"/>
                <w:sz w:val="15"/>
              </w:rPr>
              <w:t>Volume loss &gt; price; LIXIL/Panasonic do not follow</w:t>
            </w:r>
          </w:p>
        </w:tc>
      </w:tr>
      <w:tr>
        <w:tc>
          <w:tcPr>
            <w:tcW w:type="dxa" w:w="4932"/>
            <w:shd w:val="clear" w:color="auto" w:fill="F1F3F7"/>
          </w:tcPr>
          <w:p>
            <w:r/>
            <w:r>
              <w:rPr>
                <w:b w:val="0"/>
                <w:i w:val="0"/>
                <w:sz w:val="15"/>
              </w:rPr>
              <w:t>STAGE3 plan (Apr 2027) adds capital-allocation targets: ROE ≥10–12%, cross-holding exit, buybacks</w:t>
            </w:r>
          </w:p>
        </w:tc>
        <w:tc>
          <w:tcPr>
            <w:tcW w:type="dxa" w:w="4932"/>
            <w:shd w:val="clear" w:color="auto" w:fill="F1F3F7"/>
          </w:tcPr>
          <w:p>
            <w:r/>
            <w:r>
              <w:rPr>
                <w:b w:val="0"/>
                <w:i w:val="0"/>
                <w:sz w:val="15"/>
              </w:rPr>
              <w:t>Cash hoarded, no ROE/cross-holding targets; Palliser disengages</w:t>
            </w:r>
          </w:p>
        </w:tc>
      </w:tr>
      <w:tr>
        <w:tc>
          <w:tcPr>
            <w:tcW w:type="dxa" w:w="4932"/>
          </w:tcPr>
          <w:p>
            <w:r/>
            <w:r>
              <w:rPr>
                <w:b w:val="0"/>
                <w:i w:val="0"/>
                <w:sz w:val="15"/>
              </w:rPr>
              <w:t>NAND WFE continues to recover (GS: $11bn/15bn/22bn for 2026/27/28)</w:t>
            </w:r>
          </w:p>
        </w:tc>
        <w:tc>
          <w:tcPr>
            <w:tcW w:type="dxa" w:w="4932"/>
          </w:tcPr>
          <w:p>
            <w:r/>
            <w:r>
              <w:rPr>
                <w:b w:val="0"/>
                <w:i w:val="0"/>
                <w:sz w:val="15"/>
              </w:rPr>
              <w:t>Memory capex cut; TEL cryo-etch wins displace Lam/TOTO</w:t>
            </w:r>
          </w:p>
        </w:tc>
      </w:tr>
    </w:tbl>
    <w:p/>
    <w:p>
      <w:pPr>
        <w:pStyle w:val="Heading1"/>
      </w:pPr>
      <w:r>
        <w:t>2. Layman's Guide: What TOTO Does and How It Makes Money</w:t>
      </w:r>
    </w:p>
    <w:p>
      <w:pPr>
        <w:spacing w:after="80"/>
      </w:pPr>
      <w:r>
        <w:rPr>
          <w:b/>
          <w:i w:val="0"/>
        </w:rPr>
        <w:t>In one sentence:</w:t>
      </w:r>
      <w:r>
        <w:rPr>
          <w:b w:val="0"/>
          <w:i w:val="0"/>
        </w:rPr>
        <w:t xml:space="preserve"> TOTO makes the toilets, heated "Washlet" bidet seats, taps, bathtubs and vanity units that sit in roughly six out of ten Japanese bathrooms — and, in a small but very profitable side business, makes ultra-precise ceramic "chucks" that hold silicon wafers in place inside the machines that etch memory chips.</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c>
          <w:tcPr>
            <w:tcW w:type="dxa" w:w="1695"/>
            <w:shd w:val="clear" w:color="auto" w:fill="16243D"/>
          </w:tcPr>
          <w:p>
            <w:r/>
            <w:r>
              <w:rPr>
                <w:b/>
                <w:i w:val="0"/>
                <w:color w:val="FFFFFF"/>
                <w:sz w:val="15"/>
              </w:rPr>
              <w:t>Division</w:t>
            </w:r>
          </w:p>
        </w:tc>
        <w:tc>
          <w:tcPr>
            <w:tcW w:type="dxa" w:w="2774"/>
            <w:shd w:val="clear" w:color="auto" w:fill="16243D"/>
          </w:tcPr>
          <w:p>
            <w:r/>
            <w:r>
              <w:rPr>
                <w:b/>
                <w:i w:val="0"/>
                <w:color w:val="FFFFFF"/>
                <w:sz w:val="15"/>
              </w:rPr>
              <w:t>What it sells</w:t>
            </w:r>
          </w:p>
        </w:tc>
        <w:tc>
          <w:tcPr>
            <w:tcW w:type="dxa" w:w="2312"/>
            <w:shd w:val="clear" w:color="auto" w:fill="16243D"/>
          </w:tcPr>
          <w:p>
            <w:r/>
            <w:r>
              <w:rPr>
                <w:b/>
                <w:i w:val="0"/>
                <w:color w:val="FFFFFF"/>
                <w:sz w:val="15"/>
              </w:rPr>
              <w:t>Who pays</w:t>
            </w:r>
          </w:p>
        </w:tc>
        <w:tc>
          <w:tcPr>
            <w:tcW w:type="dxa" w:w="1156"/>
            <w:shd w:val="clear" w:color="auto" w:fill="16243D"/>
          </w:tcPr>
          <w:p>
            <w:r/>
            <w:r>
              <w:rPr>
                <w:b/>
                <w:i w:val="0"/>
                <w:color w:val="FFFFFF"/>
                <w:sz w:val="15"/>
              </w:rPr>
              <w:t>FY3/26 sales</w:t>
            </w:r>
          </w:p>
        </w:tc>
        <w:tc>
          <w:tcPr>
            <w:tcW w:type="dxa" w:w="1156"/>
            <w:shd w:val="clear" w:color="auto" w:fill="16243D"/>
          </w:tcPr>
          <w:p>
            <w:r/>
            <w:r>
              <w:rPr>
                <w:b/>
                <w:i w:val="0"/>
                <w:color w:val="FFFFFF"/>
                <w:sz w:val="15"/>
              </w:rPr>
              <w:t>FY3/26 OP</w:t>
            </w:r>
          </w:p>
        </w:tc>
        <w:tc>
          <w:tcPr>
            <w:tcW w:type="dxa" w:w="771"/>
            <w:shd w:val="clear" w:color="auto" w:fill="16243D"/>
          </w:tcPr>
          <w:p>
            <w:r/>
            <w:r>
              <w:rPr>
                <w:b/>
                <w:i w:val="0"/>
                <w:color w:val="FFFFFF"/>
                <w:sz w:val="15"/>
              </w:rPr>
              <w:t>Share of OP</w:t>
            </w:r>
          </w:p>
        </w:tc>
      </w:tr>
      <w:tr>
        <w:tc>
          <w:tcPr>
            <w:tcW w:type="dxa" w:w="1695"/>
          </w:tcPr>
          <w:p>
            <w:r/>
            <w:r>
              <w:rPr>
                <w:b w:val="0"/>
                <w:i w:val="0"/>
                <w:sz w:val="15"/>
              </w:rPr>
              <w:t>Japan Housing Equipment</w:t>
            </w:r>
          </w:p>
        </w:tc>
        <w:tc>
          <w:tcPr>
            <w:tcW w:type="dxa" w:w="2774"/>
          </w:tcPr>
          <w:p>
            <w:r/>
            <w:r>
              <w:rPr>
                <w:b w:val="0"/>
                <w:i w:val="0"/>
                <w:sz w:val="15"/>
              </w:rPr>
              <w:t>Toilets, Washlet, unit baths, kitchens, vanities, faucets; ~72% is remodelling/replacement</w:t>
            </w:r>
          </w:p>
        </w:tc>
        <w:tc>
          <w:tcPr>
            <w:tcW w:type="dxa" w:w="2312"/>
          </w:tcPr>
          <w:p>
            <w:r/>
            <w:r>
              <w:rPr>
                <w:b w:val="0"/>
                <w:i w:val="0"/>
                <w:sz w:val="15"/>
              </w:rPr>
              <w:t>Plumbing wholesalers → contractors, homebuilders, remodelers, homeowners</w:t>
            </w:r>
          </w:p>
        </w:tc>
        <w:tc>
          <w:tcPr>
            <w:tcW w:type="dxa" w:w="1156"/>
          </w:tcPr>
          <w:p>
            <w:r/>
            <w:r>
              <w:rPr>
                <w:b w:val="0"/>
                <w:i w:val="0"/>
                <w:sz w:val="15"/>
              </w:rPr>
              <w:t>¥479.7bn (65%)</w:t>
            </w:r>
          </w:p>
        </w:tc>
        <w:tc>
          <w:tcPr>
            <w:tcW w:type="dxa" w:w="1156"/>
          </w:tcPr>
          <w:p>
            <w:r/>
            <w:r>
              <w:rPr>
                <w:b w:val="0"/>
                <w:i w:val="0"/>
                <w:sz w:val="15"/>
              </w:rPr>
              <w:t>¥20.3bn (4.2%)</w:t>
            </w:r>
          </w:p>
        </w:tc>
        <w:tc>
          <w:tcPr>
            <w:tcW w:type="dxa" w:w="771"/>
          </w:tcPr>
          <w:p>
            <w:r/>
            <w:r>
              <w:rPr>
                <w:b w:val="0"/>
                <w:i w:val="0"/>
                <w:sz w:val="15"/>
              </w:rPr>
              <w:t>~36%</w:t>
            </w:r>
          </w:p>
        </w:tc>
      </w:tr>
      <w:tr>
        <w:tc>
          <w:tcPr>
            <w:tcW w:type="dxa" w:w="1695"/>
            <w:shd w:val="clear" w:color="auto" w:fill="F1F3F7"/>
          </w:tcPr>
          <w:p>
            <w:r/>
            <w:r>
              <w:rPr>
                <w:b w:val="0"/>
                <w:i w:val="0"/>
                <w:sz w:val="15"/>
              </w:rPr>
              <w:t>Overseas Housing – China</w:t>
            </w:r>
          </w:p>
        </w:tc>
        <w:tc>
          <w:tcPr>
            <w:tcW w:type="dxa" w:w="2774"/>
            <w:shd w:val="clear" w:color="auto" w:fill="F1F3F7"/>
          </w:tcPr>
          <w:p>
            <w:r/>
            <w:r>
              <w:rPr>
                <w:b w:val="0"/>
                <w:i w:val="0"/>
                <w:sz w:val="15"/>
              </w:rPr>
              <w:t>Premium toilets/Washlet in mainland China</w:t>
            </w:r>
          </w:p>
        </w:tc>
        <w:tc>
          <w:tcPr>
            <w:tcW w:type="dxa" w:w="2312"/>
            <w:shd w:val="clear" w:color="auto" w:fill="F1F3F7"/>
          </w:tcPr>
          <w:p>
            <w:r/>
            <w:r>
              <w:rPr>
                <w:b w:val="0"/>
                <w:i w:val="0"/>
                <w:sz w:val="15"/>
              </w:rPr>
              <w:t>Distributors, developers</w:t>
            </w:r>
          </w:p>
        </w:tc>
        <w:tc>
          <w:tcPr>
            <w:tcW w:type="dxa" w:w="1156"/>
            <w:shd w:val="clear" w:color="auto" w:fill="F1F3F7"/>
          </w:tcPr>
          <w:p>
            <w:r/>
            <w:r>
              <w:rPr>
                <w:b w:val="0"/>
                <w:i w:val="0"/>
                <w:sz w:val="15"/>
              </w:rPr>
              <w:t>¥53.8bn (7%)</w:t>
            </w:r>
          </w:p>
        </w:tc>
        <w:tc>
          <w:tcPr>
            <w:tcW w:type="dxa" w:w="1156"/>
            <w:shd w:val="clear" w:color="auto" w:fill="F1F3F7"/>
          </w:tcPr>
          <w:p>
            <w:r/>
            <w:r>
              <w:rPr>
                <w:b w:val="0"/>
                <w:i w:val="0"/>
                <w:sz w:val="15"/>
              </w:rPr>
              <w:t>-¥6.9bn</w:t>
            </w:r>
          </w:p>
        </w:tc>
        <w:tc>
          <w:tcPr>
            <w:tcW w:type="dxa" w:w="771"/>
            <w:shd w:val="clear" w:color="auto" w:fill="F1F3F7"/>
          </w:tcPr>
          <w:p>
            <w:r/>
            <w:r>
              <w:rPr>
                <w:b w:val="0"/>
                <w:i w:val="0"/>
                <w:sz w:val="15"/>
              </w:rPr>
              <w:t>loss</w:t>
            </w:r>
          </w:p>
        </w:tc>
      </w:tr>
      <w:tr>
        <w:tc>
          <w:tcPr>
            <w:tcW w:type="dxa" w:w="1695"/>
          </w:tcPr>
          <w:p>
            <w:r/>
            <w:r>
              <w:rPr>
                <w:b w:val="0"/>
                <w:i w:val="0"/>
                <w:sz w:val="15"/>
              </w:rPr>
              <w:t>Overseas Housing – Americas</w:t>
            </w:r>
          </w:p>
        </w:tc>
        <w:tc>
          <w:tcPr>
            <w:tcW w:type="dxa" w:w="2774"/>
          </w:tcPr>
          <w:p>
            <w:r/>
            <w:r>
              <w:rPr>
                <w:b w:val="0"/>
                <w:i w:val="0"/>
                <w:sz w:val="15"/>
              </w:rPr>
              <w:t>Washlet, high-end toilets (NEOREST); plants in Georgia (US), Mexico</w:t>
            </w:r>
          </w:p>
        </w:tc>
        <w:tc>
          <w:tcPr>
            <w:tcW w:type="dxa" w:w="2312"/>
          </w:tcPr>
          <w:p>
            <w:r/>
            <w:r>
              <w:rPr>
                <w:b w:val="0"/>
                <w:i w:val="0"/>
                <w:sz w:val="15"/>
              </w:rPr>
              <w:t>Plumbing distributors, showrooms, retail</w:t>
            </w:r>
          </w:p>
        </w:tc>
        <w:tc>
          <w:tcPr>
            <w:tcW w:type="dxa" w:w="1156"/>
          </w:tcPr>
          <w:p>
            <w:r/>
            <w:r>
              <w:rPr>
                <w:b w:val="0"/>
                <w:i w:val="0"/>
                <w:sz w:val="15"/>
              </w:rPr>
              <w:t>¥75.6bn (10%)</w:t>
            </w:r>
          </w:p>
        </w:tc>
        <w:tc>
          <w:tcPr>
            <w:tcW w:type="dxa" w:w="1156"/>
          </w:tcPr>
          <w:p>
            <w:r/>
            <w:r>
              <w:rPr>
                <w:b w:val="0"/>
                <w:i w:val="0"/>
                <w:sz w:val="15"/>
              </w:rPr>
              <w:t>~¥4.7bn</w:t>
            </w:r>
          </w:p>
        </w:tc>
        <w:tc>
          <w:tcPr>
            <w:tcW w:type="dxa" w:w="771"/>
          </w:tcPr>
          <w:p>
            <w:r/>
            <w:r>
              <w:rPr>
                <w:b w:val="0"/>
                <w:i w:val="0"/>
                <w:sz w:val="15"/>
              </w:rPr>
              <w:t>~8%</w:t>
            </w:r>
          </w:p>
        </w:tc>
      </w:tr>
      <w:tr>
        <w:tc>
          <w:tcPr>
            <w:tcW w:type="dxa" w:w="1695"/>
            <w:shd w:val="clear" w:color="auto" w:fill="F1F3F7"/>
          </w:tcPr>
          <w:p>
            <w:r/>
            <w:r>
              <w:rPr>
                <w:b w:val="0"/>
                <w:i w:val="0"/>
                <w:sz w:val="15"/>
              </w:rPr>
              <w:t>Overseas Housing – Asia/Oceania</w:t>
            </w:r>
          </w:p>
        </w:tc>
        <w:tc>
          <w:tcPr>
            <w:tcW w:type="dxa" w:w="2774"/>
            <w:shd w:val="clear" w:color="auto" w:fill="F1F3F7"/>
          </w:tcPr>
          <w:p>
            <w:r/>
            <w:r>
              <w:rPr>
                <w:b w:val="0"/>
                <w:i w:val="0"/>
                <w:sz w:val="15"/>
              </w:rPr>
              <w:t>Sanitary ware, faucets; Vietnam, Thailand, India plants</w:t>
            </w:r>
          </w:p>
        </w:tc>
        <w:tc>
          <w:tcPr>
            <w:tcW w:type="dxa" w:w="2312"/>
            <w:shd w:val="clear" w:color="auto" w:fill="F1F3F7"/>
          </w:tcPr>
          <w:p>
            <w:r/>
            <w:r>
              <w:rPr>
                <w:b w:val="0"/>
                <w:i w:val="0"/>
                <w:sz w:val="15"/>
              </w:rPr>
              <w:t>Distributors, hotels, developers</w:t>
            </w:r>
          </w:p>
        </w:tc>
        <w:tc>
          <w:tcPr>
            <w:tcW w:type="dxa" w:w="1156"/>
            <w:shd w:val="clear" w:color="auto" w:fill="F1F3F7"/>
          </w:tcPr>
          <w:p>
            <w:r/>
            <w:r>
              <w:rPr>
                <w:b w:val="0"/>
                <w:i w:val="0"/>
                <w:sz w:val="15"/>
              </w:rPr>
              <w:t>¥54.9bn (7%)</w:t>
            </w:r>
          </w:p>
        </w:tc>
        <w:tc>
          <w:tcPr>
            <w:tcW w:type="dxa" w:w="1156"/>
            <w:shd w:val="clear" w:color="auto" w:fill="F1F3F7"/>
          </w:tcPr>
          <w:p>
            <w:r/>
            <w:r>
              <w:rPr>
                <w:b w:val="0"/>
                <w:i w:val="0"/>
                <w:sz w:val="15"/>
              </w:rPr>
              <w:t>¥10.2bn</w:t>
            </w:r>
          </w:p>
        </w:tc>
        <w:tc>
          <w:tcPr>
            <w:tcW w:type="dxa" w:w="771"/>
            <w:shd w:val="clear" w:color="auto" w:fill="F1F3F7"/>
          </w:tcPr>
          <w:p>
            <w:r/>
            <w:r>
              <w:rPr>
                <w:b w:val="0"/>
                <w:i w:val="0"/>
                <w:sz w:val="15"/>
              </w:rPr>
              <w:t>~18%</w:t>
            </w:r>
          </w:p>
        </w:tc>
      </w:tr>
      <w:tr>
        <w:tc>
          <w:tcPr>
            <w:tcW w:type="dxa" w:w="1695"/>
          </w:tcPr>
          <w:p>
            <w:r/>
            <w:r>
              <w:rPr>
                <w:b w:val="0"/>
                <w:i w:val="0"/>
                <w:sz w:val="15"/>
              </w:rPr>
              <w:t>Advanced Ceramics (New Domain)</w:t>
            </w:r>
          </w:p>
        </w:tc>
        <w:tc>
          <w:tcPr>
            <w:tcW w:type="dxa" w:w="2774"/>
          </w:tcPr>
          <w:p>
            <w:r/>
            <w:r>
              <w:rPr>
                <w:b w:val="0"/>
                <w:i w:val="0"/>
                <w:sz w:val="15"/>
              </w:rPr>
              <w:t>Electrostatic chucks (ESCs) for 3D NAND cryo-etch; aerosol-deposition chamber parts; LCD parts</w:t>
            </w:r>
          </w:p>
        </w:tc>
        <w:tc>
          <w:tcPr>
            <w:tcW w:type="dxa" w:w="2312"/>
          </w:tcPr>
          <w:p>
            <w:r/>
            <w:r>
              <w:rPr>
                <w:b w:val="0"/>
                <w:i w:val="0"/>
                <w:sz w:val="15"/>
              </w:rPr>
              <w:t>Semiconductor equipment makers — principally Lam Research</w:t>
            </w:r>
          </w:p>
        </w:tc>
        <w:tc>
          <w:tcPr>
            <w:tcW w:type="dxa" w:w="1156"/>
          </w:tcPr>
          <w:p>
            <w:r/>
            <w:r>
              <w:rPr>
                <w:b w:val="0"/>
                <w:i w:val="0"/>
                <w:sz w:val="15"/>
              </w:rPr>
              <w:t>¥67.4bn (9%)</w:t>
            </w:r>
          </w:p>
        </w:tc>
        <w:tc>
          <w:tcPr>
            <w:tcW w:type="dxa" w:w="1156"/>
          </w:tcPr>
          <w:p>
            <w:r/>
            <w:r>
              <w:rPr>
                <w:b w:val="0"/>
                <w:i w:val="0"/>
                <w:sz w:val="15"/>
              </w:rPr>
              <w:t>¥28.9bn (42.9%)</w:t>
            </w:r>
          </w:p>
        </w:tc>
        <w:tc>
          <w:tcPr>
            <w:tcW w:type="dxa" w:w="771"/>
          </w:tcPr>
          <w:p>
            <w:r/>
            <w:r>
              <w:rPr>
                <w:b w:val="0"/>
                <w:i w:val="0"/>
                <w:sz w:val="15"/>
              </w:rPr>
              <w:t>~51%</w:t>
            </w:r>
          </w:p>
        </w:tc>
      </w:tr>
      <w:tr>
        <w:tc>
          <w:tcPr>
            <w:tcW w:type="dxa" w:w="1695"/>
            <w:shd w:val="clear" w:color="auto" w:fill="F1F3F7"/>
          </w:tcPr>
          <w:p>
            <w:r/>
            <w:r>
              <w:rPr>
                <w:b w:val="0"/>
                <w:i w:val="0"/>
                <w:sz w:val="15"/>
              </w:rPr>
              <w:t>Group</w:t>
            </w:r>
          </w:p>
        </w:tc>
        <w:tc>
          <w:tcPr>
            <w:tcW w:type="dxa" w:w="2774"/>
            <w:shd w:val="clear" w:color="auto" w:fill="F1F3F7"/>
          </w:tcPr>
          <w:p>
            <w:r/>
          </w:p>
        </w:tc>
        <w:tc>
          <w:tcPr>
            <w:tcW w:type="dxa" w:w="2312"/>
            <w:shd w:val="clear" w:color="auto" w:fill="F1F3F7"/>
          </w:tcPr>
          <w:p>
            <w:r/>
          </w:p>
        </w:tc>
        <w:tc>
          <w:tcPr>
            <w:tcW w:type="dxa" w:w="1156"/>
            <w:shd w:val="clear" w:color="auto" w:fill="F1F3F7"/>
          </w:tcPr>
          <w:p>
            <w:r/>
            <w:r>
              <w:rPr>
                <w:b w:val="0"/>
                <w:i w:val="0"/>
                <w:sz w:val="15"/>
              </w:rPr>
              <w:t>¥737.4bn</w:t>
            </w:r>
          </w:p>
        </w:tc>
        <w:tc>
          <w:tcPr>
            <w:tcW w:type="dxa" w:w="1156"/>
            <w:shd w:val="clear" w:color="auto" w:fill="F1F3F7"/>
          </w:tcPr>
          <w:p>
            <w:r/>
            <w:r>
              <w:rPr>
                <w:b w:val="0"/>
                <w:i w:val="0"/>
                <w:sz w:val="15"/>
              </w:rPr>
              <w:t>¥53.8bn (7.3%)</w:t>
            </w:r>
          </w:p>
        </w:tc>
        <w:tc>
          <w:tcPr>
            <w:tcW w:type="dxa" w:w="771"/>
            <w:shd w:val="clear" w:color="auto" w:fill="F1F3F7"/>
          </w:tcPr>
          <w:p>
            <w:r/>
            <w:r>
              <w:rPr>
                <w:b w:val="0"/>
                <w:i w:val="0"/>
                <w:sz w:val="15"/>
              </w:rPr>
              <w:t>100%</w:t>
            </w:r>
          </w:p>
        </w:tc>
      </w:tr>
    </w:tbl>
    <w:p>
      <w:r>
        <w:rPr>
          <w:b w:val="0"/>
          <w:i/>
          <w:color w:val="5E6878"/>
          <w:sz w:val="14"/>
        </w:rPr>
        <w:t>Segment OP before ~¥3bn of corporate costs/eliminations; share computed on segment total ¥56.8bn. China/Americas/Asia from FY3/26 results commentary; "Other overseas" (~¥5.7bn sales) not shown.</w:t>
      </w:r>
    </w:p>
    <w:p>
      <w:pPr>
        <w:pStyle w:val="ListBullet"/>
        <w:spacing w:after="20"/>
      </w:pPr>
      <w:r>
        <w:rPr>
          <w:b/>
          <w:i w:val="0"/>
        </w:rPr>
        <w:t>How the toilet business makes money:</w:t>
      </w:r>
      <w:r>
        <w:rPr>
          <w:b w:val="0"/>
          <w:i w:val="0"/>
        </w:rPr>
        <w:t xml:space="preserve"> a mature, oligopolistic replacement market. Japanese toilets are replaced every ~15–20 years and Washlet seats every ~10; TOTO earns a premium price for brand and reliability, sells through wholesalers on standard trade credit, and supports demand via ~100 showrooms and a network of "Remodel Club" contractors. Margins are thin (~4%) because of high fixed costs, rising materials/labour and a shrinking new-build market.</w:t>
      </w:r>
    </w:p>
    <w:p>
      <w:pPr>
        <w:pStyle w:val="ListBullet"/>
        <w:spacing w:after="20"/>
      </w:pPr>
      <w:r>
        <w:rPr>
          <w:b/>
          <w:i w:val="0"/>
        </w:rPr>
        <w:t>How the ceramics business makes money:</w:t>
      </w:r>
      <w:r>
        <w:rPr>
          <w:b w:val="0"/>
          <w:i w:val="0"/>
        </w:rPr>
        <w:t xml:space="preserve"> an electrostatic chuck is the "table" inside an etch chamber that grips the wafer with static electricity and controls its temperature to within fractions of a degree, at –60°C to –100°C in cryogenic NAND etch. It wears out and is replaced roughly annually, so most revenue is recurring. TOTO has co-developed chucks with Lam Research since ~1990 and is reported to be the #2 global ESC maker; margins are &gt;40%.</w:t>
      </w:r>
    </w:p>
    <w:p>
      <w:pPr>
        <w:pStyle w:val="ListBullet"/>
        <w:spacing w:after="20"/>
      </w:pPr>
      <w:r>
        <w:rPr>
          <w:b/>
          <w:i w:val="0"/>
        </w:rPr>
        <w:t>Why it matters:</w:t>
      </w:r>
      <w:r>
        <w:rPr>
          <w:b w:val="0"/>
          <w:i w:val="0"/>
        </w:rPr>
        <w:t xml:space="preserve"> 9% of sales now produce over half the profit — and the market values those two businesses very differently.</w:t>
      </w:r>
    </w:p>
    <w:p>
      <w:pPr>
        <w:pStyle w:val="Heading1"/>
      </w:pPr>
      <w:r>
        <w:t>3. Historical Share-Price Catalysts (Moves &gt;10%, 2021–2026)</w:t>
      </w:r>
    </w:p>
    <w:p>
      <w:r>
        <w:drawing>
          <wp:inline xmlns:a="http://schemas.openxmlformats.org/drawingml/2006/main" xmlns:pic="http://schemas.openxmlformats.org/drawingml/2006/picture">
            <wp:extent cx="6263999" cy="2750049"/>
            <wp:docPr id="1" name="Picture 1"/>
            <wp:cNvGraphicFramePr>
              <a:graphicFrameLocks noChangeAspect="1"/>
            </wp:cNvGraphicFramePr>
            <a:graphic>
              <a:graphicData uri="http://schemas.openxmlformats.org/drawingml/2006/picture">
                <pic:pic>
                  <pic:nvPicPr>
                    <pic:cNvPr id="0" name="price.png"/>
                    <pic:cNvPicPr/>
                  </pic:nvPicPr>
                  <pic:blipFill>
                    <a:blip r:embed="rId10"/>
                    <a:stretch>
                      <a:fillRect/>
                    </a:stretch>
                  </pic:blipFill>
                  <pic:spPr>
                    <a:xfrm>
                      <a:off x="0" y="0"/>
                      <a:ext cx="6263999" cy="2750049"/>
                    </a:xfrm>
                    <a:prstGeom prst="rect"/>
                  </pic:spPr>
                </pic:pic>
              </a:graphicData>
            </a:graphic>
          </wp:inline>
        </w:drawing>
      </w:r>
    </w:p>
    <w:p>
      <w:r>
        <w:rPr>
          <w:b w:val="0"/>
          <w:i/>
          <w:color w:val="5E6878"/>
          <w:sz w:val="14"/>
        </w:rPr>
        <w:t>TOTO share price, key levels Feb 2021 – Oct 2026 (JPY). Reconstructed from annual OHLC and reported event closes; intermediate points are illustrative.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518"/>
            <w:shd w:val="clear" w:color="auto" w:fill="16243D"/>
          </w:tcPr>
          <w:p>
            <w:r/>
            <w:r>
              <w:rPr>
                <w:b/>
                <w:i w:val="0"/>
                <w:color w:val="FFFFFF"/>
                <w:sz w:val="15"/>
              </w:rPr>
              <w:t>Date</w:t>
            </w:r>
          </w:p>
        </w:tc>
        <w:tc>
          <w:tcPr>
            <w:tcW w:type="dxa" w:w="1626"/>
            <w:shd w:val="clear" w:color="auto" w:fill="16243D"/>
          </w:tcPr>
          <w:p>
            <w:r/>
            <w:r>
              <w:rPr>
                <w:b/>
                <w:i w:val="0"/>
                <w:color w:val="FFFFFF"/>
                <w:sz w:val="15"/>
              </w:rPr>
              <w:t>Move</w:t>
            </w:r>
          </w:p>
        </w:tc>
        <w:tc>
          <w:tcPr>
            <w:tcW w:type="dxa" w:w="4119"/>
            <w:shd w:val="clear" w:color="auto" w:fill="16243D"/>
          </w:tcPr>
          <w:p>
            <w:r/>
            <w:r>
              <w:rPr>
                <w:b/>
                <w:i w:val="0"/>
                <w:color w:val="FFFFFF"/>
                <w:sz w:val="15"/>
              </w:rPr>
              <w:t>Catalyst</w:t>
            </w:r>
          </w:p>
        </w:tc>
        <w:tc>
          <w:tcPr>
            <w:tcW w:type="dxa" w:w="2602"/>
            <w:shd w:val="clear" w:color="auto" w:fill="16243D"/>
          </w:tcPr>
          <w:p>
            <w:r/>
            <w:r>
              <w:rPr>
                <w:b/>
                <w:i w:val="0"/>
                <w:color w:val="FFFFFF"/>
                <w:sz w:val="15"/>
              </w:rPr>
              <w:t>Read-across</w:t>
            </w:r>
          </w:p>
        </w:tc>
      </w:tr>
      <w:tr>
        <w:tc>
          <w:tcPr>
            <w:tcW w:type="dxa" w:w="1518"/>
          </w:tcPr>
          <w:p>
            <w:r/>
            <w:r>
              <w:rPr>
                <w:b w:val="0"/>
                <w:i w:val="0"/>
                <w:sz w:val="15"/>
              </w:rPr>
              <w:t>Feb–Oct 2021</w:t>
            </w:r>
          </w:p>
        </w:tc>
        <w:tc>
          <w:tcPr>
            <w:tcW w:type="dxa" w:w="1626"/>
          </w:tcPr>
          <w:p>
            <w:r/>
            <w:r>
              <w:rPr>
                <w:b w:val="0"/>
                <w:i w:val="0"/>
                <w:sz w:val="15"/>
              </w:rPr>
              <w:t>¥7,380 → ¥4,995 (-32%)</w:t>
            </w:r>
          </w:p>
        </w:tc>
        <w:tc>
          <w:tcPr>
            <w:tcW w:type="dxa" w:w="4119"/>
          </w:tcPr>
          <w:p>
            <w:r/>
            <w:r>
              <w:rPr>
                <w:b w:val="0"/>
                <w:i w:val="0"/>
                <w:sz w:val="15"/>
              </w:rPr>
              <w:t>Post-COVID housing peak unwinds; Evergrande/China property contagion fears (Nikkei: "TOTO plunges on China risk")</w:t>
            </w:r>
          </w:p>
        </w:tc>
        <w:tc>
          <w:tcPr>
            <w:tcW w:type="dxa" w:w="2602"/>
          </w:tcPr>
          <w:p>
            <w:r/>
            <w:r>
              <w:rPr>
                <w:b w:val="0"/>
                <w:i w:val="0"/>
                <w:sz w:val="15"/>
              </w:rPr>
              <w:t>China was ~15% of sales and the growth engine — the start of a 4-year de-rating</w:t>
            </w:r>
          </w:p>
        </w:tc>
      </w:tr>
      <w:tr>
        <w:tc>
          <w:tcPr>
            <w:tcW w:type="dxa" w:w="1518"/>
            <w:shd w:val="clear" w:color="auto" w:fill="F1F3F7"/>
          </w:tcPr>
          <w:p>
            <w:r/>
            <w:r>
              <w:rPr>
                <w:b w:val="0"/>
                <w:i w:val="0"/>
                <w:sz w:val="15"/>
              </w:rPr>
              <w:t>Jan–Jun 2022</w:t>
            </w:r>
          </w:p>
        </w:tc>
        <w:tc>
          <w:tcPr>
            <w:tcW w:type="dxa" w:w="1626"/>
            <w:shd w:val="clear" w:color="auto" w:fill="F1F3F7"/>
          </w:tcPr>
          <w:p>
            <w:r/>
            <w:r>
              <w:rPr>
                <w:b w:val="0"/>
                <w:i w:val="0"/>
                <w:sz w:val="15"/>
              </w:rPr>
              <w:t>¥5,380 → ¥4,105 (-24%)</w:t>
            </w:r>
          </w:p>
        </w:tc>
        <w:tc>
          <w:tcPr>
            <w:tcW w:type="dxa" w:w="4119"/>
            <w:shd w:val="clear" w:color="auto" w:fill="F1F3F7"/>
          </w:tcPr>
          <w:p>
            <w:r/>
            <w:r>
              <w:rPr>
                <w:b w:val="0"/>
                <w:i w:val="0"/>
                <w:sz w:val="15"/>
              </w:rPr>
              <w:t>Material/energy inflation, China lockdowns, global growth-to-value rotation</w:t>
            </w:r>
          </w:p>
        </w:tc>
        <w:tc>
          <w:tcPr>
            <w:tcW w:type="dxa" w:w="2602"/>
            <w:shd w:val="clear" w:color="auto" w:fill="F1F3F7"/>
          </w:tcPr>
          <w:p>
            <w:r/>
            <w:r>
              <w:rPr>
                <w:b w:val="0"/>
                <w:i w:val="0"/>
                <w:sz w:val="15"/>
              </w:rPr>
              <w:t>Margin squeeze; FY3/23 OP fell 6%</w:t>
            </w:r>
          </w:p>
        </w:tc>
      </w:tr>
      <w:tr>
        <w:tc>
          <w:tcPr>
            <w:tcW w:type="dxa" w:w="1518"/>
          </w:tcPr>
          <w:p>
            <w:r/>
            <w:r>
              <w:rPr>
                <w:b w:val="0"/>
                <w:i w:val="0"/>
                <w:sz w:val="15"/>
              </w:rPr>
              <w:t>10 Jan 2023</w:t>
            </w:r>
          </w:p>
        </w:tc>
        <w:tc>
          <w:tcPr>
            <w:tcW w:type="dxa" w:w="1626"/>
          </w:tcPr>
          <w:p>
            <w:r/>
            <w:r>
              <w:rPr>
                <w:b w:val="0"/>
                <w:i w:val="0"/>
                <w:sz w:val="15"/>
              </w:rPr>
              <w:t>Up to +10% intraday</w:t>
            </w:r>
          </w:p>
        </w:tc>
        <w:tc>
          <w:tcPr>
            <w:tcW w:type="dxa" w:w="4119"/>
          </w:tcPr>
          <w:p>
            <w:r/>
            <w:r>
              <w:rPr>
                <w:b w:val="0"/>
                <w:i w:val="0"/>
                <w:sz w:val="15"/>
              </w:rPr>
              <w:t>China reopening hopes</w:t>
            </w:r>
          </w:p>
        </w:tc>
        <w:tc>
          <w:tcPr>
            <w:tcW w:type="dxa" w:w="2602"/>
          </w:tcPr>
          <w:p>
            <w:r/>
            <w:r>
              <w:rPr>
                <w:b w:val="0"/>
                <w:i w:val="0"/>
                <w:sz w:val="15"/>
              </w:rPr>
              <w:t>Short-lived</w:t>
            </w:r>
          </w:p>
        </w:tc>
      </w:tr>
      <w:tr>
        <w:tc>
          <w:tcPr>
            <w:tcW w:type="dxa" w:w="1518"/>
            <w:shd w:val="clear" w:color="auto" w:fill="F1F3F7"/>
          </w:tcPr>
          <w:p>
            <w:r/>
            <w:r>
              <w:rPr>
                <w:b w:val="0"/>
                <w:i w:val="0"/>
                <w:sz w:val="15"/>
              </w:rPr>
              <w:t>Jul–Aug 2023</w:t>
            </w:r>
          </w:p>
        </w:tc>
        <w:tc>
          <w:tcPr>
            <w:tcW w:type="dxa" w:w="1626"/>
            <w:shd w:val="clear" w:color="auto" w:fill="F1F3F7"/>
          </w:tcPr>
          <w:p>
            <w:r/>
            <w:r>
              <w:rPr>
                <w:b w:val="0"/>
                <w:i w:val="0"/>
                <w:sz w:val="15"/>
              </w:rPr>
              <w:t>Slide to ¥3,831 (3-yr low)</w:t>
            </w:r>
          </w:p>
        </w:tc>
        <w:tc>
          <w:tcPr>
            <w:tcW w:type="dxa" w:w="4119"/>
            <w:shd w:val="clear" w:color="auto" w:fill="F1F3F7"/>
          </w:tcPr>
          <w:p>
            <w:r/>
            <w:r>
              <w:rPr>
                <w:b w:val="0"/>
                <w:i w:val="0"/>
                <w:sz w:val="15"/>
              </w:rPr>
              <w:t>China property slump; weak China sales</w:t>
            </w:r>
          </w:p>
        </w:tc>
        <w:tc>
          <w:tcPr>
            <w:tcW w:type="dxa" w:w="2602"/>
            <w:shd w:val="clear" w:color="auto" w:fill="F1F3F7"/>
          </w:tcPr>
          <w:p>
            <w:r/>
            <w:r>
              <w:rPr>
                <w:b w:val="0"/>
                <w:i w:val="0"/>
                <w:sz w:val="15"/>
              </w:rPr>
              <w:t>—</w:t>
            </w:r>
          </w:p>
        </w:tc>
      </w:tr>
      <w:tr>
        <w:tc>
          <w:tcPr>
            <w:tcW w:type="dxa" w:w="1518"/>
          </w:tcPr>
          <w:p>
            <w:r/>
            <w:r>
              <w:rPr>
                <w:b w:val="0"/>
                <w:i w:val="0"/>
                <w:sz w:val="15"/>
              </w:rPr>
              <w:t>30–31 Oct 2023</w:t>
            </w:r>
          </w:p>
        </w:tc>
        <w:tc>
          <w:tcPr>
            <w:tcW w:type="dxa" w:w="1626"/>
          </w:tcPr>
          <w:p>
            <w:r/>
            <w:r>
              <w:rPr>
                <w:b w:val="0"/>
                <w:i w:val="0"/>
                <w:sz w:val="15"/>
              </w:rPr>
              <w:t>Sharp fall</w:t>
            </w:r>
          </w:p>
        </w:tc>
        <w:tc>
          <w:tcPr>
            <w:tcW w:type="dxa" w:w="4119"/>
          </w:tcPr>
          <w:p>
            <w:r/>
            <w:r>
              <w:rPr>
                <w:b w:val="0"/>
                <w:i w:val="0"/>
                <w:sz w:val="15"/>
              </w:rPr>
              <w:t>FY3/24 OP guidance cut to ¥47bn; China OP guided -30% to ¥5.7bn (half plan)</w:t>
            </w:r>
          </w:p>
        </w:tc>
        <w:tc>
          <w:tcPr>
            <w:tcW w:type="dxa" w:w="2602"/>
          </w:tcPr>
          <w:p>
            <w:r/>
            <w:r>
              <w:rPr>
                <w:b w:val="0"/>
                <w:i w:val="0"/>
                <w:sz w:val="15"/>
              </w:rPr>
              <w:t>First explicit China earnings reset</w:t>
            </w:r>
          </w:p>
        </w:tc>
      </w:tr>
      <w:tr>
        <w:tc>
          <w:tcPr>
            <w:tcW w:type="dxa" w:w="1518"/>
            <w:shd w:val="clear" w:color="auto" w:fill="F1F3F7"/>
          </w:tcPr>
          <w:p>
            <w:r/>
            <w:r>
              <w:rPr>
                <w:b w:val="0"/>
                <w:i w:val="0"/>
                <w:sz w:val="15"/>
              </w:rPr>
              <w:t>Feb–Oct 2024</w:t>
            </w:r>
          </w:p>
        </w:tc>
        <w:tc>
          <w:tcPr>
            <w:tcW w:type="dxa" w:w="1626"/>
            <w:shd w:val="clear" w:color="auto" w:fill="F1F3F7"/>
          </w:tcPr>
          <w:p>
            <w:r/>
            <w:r>
              <w:rPr>
                <w:b w:val="0"/>
                <w:i w:val="0"/>
                <w:sz w:val="15"/>
              </w:rPr>
              <w:t>¥3,642 → ¥5,530 (+52%)</w:t>
            </w:r>
          </w:p>
        </w:tc>
        <w:tc>
          <w:tcPr>
            <w:tcW w:type="dxa" w:w="4119"/>
            <w:shd w:val="clear" w:color="auto" w:fill="F1F3F7"/>
          </w:tcPr>
          <w:p>
            <w:r/>
            <w:r>
              <w:rPr>
                <w:b w:val="0"/>
                <w:i w:val="0"/>
                <w:sz w:val="15"/>
              </w:rPr>
              <w:t>China stimulus rally; early ceramics recovery</w:t>
            </w:r>
          </w:p>
        </w:tc>
        <w:tc>
          <w:tcPr>
            <w:tcW w:type="dxa" w:w="2602"/>
            <w:shd w:val="clear" w:color="auto" w:fill="F1F3F7"/>
          </w:tcPr>
          <w:p>
            <w:r/>
            <w:r>
              <w:rPr>
                <w:b w:val="0"/>
                <w:i w:val="0"/>
                <w:sz w:val="15"/>
              </w:rPr>
              <w:t>Proved China-beta still dominated the stock</w:t>
            </w:r>
          </w:p>
        </w:tc>
      </w:tr>
      <w:tr>
        <w:tc>
          <w:tcPr>
            <w:tcW w:type="dxa" w:w="1518"/>
          </w:tcPr>
          <w:p>
            <w:r/>
            <w:r>
              <w:rPr>
                <w:b w:val="0"/>
                <w:i w:val="0"/>
                <w:sz w:val="15"/>
              </w:rPr>
              <w:t>29 Oct 2024</w:t>
            </w:r>
          </w:p>
        </w:tc>
        <w:tc>
          <w:tcPr>
            <w:tcW w:type="dxa" w:w="1626"/>
          </w:tcPr>
          <w:p>
            <w:r/>
            <w:r>
              <w:rPr>
                <w:b/>
                <w:i w:val="0"/>
                <w:sz w:val="15"/>
              </w:rPr>
              <w:t>-12.5%</w:t>
            </w:r>
            <w:r>
              <w:rPr>
                <w:b w:val="0"/>
                <w:i w:val="0"/>
                <w:sz w:val="15"/>
              </w:rPr>
              <w:t xml:space="preserve"> (-¥614)</w:t>
            </w:r>
          </w:p>
        </w:tc>
        <w:tc>
          <w:tcPr>
            <w:tcW w:type="dxa" w:w="4119"/>
          </w:tcPr>
          <w:p>
            <w:r/>
            <w:r>
              <w:rPr>
                <w:b w:val="0"/>
                <w:i w:val="0"/>
                <w:sz w:val="15"/>
              </w:rPr>
              <w:t>H1 FY3/25: China swung to a ¥4.4bn operating loss; ~¥34bn China impairment; NI guidance cut</w:t>
            </w:r>
          </w:p>
        </w:tc>
        <w:tc>
          <w:tcPr>
            <w:tcW w:type="dxa" w:w="2602"/>
          </w:tcPr>
          <w:p>
            <w:r/>
            <w:r>
              <w:rPr>
                <w:b w:val="0"/>
                <w:i w:val="0"/>
                <w:sz w:val="15"/>
              </w:rPr>
              <w:t>Capitulation on China</w:t>
            </w:r>
          </w:p>
        </w:tc>
      </w:tr>
      <w:tr>
        <w:tc>
          <w:tcPr>
            <w:tcW w:type="dxa" w:w="1518"/>
            <w:shd w:val="clear" w:color="auto" w:fill="F1F3F7"/>
          </w:tcPr>
          <w:p>
            <w:r/>
            <w:r>
              <w:rPr>
                <w:b w:val="0"/>
                <w:i w:val="0"/>
                <w:sz w:val="15"/>
              </w:rPr>
              <w:t>2–9 Apr 2025</w:t>
            </w:r>
          </w:p>
        </w:tc>
        <w:tc>
          <w:tcPr>
            <w:tcW w:type="dxa" w:w="1626"/>
            <w:shd w:val="clear" w:color="auto" w:fill="F1F3F7"/>
          </w:tcPr>
          <w:p>
            <w:r/>
            <w:r>
              <w:rPr>
                <w:b w:val="0"/>
                <w:i w:val="0"/>
                <w:sz w:val="15"/>
              </w:rPr>
              <w:t>To ¥3,269 (5-yr low)</w:t>
            </w:r>
          </w:p>
        </w:tc>
        <w:tc>
          <w:tcPr>
            <w:tcW w:type="dxa" w:w="4119"/>
            <w:shd w:val="clear" w:color="auto" w:fill="F1F3F7"/>
          </w:tcPr>
          <w:p>
            <w:r/>
            <w:r>
              <w:rPr>
                <w:b w:val="0"/>
                <w:i w:val="0"/>
                <w:sz w:val="15"/>
              </w:rPr>
              <w:t>US "Liberation Day" tariffs (Vietnam, Mexico, Thailand, Malaysia sourcing)</w:t>
            </w:r>
          </w:p>
        </w:tc>
        <w:tc>
          <w:tcPr>
            <w:tcW w:type="dxa" w:w="2602"/>
            <w:shd w:val="clear" w:color="auto" w:fill="F1F3F7"/>
          </w:tcPr>
          <w:p>
            <w:r/>
            <w:r>
              <w:rPr>
                <w:b w:val="0"/>
                <w:i w:val="0"/>
                <w:sz w:val="15"/>
              </w:rPr>
              <w:t>Low point of the cycle</w:t>
            </w:r>
          </w:p>
        </w:tc>
      </w:tr>
      <w:tr>
        <w:tc>
          <w:tcPr>
            <w:tcW w:type="dxa" w:w="1518"/>
          </w:tcPr>
          <w:p>
            <w:r/>
            <w:r>
              <w:rPr>
                <w:b w:val="0"/>
                <w:i w:val="0"/>
                <w:sz w:val="15"/>
              </w:rPr>
              <w:t>28 Apr 2025</w:t>
            </w:r>
          </w:p>
        </w:tc>
        <w:tc>
          <w:tcPr>
            <w:tcW w:type="dxa" w:w="1626"/>
          </w:tcPr>
          <w:p>
            <w:r/>
            <w:r>
              <w:rPr>
                <w:b w:val="0"/>
                <w:i w:val="0"/>
                <w:sz w:val="15"/>
              </w:rPr>
              <w:t>Positive</w:t>
            </w:r>
          </w:p>
        </w:tc>
        <w:tc>
          <w:tcPr>
            <w:tcW w:type="dxa" w:w="4119"/>
          </w:tcPr>
          <w:p>
            <w:r/>
            <w:r>
              <w:rPr>
                <w:b w:val="0"/>
                <w:i w:val="0"/>
                <w:sz w:val="15"/>
              </w:rPr>
              <w:t>FY3/25 results; ¥20bn (4.7%) buyback, later cancelled; China plant closures</w:t>
            </w:r>
          </w:p>
        </w:tc>
        <w:tc>
          <w:tcPr>
            <w:tcW w:type="dxa" w:w="2602"/>
          </w:tcPr>
          <w:p>
            <w:r/>
            <w:r>
              <w:rPr>
                <w:b w:val="0"/>
                <w:i w:val="0"/>
                <w:sz w:val="15"/>
              </w:rPr>
              <w:t>First large buyback in years</w:t>
            </w:r>
          </w:p>
        </w:tc>
      </w:tr>
      <w:tr>
        <w:tc>
          <w:tcPr>
            <w:tcW w:type="dxa" w:w="1518"/>
            <w:shd w:val="clear" w:color="auto" w:fill="F1F3F7"/>
          </w:tcPr>
          <w:p>
            <w:r/>
            <w:r>
              <w:rPr>
                <w:b w:val="0"/>
                <w:i w:val="0"/>
                <w:sz w:val="15"/>
              </w:rPr>
              <w:t>25 Aug 2025</w:t>
            </w:r>
          </w:p>
        </w:tc>
        <w:tc>
          <w:tcPr>
            <w:tcW w:type="dxa" w:w="1626"/>
            <w:shd w:val="clear" w:color="auto" w:fill="F1F3F7"/>
          </w:tcPr>
          <w:p>
            <w:r/>
            <w:r>
              <w:rPr>
                <w:b w:val="0"/>
                <w:i w:val="0"/>
                <w:sz w:val="15"/>
              </w:rPr>
              <w:t>+8.4%</w:t>
            </w:r>
          </w:p>
        </w:tc>
        <w:tc>
          <w:tcPr>
            <w:tcW w:type="dxa" w:w="4119"/>
            <w:shd w:val="clear" w:color="auto" w:fill="F1F3F7"/>
          </w:tcPr>
          <w:p>
            <w:r/>
            <w:r>
              <w:rPr>
                <w:b w:val="0"/>
                <w:i w:val="0"/>
                <w:sz w:val="15"/>
              </w:rPr>
              <w:t>Americas plan: ¥100bn sales by FY3/31 (+40%); US local production &gt;50%</w:t>
            </w:r>
          </w:p>
        </w:tc>
        <w:tc>
          <w:tcPr>
            <w:tcW w:type="dxa" w:w="2602"/>
            <w:shd w:val="clear" w:color="auto" w:fill="F1F3F7"/>
          </w:tcPr>
          <w:p>
            <w:r/>
            <w:r>
              <w:rPr>
                <w:b w:val="0"/>
                <w:i w:val="0"/>
                <w:sz w:val="15"/>
              </w:rPr>
              <w:t>—</w:t>
            </w:r>
          </w:p>
        </w:tc>
      </w:tr>
      <w:tr>
        <w:tc>
          <w:tcPr>
            <w:tcW w:type="dxa" w:w="1518"/>
          </w:tcPr>
          <w:p>
            <w:r/>
            <w:r>
              <w:rPr>
                <w:b w:val="0"/>
                <w:i w:val="0"/>
                <w:sz w:val="15"/>
              </w:rPr>
              <w:t>Nov 2025 – Jan 2026</w:t>
            </w:r>
          </w:p>
        </w:tc>
        <w:tc>
          <w:tcPr>
            <w:tcW w:type="dxa" w:w="1626"/>
          </w:tcPr>
          <w:p>
            <w:r/>
            <w:r>
              <w:rPr>
                <w:b w:val="0"/>
                <w:i w:val="0"/>
                <w:sz w:val="15"/>
              </w:rPr>
              <w:t>Steady re-rating</w:t>
            </w:r>
          </w:p>
        </w:tc>
        <w:tc>
          <w:tcPr>
            <w:tcW w:type="dxa" w:w="4119"/>
          </w:tcPr>
          <w:p>
            <w:r/>
            <w:r>
              <w:rPr>
                <w:b w:val="0"/>
                <w:i w:val="0"/>
                <w:sz w:val="15"/>
              </w:rPr>
              <w:t>H1 FY3/26 ceramics OP ~¥12.9bn; AI/NAND narrative</w:t>
            </w:r>
          </w:p>
        </w:tc>
        <w:tc>
          <w:tcPr>
            <w:tcW w:type="dxa" w:w="2602"/>
          </w:tcPr>
          <w:p>
            <w:r/>
            <w:r>
              <w:rPr>
                <w:b w:val="0"/>
                <w:i w:val="0"/>
                <w:sz w:val="15"/>
              </w:rPr>
              <w:t>Market starts to price ceramics</w:t>
            </w:r>
          </w:p>
        </w:tc>
      </w:tr>
      <w:tr>
        <w:tc>
          <w:tcPr>
            <w:tcW w:type="dxa" w:w="1518"/>
            <w:shd w:val="clear" w:color="auto" w:fill="F1F3F7"/>
          </w:tcPr>
          <w:p>
            <w:r/>
            <w:r>
              <w:rPr>
                <w:b w:val="0"/>
                <w:i w:val="0"/>
                <w:sz w:val="15"/>
              </w:rPr>
              <w:t>22 Jan 2026</w:t>
            </w:r>
          </w:p>
        </w:tc>
        <w:tc>
          <w:tcPr>
            <w:tcW w:type="dxa" w:w="1626"/>
            <w:shd w:val="clear" w:color="auto" w:fill="F1F3F7"/>
          </w:tcPr>
          <w:p>
            <w:r/>
            <w:r>
              <w:rPr>
                <w:b/>
                <w:i w:val="0"/>
                <w:sz w:val="15"/>
              </w:rPr>
              <w:t>+11% intraday</w:t>
            </w:r>
            <w:r>
              <w:rPr>
                <w:b w:val="0"/>
                <w:i w:val="0"/>
                <w:sz w:val="15"/>
              </w:rPr>
              <w:t xml:space="preserve"> (+8.8% close)</w:t>
            </w:r>
          </w:p>
        </w:tc>
        <w:tc>
          <w:tcPr>
            <w:tcW w:type="dxa" w:w="4119"/>
            <w:shd w:val="clear" w:color="auto" w:fill="F1F3F7"/>
          </w:tcPr>
          <w:p>
            <w:r/>
            <w:r>
              <w:rPr>
                <w:b w:val="0"/>
                <w:i w:val="0"/>
                <w:sz w:val="15"/>
              </w:rPr>
              <w:t>Goldman Sachs upgrade Neutral → Buy on NAND ESC thesis</w:t>
            </w:r>
          </w:p>
        </w:tc>
        <w:tc>
          <w:tcPr>
            <w:tcW w:type="dxa" w:w="2602"/>
            <w:shd w:val="clear" w:color="auto" w:fill="F1F3F7"/>
          </w:tcPr>
          <w:p>
            <w:r/>
            <w:r>
              <w:rPr>
                <w:b w:val="0"/>
                <w:i w:val="0"/>
                <w:sz w:val="15"/>
              </w:rPr>
              <w:t>Largest daily gain since Feb 2021 at the time</w:t>
            </w:r>
          </w:p>
        </w:tc>
      </w:tr>
      <w:tr>
        <w:tc>
          <w:tcPr>
            <w:tcW w:type="dxa" w:w="1518"/>
          </w:tcPr>
          <w:p>
            <w:r/>
            <w:r>
              <w:rPr>
                <w:b w:val="0"/>
                <w:i w:val="0"/>
                <w:sz w:val="15"/>
              </w:rPr>
              <w:t>17 Feb 2026</w:t>
            </w:r>
          </w:p>
        </w:tc>
        <w:tc>
          <w:tcPr>
            <w:tcW w:type="dxa" w:w="1626"/>
          </w:tcPr>
          <w:p>
            <w:r/>
            <w:r>
              <w:rPr>
                <w:b w:val="0"/>
                <w:i w:val="0"/>
                <w:sz w:val="15"/>
              </w:rPr>
              <w:t>+5% day; ~+40% YTD by late Feb</w:t>
            </w:r>
          </w:p>
        </w:tc>
        <w:tc>
          <w:tcPr>
            <w:tcW w:type="dxa" w:w="4119"/>
          </w:tcPr>
          <w:p>
            <w:r/>
            <w:r>
              <w:rPr>
                <w:b w:val="0"/>
                <w:i w:val="0"/>
                <w:sz w:val="15"/>
              </w:rPr>
              <w:t>Palliser Capital discloses stake; "Value Enhancement Plan" (&gt;55% upside, ~¥8,800 intrinsic)</w:t>
            </w:r>
          </w:p>
        </w:tc>
        <w:tc>
          <w:tcPr>
            <w:tcW w:type="dxa" w:w="2602"/>
          </w:tcPr>
          <w:p>
            <w:r/>
            <w:r>
              <w:rPr>
                <w:b w:val="0"/>
                <w:i w:val="0"/>
                <w:sz w:val="15"/>
              </w:rPr>
              <w:t>Activism catalyses SOTP framing</w:t>
            </w:r>
          </w:p>
        </w:tc>
      </w:tr>
      <w:tr>
        <w:tc>
          <w:tcPr>
            <w:tcW w:type="dxa" w:w="1518"/>
            <w:shd w:val="clear" w:color="auto" w:fill="F1F3F7"/>
          </w:tcPr>
          <w:p>
            <w:r/>
            <w:r>
              <w:rPr>
                <w:b w:val="0"/>
                <w:i w:val="0"/>
                <w:sz w:val="15"/>
              </w:rPr>
              <w:t>1 May 2026</w:t>
            </w:r>
          </w:p>
        </w:tc>
        <w:tc>
          <w:tcPr>
            <w:tcW w:type="dxa" w:w="1626"/>
            <w:shd w:val="clear" w:color="auto" w:fill="F1F3F7"/>
          </w:tcPr>
          <w:p>
            <w:r/>
            <w:r>
              <w:rPr>
                <w:b/>
                <w:i w:val="0"/>
                <w:sz w:val="15"/>
              </w:rPr>
              <w:t>Limit-up, ~+18%</w:t>
            </w:r>
            <w:r>
              <w:rPr>
                <w:b w:val="0"/>
                <w:i w:val="0"/>
                <w:sz w:val="15"/>
              </w:rPr>
              <w:t xml:space="preserve"> to ¥6,425</w:t>
            </w:r>
          </w:p>
        </w:tc>
        <w:tc>
          <w:tcPr>
            <w:tcW w:type="dxa" w:w="4119"/>
            <w:shd w:val="clear" w:color="auto" w:fill="F1F3F7"/>
          </w:tcPr>
          <w:p>
            <w:r/>
            <w:r>
              <w:rPr>
                <w:b w:val="0"/>
                <w:i w:val="0"/>
                <w:sz w:val="15"/>
              </w:rPr>
              <w:t>Record FY3/26; ceramics disclosure; ¥30bn ceramics capex; DPS ¥110 → ¥120 guide; buyback</w:t>
            </w:r>
          </w:p>
        </w:tc>
        <w:tc>
          <w:tcPr>
            <w:tcW w:type="dxa" w:w="2602"/>
            <w:shd w:val="clear" w:color="auto" w:fill="F1F3F7"/>
          </w:tcPr>
          <w:p>
            <w:r/>
            <w:r>
              <w:rPr>
                <w:b w:val="0"/>
                <w:i w:val="0"/>
                <w:sz w:val="15"/>
              </w:rPr>
              <w:t>Record single-day gain</w:t>
            </w:r>
          </w:p>
        </w:tc>
      </w:tr>
      <w:tr>
        <w:tc>
          <w:tcPr>
            <w:tcW w:type="dxa" w:w="1518"/>
          </w:tcPr>
          <w:p>
            <w:r/>
            <w:r>
              <w:rPr>
                <w:b w:val="0"/>
                <w:i w:val="0"/>
                <w:sz w:val="15"/>
              </w:rPr>
              <w:t>19–23 Jun 2026</w:t>
            </w:r>
          </w:p>
        </w:tc>
        <w:tc>
          <w:tcPr>
            <w:tcW w:type="dxa" w:w="1626"/>
          </w:tcPr>
          <w:p>
            <w:r/>
            <w:r>
              <w:rPr>
                <w:b/>
                <w:i w:val="0"/>
                <w:sz w:val="15"/>
              </w:rPr>
              <w:t>~+9–11%</w:t>
            </w:r>
            <w:r>
              <w:rPr>
                <w:b w:val="0"/>
                <w:i w:val="0"/>
                <w:sz w:val="15"/>
              </w:rPr>
              <w:t>; ATH ¥9,500</w:t>
            </w:r>
          </w:p>
        </w:tc>
        <w:tc>
          <w:tcPr>
            <w:tcW w:type="dxa" w:w="4119"/>
          </w:tcPr>
          <w:p>
            <w:r/>
            <w:r>
              <w:rPr>
                <w:b w:val="0"/>
                <w:i w:val="0"/>
                <w:sz w:val="15"/>
              </w:rPr>
              <w:t>Nikkei: ~¥80bn 5-year chip-parts investment incl. 1nm-era R&amp;D</w:t>
            </w:r>
          </w:p>
        </w:tc>
        <w:tc>
          <w:tcPr>
            <w:tcW w:type="dxa" w:w="2602"/>
          </w:tcPr>
          <w:p>
            <w:r/>
            <w:r>
              <w:rPr>
                <w:b w:val="0"/>
                <w:i w:val="0"/>
                <w:sz w:val="15"/>
              </w:rPr>
              <w:t>Peak "AI beneficiary" multiple</w:t>
            </w:r>
          </w:p>
        </w:tc>
      </w:tr>
      <w:tr>
        <w:tc>
          <w:tcPr>
            <w:tcW w:type="dxa" w:w="1518"/>
            <w:shd w:val="clear" w:color="auto" w:fill="F1F3F7"/>
          </w:tcPr>
          <w:p>
            <w:r/>
            <w:r>
              <w:rPr>
                <w:b w:val="0"/>
                <w:i w:val="0"/>
                <w:sz w:val="15"/>
              </w:rPr>
              <w:t>3 Aug 2026</w:t>
            </w:r>
          </w:p>
        </w:tc>
        <w:tc>
          <w:tcPr>
            <w:tcW w:type="dxa" w:w="1626"/>
            <w:shd w:val="clear" w:color="auto" w:fill="F1F3F7"/>
          </w:tcPr>
          <w:p>
            <w:r/>
            <w:r>
              <w:rPr>
                <w:b/>
                <w:i w:val="0"/>
                <w:sz w:val="15"/>
              </w:rPr>
              <w:t>-11.4%</w:t>
            </w:r>
            <w:r>
              <w:rPr>
                <w:b w:val="0"/>
                <w:i w:val="0"/>
                <w:sz w:val="15"/>
              </w:rPr>
              <w:t xml:space="preserve"> to ¥6,209</w:t>
            </w:r>
          </w:p>
        </w:tc>
        <w:tc>
          <w:tcPr>
            <w:tcW w:type="dxa" w:w="4119"/>
            <w:shd w:val="clear" w:color="auto" w:fill="F1F3F7"/>
          </w:tcPr>
          <w:p>
            <w:r/>
            <w:r>
              <w:rPr>
                <w:b w:val="0"/>
                <w:i w:val="0"/>
                <w:sz w:val="15"/>
              </w:rPr>
              <w:t>Q1 FY3/27 miss (sales ¥168.6bn vs ~¥176.5bn cons.; EPS ¥42 vs ¥45.6); ESC shipment timing; Middle East (-¥3bn OP); yen strength</w:t>
            </w:r>
          </w:p>
        </w:tc>
        <w:tc>
          <w:tcPr>
            <w:tcW w:type="dxa" w:w="2602"/>
            <w:shd w:val="clear" w:color="auto" w:fill="F1F3F7"/>
          </w:tcPr>
          <w:p>
            <w:r/>
            <w:r>
              <w:rPr>
                <w:b w:val="0"/>
                <w:i w:val="0"/>
                <w:sz w:val="15"/>
              </w:rPr>
              <w:t>Momentum broken; broker target cuts (MS ¥5,900, Nomura ¥6,820)</w:t>
            </w:r>
          </w:p>
        </w:tc>
      </w:tr>
    </w:tbl>
    <w:p>
      <w:r>
        <w:rPr>
          <w:b w:val="0"/>
          <w:i/>
          <w:color w:val="5E6878"/>
          <w:sz w:val="14"/>
        </w:rPr>
        <w:t>Sources: Nikkei price history, Nikkei/Bloomberg/Japan Times/Kabutan/Zaikei reporting. Exact daily moves not all verifiable from primary exchange data.</w:t>
      </w:r>
    </w:p>
    <w:p>
      <w:pPr>
        <w:pStyle w:val="Heading1"/>
      </w:pPr>
      <w:r>
        <w:t>4. Business Model, Key Drivers, Customers and Competitors</w:t>
      </w:r>
    </w:p>
    <w:p>
      <w:pPr>
        <w:pStyle w:val="Heading2"/>
      </w:pPr>
      <w:r>
        <w:t>4.1 Key drivers</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528"/>
            <w:shd w:val="clear" w:color="auto" w:fill="16243D"/>
          </w:tcPr>
          <w:p>
            <w:r/>
            <w:r>
              <w:rPr>
                <w:b/>
                <w:i w:val="0"/>
                <w:color w:val="FFFFFF"/>
                <w:sz w:val="15"/>
              </w:rPr>
              <w:t>Driver</w:t>
            </w:r>
          </w:p>
        </w:tc>
        <w:tc>
          <w:tcPr>
            <w:tcW w:type="dxa" w:w="4168"/>
            <w:shd w:val="clear" w:color="auto" w:fill="16243D"/>
          </w:tcPr>
          <w:p>
            <w:r/>
            <w:r>
              <w:rPr>
                <w:b/>
                <w:i w:val="0"/>
                <w:color w:val="FFFFFF"/>
                <w:sz w:val="15"/>
              </w:rPr>
              <w:t>Housing equipment</w:t>
            </w:r>
          </w:p>
        </w:tc>
        <w:tc>
          <w:tcPr>
            <w:tcW w:type="dxa" w:w="4168"/>
            <w:shd w:val="clear" w:color="auto" w:fill="16243D"/>
          </w:tcPr>
          <w:p>
            <w:r/>
            <w:r>
              <w:rPr>
                <w:b/>
                <w:i w:val="0"/>
                <w:color w:val="FFFFFF"/>
                <w:sz w:val="15"/>
              </w:rPr>
              <w:t>Advanced Ceramics</w:t>
            </w:r>
          </w:p>
        </w:tc>
      </w:tr>
      <w:tr>
        <w:tc>
          <w:tcPr>
            <w:tcW w:type="dxa" w:w="1528"/>
          </w:tcPr>
          <w:p>
            <w:r/>
            <w:r>
              <w:rPr>
                <w:b w:val="0"/>
                <w:i w:val="0"/>
                <w:sz w:val="15"/>
              </w:rPr>
              <w:t>Volume</w:t>
            </w:r>
          </w:p>
        </w:tc>
        <w:tc>
          <w:tcPr>
            <w:tcW w:type="dxa" w:w="4168"/>
          </w:tcPr>
          <w:p>
            <w:r/>
            <w:r>
              <w:rPr>
                <w:b w:val="0"/>
                <w:i w:val="0"/>
                <w:sz w:val="15"/>
              </w:rPr>
              <w:t>Japan remodel (~¥347bn, ~72% of Japan sales) driven by ageing stock (~15–20yr replacement); new-build (¥133bn) tied to starts (711k in FY2025, -12.9%); overseas: US Washlet adoption, Asia urbanisation, China property</w:t>
            </w:r>
          </w:p>
        </w:tc>
        <w:tc>
          <w:tcPr>
            <w:tcW w:type="dxa" w:w="4168"/>
          </w:tcPr>
          <w:p>
            <w:r/>
            <w:r>
              <w:rPr>
                <w:b w:val="0"/>
                <w:i w:val="0"/>
                <w:sz w:val="15"/>
              </w:rPr>
              <w:t>3D NAND layer count (→ ~1,000 layers by 2030), cryo-etch tool installations (Lam), ESC replacement cycle (~1 year), logic etch AD-coated parts</w:t>
            </w:r>
          </w:p>
        </w:tc>
      </w:tr>
      <w:tr>
        <w:tc>
          <w:tcPr>
            <w:tcW w:type="dxa" w:w="1528"/>
            <w:shd w:val="clear" w:color="auto" w:fill="F1F3F7"/>
          </w:tcPr>
          <w:p>
            <w:r/>
            <w:r>
              <w:rPr>
                <w:b w:val="0"/>
                <w:i w:val="0"/>
                <w:sz w:val="15"/>
              </w:rPr>
              <w:t>Pricing</w:t>
            </w:r>
          </w:p>
        </w:tc>
        <w:tc>
          <w:tcPr>
            <w:tcW w:type="dxa" w:w="4168"/>
            <w:shd w:val="clear" w:color="auto" w:fill="F1F3F7"/>
          </w:tcPr>
          <w:p>
            <w:r/>
            <w:r>
              <w:rPr>
                <w:b w:val="0"/>
                <w:i w:val="0"/>
                <w:sz w:val="15"/>
              </w:rPr>
              <w:t>Annual Japan list-price rises: Aug-23 (3–8%), Aug-24 (2–11%), Oct-25 (2–5%), Dec-26 (8–13%, Washlet ~10%). US +~10% Jun-2025 (tariffs)</w:t>
            </w:r>
          </w:p>
        </w:tc>
        <w:tc>
          <w:tcPr>
            <w:tcW w:type="dxa" w:w="4168"/>
            <w:shd w:val="clear" w:color="auto" w:fill="F1F3F7"/>
          </w:tcPr>
          <w:p>
            <w:r/>
            <w:r>
              <w:rPr>
                <w:b w:val="0"/>
                <w:i w:val="0"/>
                <w:sz w:val="15"/>
              </w:rPr>
              <w:t>Engineered, qualified-in parts; price set per tool generation; strong pricing given ~5-yr technology lead claimed by Palliser</w:t>
            </w:r>
          </w:p>
        </w:tc>
      </w:tr>
      <w:tr>
        <w:tc>
          <w:tcPr>
            <w:tcW w:type="dxa" w:w="1528"/>
          </w:tcPr>
          <w:p>
            <w:r/>
            <w:r>
              <w:rPr>
                <w:b w:val="0"/>
                <w:i w:val="0"/>
                <w:sz w:val="15"/>
              </w:rPr>
              <w:t>Mix</w:t>
            </w:r>
          </w:p>
        </w:tc>
        <w:tc>
          <w:tcPr>
            <w:tcW w:type="dxa" w:w="4168"/>
          </w:tcPr>
          <w:p>
            <w:r/>
            <w:r>
              <w:rPr>
                <w:b w:val="0"/>
                <w:i w:val="0"/>
                <w:sz w:val="15"/>
              </w:rPr>
              <w:t>Washlet/NEOREST premium mix, remodel vs new-build, overseas high-end</w:t>
            </w:r>
          </w:p>
        </w:tc>
        <w:tc>
          <w:tcPr>
            <w:tcW w:type="dxa" w:w="4168"/>
          </w:tcPr>
          <w:p>
            <w:r/>
            <w:r>
              <w:rPr>
                <w:b w:val="0"/>
                <w:i w:val="0"/>
                <w:sz w:val="15"/>
              </w:rPr>
              <w:t>Cryo-NAND ESC (highest margin) vs LCD parts; new AD parts for logic</w:t>
            </w:r>
          </w:p>
        </w:tc>
      </w:tr>
      <w:tr>
        <w:tc>
          <w:tcPr>
            <w:tcW w:type="dxa" w:w="1528"/>
            <w:shd w:val="clear" w:color="auto" w:fill="F1F3F7"/>
          </w:tcPr>
          <w:p>
            <w:r/>
            <w:r>
              <w:rPr>
                <w:b w:val="0"/>
                <w:i w:val="0"/>
                <w:sz w:val="15"/>
              </w:rPr>
              <w:t>Costs</w:t>
            </w:r>
          </w:p>
        </w:tc>
        <w:tc>
          <w:tcPr>
            <w:tcW w:type="dxa" w:w="4168"/>
            <w:shd w:val="clear" w:color="auto" w:fill="F1F3F7"/>
          </w:tcPr>
          <w:p>
            <w:r/>
            <w:r>
              <w:rPr>
                <w:b w:val="0"/>
                <w:i w:val="0"/>
                <w:sz w:val="15"/>
              </w:rPr>
              <w:t>Brass/copper, resin, energy (kilns), logistics, wages (Japan labour shortage); tariffs on US imports</w:t>
            </w:r>
          </w:p>
        </w:tc>
        <w:tc>
          <w:tcPr>
            <w:tcW w:type="dxa" w:w="4168"/>
            <w:shd w:val="clear" w:color="auto" w:fill="F1F3F7"/>
          </w:tcPr>
          <w:p>
            <w:r/>
            <w:r>
              <w:rPr>
                <w:b w:val="0"/>
                <w:i w:val="0"/>
                <w:sz w:val="15"/>
              </w:rPr>
              <w:t>Alumina/AlN powders, yield, depreciation from new kilns</w:t>
            </w:r>
          </w:p>
        </w:tc>
      </w:tr>
      <w:tr>
        <w:tc>
          <w:tcPr>
            <w:tcW w:type="dxa" w:w="1528"/>
          </w:tcPr>
          <w:p>
            <w:r/>
            <w:r>
              <w:rPr>
                <w:b w:val="0"/>
                <w:i w:val="0"/>
                <w:sz w:val="15"/>
              </w:rPr>
              <w:t>Capex cycle</w:t>
            </w:r>
          </w:p>
        </w:tc>
        <w:tc>
          <w:tcPr>
            <w:tcW w:type="dxa" w:w="4168"/>
          </w:tcPr>
          <w:p>
            <w:r/>
            <w:r>
              <w:rPr>
                <w:b w:val="0"/>
                <w:i w:val="0"/>
                <w:sz w:val="15"/>
              </w:rPr>
              <w:t>Strategic capex ¥175bn under STAGE2 (FY24–26): global ¥72bn, ceramics ¥29bn, domestic ¥32bn, IT ¥42bn</w:t>
            </w:r>
          </w:p>
        </w:tc>
        <w:tc>
          <w:tcPr>
            <w:tcW w:type="dxa" w:w="4168"/>
          </w:tcPr>
          <w:p>
            <w:r/>
            <w:r>
              <w:rPr>
                <w:b w:val="0"/>
                <w:i w:val="0"/>
                <w:sz w:val="15"/>
              </w:rPr>
              <w:t>WFE cycle: SEMI 300mm fab equipment +18% (2026) / +14% (2027); GS NAND WFE $11bn/15bn/22bn (2026–28)</w:t>
            </w:r>
          </w:p>
        </w:tc>
      </w:tr>
      <w:tr>
        <w:tc>
          <w:tcPr>
            <w:tcW w:type="dxa" w:w="1528"/>
            <w:shd w:val="clear" w:color="auto" w:fill="F1F3F7"/>
          </w:tcPr>
          <w:p>
            <w:r/>
            <w:r>
              <w:rPr>
                <w:b w:val="0"/>
                <w:i w:val="0"/>
                <w:sz w:val="15"/>
              </w:rPr>
              <w:t>Regulation</w:t>
            </w:r>
          </w:p>
        </w:tc>
        <w:tc>
          <w:tcPr>
            <w:tcW w:type="dxa" w:w="4168"/>
            <w:shd w:val="clear" w:color="auto" w:fill="F1F3F7"/>
          </w:tcPr>
          <w:p>
            <w:r/>
            <w:r>
              <w:rPr>
                <w:b w:val="0"/>
                <w:i w:val="0"/>
                <w:sz w:val="15"/>
              </w:rPr>
              <w:t>Japan building-code/energy rules (Apr 2025) depressed starts; water-efficiency standards favour premium fixtures; US tariffs</w:t>
            </w:r>
          </w:p>
        </w:tc>
        <w:tc>
          <w:tcPr>
            <w:tcW w:type="dxa" w:w="4168"/>
            <w:shd w:val="clear" w:color="auto" w:fill="F1F3F7"/>
          </w:tcPr>
          <w:p>
            <w:r/>
            <w:r>
              <w:rPr>
                <w:b w:val="0"/>
                <w:i w:val="0"/>
                <w:sz w:val="15"/>
              </w:rPr>
              <w:t>Export controls (China fabs), FEFTA designation of semiconductor parts as core sector</w:t>
            </w:r>
          </w:p>
        </w:tc>
      </w:tr>
    </w:tbl>
    <w:p/>
    <w:p>
      <w:pPr>
        <w:pStyle w:val="Heading2"/>
      </w:pPr>
      <w:r>
        <w:t>4.2 Customers, suppliers, competitors, geographies</w:t>
      </w:r>
    </w:p>
    <w:p>
      <w:pPr>
        <w:pStyle w:val="ListBullet"/>
        <w:spacing w:after="20"/>
      </w:pPr>
      <w:r>
        <w:rPr>
          <w:b/>
          <w:i w:val="0"/>
        </w:rPr>
        <w:t>Customers (housing):</w:t>
      </w:r>
      <w:r>
        <w:rPr>
          <w:b w:val="0"/>
          <w:i w:val="0"/>
        </w:rPr>
        <w:t xml:space="preserve"> plumbing/building-material wholesalers (e.g. Hashimoto Sogyo, Watanabe Pipe — channel partners, TOTO-specific volumes not disclosed), homebuilders (Sekisui House, Daiwa House, Sumitomo Forestry, Iida Group), condo developers, remodel contractors (TOTO Remodel Club, TDY alliance with Daiken and YKK AP), home centres; overseas: US plumbing distributors/showrooms (e.g. Ferguson) and e-commerce, Asian distributors and hotel projects.</w:t>
      </w:r>
    </w:p>
    <w:p>
      <w:pPr>
        <w:pStyle w:val="ListBullet"/>
        <w:spacing w:after="20"/>
      </w:pPr>
      <w:r>
        <w:rPr>
          <w:b/>
          <w:i w:val="0"/>
        </w:rPr>
        <w:t>Customers (ceramics):</w:t>
      </w:r>
      <w:r>
        <w:rPr>
          <w:b w:val="0"/>
          <w:i w:val="0"/>
        </w:rPr>
        <w:t xml:space="preserve"> Lam Research (primary; co-development since ~1990; Supplier Excellence Award 2023 and 2024). Applied Materials and Tokyo Electron are potential/partial customers (not confirmed). End users: Samsung, SK hynix, Kioxia/SanDisk, Micron, YMTC (subject to export rules).</w:t>
      </w:r>
    </w:p>
    <w:p>
      <w:pPr>
        <w:pStyle w:val="ListBullet"/>
        <w:spacing w:after="20"/>
      </w:pPr>
      <w:r>
        <w:rPr>
          <w:b/>
          <w:i w:val="0"/>
        </w:rPr>
        <w:t>Suppliers:</w:t>
      </w:r>
      <w:r>
        <w:rPr>
          <w:b w:val="0"/>
          <w:i w:val="0"/>
        </w:rPr>
        <w:t xml:space="preserve"> ceramic raw materials (kaolin/ball clay, feldspar, silica), brass and copper alloys (faucets), resins (seats/lids), electronic components and PCBs (Washlet), packaging; for advanced ceramics, high-purity alumina and aluminium nitride powders (Tokuyama is the global AlN leader — TOTO's supplier list is not disclosed).</w:t>
      </w:r>
    </w:p>
    <w:p>
      <w:pPr>
        <w:pStyle w:val="ListBullet"/>
        <w:spacing w:after="20"/>
      </w:pPr>
      <w:r>
        <w:rPr>
          <w:b/>
          <w:i w:val="0"/>
        </w:rPr>
        <w:t>Competitors:</w:t>
      </w:r>
      <w:r>
        <w:rPr>
          <w:b w:val="0"/>
          <w:i w:val="0"/>
        </w:rPr>
        <w:t xml:space="preserve"> Japan — LIXIL (INAX; #2 in toilets), Panasonic Housing Solutions (Alauno), Takara Standard and Cleanup (kitchens/baths). Global — Kohler (private), Roca (private, owns Laufen), Geberit (Duravit is private), Masco (Hansgrohe/Delta), LIXIL (American Standard, Grohe), Villeroy &amp; Boch (+Ideal Standard), Jomoo, Arrow Home, Huida, Hegii (China). ESC — Applied Materials and Lam in-house, Shinko Electric (JIC-owned since 2025), NGK Insulators, Kyocera, Niterra/NTK Ceratec, Entegris, Sumitomo Osaka Cement, MiCo (Korea), CoorsTek (private).</w:t>
      </w:r>
    </w:p>
    <w:p>
      <w:pPr>
        <w:pStyle w:val="ListBullet"/>
        <w:spacing w:after="20"/>
      </w:pPr>
      <w:r>
        <w:rPr>
          <w:b/>
          <w:i w:val="0"/>
        </w:rPr>
        <w:t>Geographies:</w:t>
      </w:r>
      <w:r>
        <w:rPr>
          <w:b w:val="0"/>
          <w:i w:val="0"/>
        </w:rPr>
        <w:t xml:space="preserve"> Japan ~65% of sales; Americas ~10%; China ~7% (from ~15% in FY3/22); Asia/Oceania ~7%; ceramics (shipped globally, mostly to US/Asian tool makers) ~9%.</w:t>
      </w:r>
    </w:p>
    <w:p>
      <w:pPr>
        <w:pStyle w:val="ListBullet"/>
        <w:spacing w:after="20"/>
      </w:pPr>
      <w:r>
        <w:rPr>
          <w:b/>
          <w:i w:val="0"/>
        </w:rPr>
        <w:t>Contracts and payment terms:</w:t>
      </w:r>
      <w:r>
        <w:rPr>
          <w:b w:val="0"/>
          <w:i w:val="0"/>
        </w:rPr>
        <w:t xml:space="preserve"> not disclosed in detail. Housing sales are spot/annual-price-list sales to wholesalers on Japanese trade-credit terms (typically 60–120 days incl. notes); ceramics sold under qualified-supplier agreements with OEMs; revenue recognised on shipment/delivery (relevant to the Q1 FY3/27 "timing" miss).</w:t>
      </w:r>
    </w:p>
    <w:p>
      <w:pPr>
        <w:pStyle w:val="Heading1"/>
      </w:pPr>
      <w:r>
        <w:t>5. Macro and Micro Factors: Tailwinds and Headwinds</w:t>
      </w:r>
    </w:p>
    <w:tbl>
      <w:tblPr>
        <w:tblStyle w:val="TableGrid"/>
        <w:tblW w:type="auto" w:w="0"/>
        <w:jc w:val="center"/>
        <w:tblLayout w:type="fixed"/>
        <w:tblLook w:firstColumn="1" w:firstRow="1" w:lastColumn="0" w:lastRow="0" w:noHBand="0" w:noVBand="1" w:val="04A0"/>
      </w:tblPr>
      <w:tblGrid>
        <w:gridCol w:w="4933"/>
        <w:gridCol w:w="4933"/>
      </w:tblGrid>
      <w:tr>
        <w:tc>
          <w:tcPr>
            <w:tcW w:type="dxa" w:w="4932"/>
            <w:shd w:val="clear" w:color="auto" w:fill="16243D"/>
          </w:tcPr>
          <w:p>
            <w:r/>
            <w:r>
              <w:rPr>
                <w:b/>
                <w:i w:val="0"/>
                <w:color w:val="FFFFFF"/>
                <w:sz w:val="15"/>
              </w:rPr>
              <w:t>Tailwinds</w:t>
            </w:r>
          </w:p>
        </w:tc>
        <w:tc>
          <w:tcPr>
            <w:tcW w:type="dxa" w:w="4932"/>
            <w:shd w:val="clear" w:color="auto" w:fill="16243D"/>
          </w:tcPr>
          <w:p>
            <w:r/>
            <w:r>
              <w:rPr>
                <w:b/>
                <w:i w:val="0"/>
                <w:color w:val="FFFFFF"/>
                <w:sz w:val="15"/>
              </w:rPr>
              <w:t>Headwinds</w:t>
            </w:r>
          </w:p>
        </w:tc>
      </w:tr>
      <w:tr>
        <w:tc>
          <w:tcPr>
            <w:tcW w:type="dxa" w:w="4932"/>
          </w:tcPr>
          <w:p>
            <w:r/>
            <w:r>
              <w:rPr>
                <w:b w:val="0"/>
                <w:i w:val="0"/>
                <w:sz w:val="15"/>
              </w:rPr>
              <w:t>AI-driven NAND upgrade cycle; cryo-etch tool base to triple in 3–5 yrs (Lam); WFE "low-$150bn" in 2026</w:t>
            </w:r>
          </w:p>
        </w:tc>
        <w:tc>
          <w:tcPr>
            <w:tcW w:type="dxa" w:w="4932"/>
          </w:tcPr>
          <w:p>
            <w:r/>
            <w:r>
              <w:rPr>
                <w:b w:val="0"/>
                <w:i w:val="0"/>
                <w:sz w:val="15"/>
              </w:rPr>
              <w:t>Memory capex cyclicality — FY3/24 ceramics OP fell ~35% (e); single-customer concentration</w:t>
            </w:r>
          </w:p>
        </w:tc>
      </w:tr>
      <w:tr>
        <w:tc>
          <w:tcPr>
            <w:tcW w:type="dxa" w:w="4932"/>
            <w:shd w:val="clear" w:color="auto" w:fill="F1F3F7"/>
          </w:tcPr>
          <w:p>
            <w:r/>
            <w:r>
              <w:rPr>
                <w:b w:val="0"/>
                <w:i w:val="0"/>
                <w:sz w:val="15"/>
              </w:rPr>
              <w:t>ESC replacement demand (~80% of segment revenue recurring per Palliser)</w:t>
            </w:r>
          </w:p>
        </w:tc>
        <w:tc>
          <w:tcPr>
            <w:tcW w:type="dxa" w:w="4932"/>
            <w:shd w:val="clear" w:color="auto" w:fill="F1F3F7"/>
          </w:tcPr>
          <w:p>
            <w:r/>
            <w:r>
              <w:rPr>
                <w:b w:val="0"/>
                <w:i w:val="0"/>
                <w:sz w:val="15"/>
              </w:rPr>
              <w:t>TEL entering cryogenic etch could shift chuck sourcing</w:t>
            </w:r>
          </w:p>
        </w:tc>
      </w:tr>
      <w:tr>
        <w:tc>
          <w:tcPr>
            <w:tcW w:type="dxa" w:w="4932"/>
          </w:tcPr>
          <w:p>
            <w:r/>
            <w:r>
              <w:rPr>
                <w:b w:val="0"/>
                <w:i w:val="0"/>
                <w:sz w:val="15"/>
              </w:rPr>
              <w:t>Japan remodel market ~¥8–9tn, ageing housing stock; Washlet replacement cycle</w:t>
            </w:r>
          </w:p>
        </w:tc>
        <w:tc>
          <w:tcPr>
            <w:tcW w:type="dxa" w:w="4932"/>
          </w:tcPr>
          <w:p>
            <w:r/>
            <w:r>
              <w:rPr>
                <w:b w:val="0"/>
                <w:i w:val="0"/>
                <w:sz w:val="15"/>
              </w:rPr>
              <w:t>Japan housing starts at post-war lows (711k FY2025; NRI ~610k by 2040)</w:t>
            </w:r>
          </w:p>
        </w:tc>
      </w:tr>
      <w:tr>
        <w:tc>
          <w:tcPr>
            <w:tcW w:type="dxa" w:w="4932"/>
            <w:shd w:val="clear" w:color="auto" w:fill="F1F3F7"/>
          </w:tcPr>
          <w:p>
            <w:r/>
            <w:r>
              <w:rPr>
                <w:b w:val="0"/>
                <w:i w:val="0"/>
                <w:sz w:val="15"/>
              </w:rPr>
              <w:t>Price increases (Dec 2026: 8–13%) in a ~60%-share oligopoly</w:t>
            </w:r>
          </w:p>
        </w:tc>
        <w:tc>
          <w:tcPr>
            <w:tcW w:type="dxa" w:w="4932"/>
            <w:shd w:val="clear" w:color="auto" w:fill="F1F3F7"/>
          </w:tcPr>
          <w:p>
            <w:r/>
            <w:r>
              <w:rPr>
                <w:b w:val="0"/>
                <w:i w:val="0"/>
                <w:sz w:val="15"/>
              </w:rPr>
              <w:t>Labour and materials inflation in Japan; Q1 FY3/27 Japan OP -46%</w:t>
            </w:r>
          </w:p>
        </w:tc>
      </w:tr>
      <w:tr>
        <w:tc>
          <w:tcPr>
            <w:tcW w:type="dxa" w:w="4932"/>
          </w:tcPr>
          <w:p>
            <w:r/>
            <w:r>
              <w:rPr>
                <w:b w:val="0"/>
                <w:i w:val="0"/>
                <w:sz w:val="15"/>
              </w:rPr>
              <w:t>China restructuring: ~40% capacity removed, ~¥7bn improvement targeted</w:t>
            </w:r>
          </w:p>
        </w:tc>
        <w:tc>
          <w:tcPr>
            <w:tcW w:type="dxa" w:w="4932"/>
          </w:tcPr>
          <w:p>
            <w:r/>
            <w:r>
              <w:rPr>
                <w:b w:val="0"/>
                <w:i w:val="0"/>
                <w:sz w:val="15"/>
              </w:rPr>
              <w:t>China property deflation; local competitors (Jomoo, Arrow, Hegii) gaining at lower price points</w:t>
            </w:r>
          </w:p>
        </w:tc>
      </w:tr>
      <w:tr>
        <w:tc>
          <w:tcPr>
            <w:tcW w:type="dxa" w:w="4932"/>
            <w:shd w:val="clear" w:color="auto" w:fill="F1F3F7"/>
          </w:tcPr>
          <w:p>
            <w:r/>
            <w:r>
              <w:rPr>
                <w:b w:val="0"/>
                <w:i w:val="0"/>
                <w:sz w:val="15"/>
              </w:rPr>
              <w:t>US Washlet adoption, Georgia plant (+150% capacity), Americas ¥100bn target</w:t>
            </w:r>
          </w:p>
        </w:tc>
        <w:tc>
          <w:tcPr>
            <w:tcW w:type="dxa" w:w="4932"/>
            <w:shd w:val="clear" w:color="auto" w:fill="F1F3F7"/>
          </w:tcPr>
          <w:p>
            <w:r/>
            <w:r>
              <w:rPr>
                <w:b w:val="0"/>
                <w:i w:val="0"/>
                <w:sz w:val="15"/>
              </w:rPr>
              <w:t>US tariffs on Vietnam (20%), Mexico, Thailand/Malaysia (Washlet sourcing)</w:t>
            </w:r>
          </w:p>
        </w:tc>
      </w:tr>
      <w:tr>
        <w:tc>
          <w:tcPr>
            <w:tcW w:type="dxa" w:w="4932"/>
          </w:tcPr>
          <w:p>
            <w:r/>
            <w:r>
              <w:rPr>
                <w:b w:val="0"/>
                <w:i w:val="0"/>
                <w:sz w:val="15"/>
              </w:rPr>
              <w:t>Weak yen supports overseas profit translation and ceramics exports</w:t>
            </w:r>
          </w:p>
        </w:tc>
        <w:tc>
          <w:tcPr>
            <w:tcW w:type="dxa" w:w="4932"/>
          </w:tcPr>
          <w:p>
            <w:r/>
            <w:r>
              <w:rPr>
                <w:b w:val="0"/>
                <w:i w:val="0"/>
                <w:sz w:val="15"/>
              </w:rPr>
              <w:t>Yen strength after intervention (Aug 2026); Middle East disruption (-¥3bn Q1 OP)</w:t>
            </w:r>
          </w:p>
        </w:tc>
      </w:tr>
      <w:tr>
        <w:tc>
          <w:tcPr>
            <w:tcW w:type="dxa" w:w="4932"/>
            <w:shd w:val="clear" w:color="auto" w:fill="F1F3F7"/>
          </w:tcPr>
          <w:p>
            <w:r/>
            <w:r>
              <w:rPr>
                <w:b w:val="0"/>
                <w:i w:val="0"/>
                <w:sz w:val="15"/>
              </w:rPr>
              <w:t>Corporate-governance reform in Japan (TSE P/B push, cross-holding unwind, activism)</w:t>
            </w:r>
          </w:p>
        </w:tc>
        <w:tc>
          <w:tcPr>
            <w:tcW w:type="dxa" w:w="4932"/>
            <w:shd w:val="clear" w:color="auto" w:fill="F1F3F7"/>
          </w:tcPr>
          <w:p>
            <w:r/>
            <w:r>
              <w:rPr>
                <w:b w:val="0"/>
                <w:i w:val="0"/>
                <w:sz w:val="15"/>
              </w:rPr>
              <w:t>Large stable-shareholder base slows change</w:t>
            </w:r>
          </w:p>
        </w:tc>
      </w:tr>
    </w:tbl>
    <w:p/>
    <w:p>
      <w:pPr>
        <w:pStyle w:val="Heading1"/>
      </w:pPr>
      <w:r>
        <w:t>6. Competitive Position and Economic Moats</w:t>
      </w:r>
    </w:p>
    <w:p>
      <w:pPr>
        <w:spacing w:after="80"/>
      </w:pPr>
      <w:r>
        <w:rPr>
          <w:b w:val="0"/>
          <w:i w:val="0"/>
        </w:rPr>
        <w:t>TOTO is the Japanese category-defining brand ("Washlet" is a TOTO trademark that became the generic term). In Japan it holds ~60% of toilets against LIXIL; Japanese household penetration of warm-water bidet seats exceeds 80%. Overseas it is a premium niche brand with high awareness among travellers to Japan but small share against Kohler, American Standard and local champions. In ceramics, TOTO is reported as the #2 global ESC maker and a primary supplier for Lam's cryogenic dielectric etch tools.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998"/>
            <w:shd w:val="clear" w:color="auto" w:fill="16243D"/>
          </w:tcPr>
          <w:p>
            <w:r/>
            <w:r>
              <w:rPr>
                <w:b/>
                <w:i w:val="0"/>
                <w:color w:val="FFFFFF"/>
                <w:sz w:val="15"/>
              </w:rPr>
              <w:t>Moat category</w:t>
            </w:r>
          </w:p>
        </w:tc>
        <w:tc>
          <w:tcPr>
            <w:tcW w:type="dxa" w:w="3247"/>
            <w:shd w:val="clear" w:color="auto" w:fill="16243D"/>
          </w:tcPr>
          <w:p>
            <w:r/>
            <w:r>
              <w:rPr>
                <w:b/>
                <w:i w:val="0"/>
                <w:color w:val="FFFFFF"/>
                <w:sz w:val="15"/>
              </w:rPr>
              <w:t>Housing equipment</w:t>
            </w:r>
          </w:p>
        </w:tc>
        <w:tc>
          <w:tcPr>
            <w:tcW w:type="dxa" w:w="3247"/>
            <w:shd w:val="clear" w:color="auto" w:fill="16243D"/>
          </w:tcPr>
          <w:p>
            <w:r/>
            <w:r>
              <w:rPr>
                <w:b/>
                <w:i w:val="0"/>
                <w:color w:val="FFFFFF"/>
                <w:sz w:val="15"/>
              </w:rPr>
              <w:t>Advanced Ceramics</w:t>
            </w:r>
          </w:p>
        </w:tc>
        <w:tc>
          <w:tcPr>
            <w:tcW w:type="dxa" w:w="1374"/>
            <w:shd w:val="clear" w:color="auto" w:fill="16243D"/>
          </w:tcPr>
          <w:p>
            <w:r/>
            <w:r>
              <w:rPr>
                <w:b/>
                <w:i w:val="0"/>
                <w:color w:val="FFFFFF"/>
                <w:sz w:val="15"/>
              </w:rPr>
              <w:t>Strength</w:t>
            </w:r>
          </w:p>
        </w:tc>
      </w:tr>
      <w:tr>
        <w:tc>
          <w:tcPr>
            <w:tcW w:type="dxa" w:w="1998"/>
          </w:tcPr>
          <w:p>
            <w:r/>
            <w:r>
              <w:rPr>
                <w:b w:val="0"/>
                <w:i w:val="0"/>
                <w:sz w:val="15"/>
              </w:rPr>
              <w:t>Brand</w:t>
            </w:r>
          </w:p>
        </w:tc>
        <w:tc>
          <w:tcPr>
            <w:tcW w:type="dxa" w:w="3247"/>
          </w:tcPr>
          <w:p>
            <w:r/>
            <w:r>
              <w:rPr>
                <w:b w:val="0"/>
                <w:i w:val="0"/>
                <w:sz w:val="15"/>
              </w:rPr>
              <w:t>Very strong in Japan (Washlet generic); premium perception in US/Asia</w:t>
            </w:r>
          </w:p>
        </w:tc>
        <w:tc>
          <w:tcPr>
            <w:tcW w:type="dxa" w:w="3247"/>
          </w:tcPr>
          <w:p>
            <w:r/>
            <w:r>
              <w:rPr>
                <w:b w:val="0"/>
                <w:i w:val="0"/>
                <w:sz w:val="15"/>
              </w:rPr>
              <w:t>B2B — reputation for quality/yield with Lam</w:t>
            </w:r>
          </w:p>
        </w:tc>
        <w:tc>
          <w:tcPr>
            <w:tcW w:type="dxa" w:w="1374"/>
          </w:tcPr>
          <w:p>
            <w:r/>
            <w:r>
              <w:rPr>
                <w:b/>
                <w:i w:val="0"/>
                <w:sz w:val="15"/>
              </w:rPr>
              <w:t>Strong</w:t>
            </w:r>
          </w:p>
        </w:tc>
      </w:tr>
      <w:tr>
        <w:tc>
          <w:tcPr>
            <w:tcW w:type="dxa" w:w="1998"/>
            <w:shd w:val="clear" w:color="auto" w:fill="F1F3F7"/>
          </w:tcPr>
          <w:p>
            <w:r/>
            <w:r>
              <w:rPr>
                <w:b w:val="0"/>
                <w:i w:val="0"/>
                <w:sz w:val="15"/>
              </w:rPr>
              <w:t>Hard assets</w:t>
            </w:r>
          </w:p>
        </w:tc>
        <w:tc>
          <w:tcPr>
            <w:tcW w:type="dxa" w:w="3247"/>
            <w:shd w:val="clear" w:color="auto" w:fill="F1F3F7"/>
          </w:tcPr>
          <w:p>
            <w:r/>
            <w:r>
              <w:rPr>
                <w:b w:val="0"/>
                <w:i w:val="0"/>
                <w:sz w:val="15"/>
              </w:rPr>
              <w:t>~20 plants worldwide; kilns and casting know-how; logistics/showroom network</w:t>
            </w:r>
          </w:p>
        </w:tc>
        <w:tc>
          <w:tcPr>
            <w:tcW w:type="dxa" w:w="3247"/>
            <w:shd w:val="clear" w:color="auto" w:fill="F1F3F7"/>
          </w:tcPr>
          <w:p>
            <w:r/>
            <w:r>
              <w:rPr>
                <w:b w:val="0"/>
                <w:i w:val="0"/>
                <w:sz w:val="15"/>
              </w:rPr>
              <w:t>Proprietary sintering/bonding; new Buzen kiln, Nakatsu, Chigasaki R&amp;D</w:t>
            </w:r>
          </w:p>
        </w:tc>
        <w:tc>
          <w:tcPr>
            <w:tcW w:type="dxa" w:w="1374"/>
            <w:shd w:val="clear" w:color="auto" w:fill="F1F3F7"/>
          </w:tcPr>
          <w:p>
            <w:r/>
            <w:r>
              <w:rPr>
                <w:b w:val="0"/>
                <w:i w:val="0"/>
                <w:sz w:val="15"/>
              </w:rPr>
              <w:t>Moderate–Strong</w:t>
            </w:r>
          </w:p>
        </w:tc>
      </w:tr>
      <w:tr>
        <w:tc>
          <w:tcPr>
            <w:tcW w:type="dxa" w:w="1998"/>
          </w:tcPr>
          <w:p>
            <w:r/>
            <w:r>
              <w:rPr>
                <w:b w:val="0"/>
                <w:i w:val="0"/>
                <w:sz w:val="15"/>
              </w:rPr>
              <w:t>Long-term contracts</w:t>
            </w:r>
          </w:p>
        </w:tc>
        <w:tc>
          <w:tcPr>
            <w:tcW w:type="dxa" w:w="3247"/>
          </w:tcPr>
          <w:p>
            <w:r/>
            <w:r>
              <w:rPr>
                <w:b w:val="0"/>
                <w:i w:val="0"/>
                <w:sz w:val="15"/>
              </w:rPr>
              <w:t>None (price-list sales)</w:t>
            </w:r>
          </w:p>
        </w:tc>
        <w:tc>
          <w:tcPr>
            <w:tcW w:type="dxa" w:w="3247"/>
          </w:tcPr>
          <w:p>
            <w:r/>
            <w:r>
              <w:rPr>
                <w:b w:val="0"/>
                <w:i w:val="0"/>
                <w:sz w:val="15"/>
              </w:rPr>
              <w:t>Qualified-supplier positions — designed into tool platforms for a generation</w:t>
            </w:r>
          </w:p>
        </w:tc>
        <w:tc>
          <w:tcPr>
            <w:tcW w:type="dxa" w:w="1374"/>
          </w:tcPr>
          <w:p>
            <w:r/>
            <w:r>
              <w:rPr>
                <w:b w:val="0"/>
                <w:i w:val="0"/>
                <w:sz w:val="15"/>
              </w:rPr>
              <w:t>Moderate</w:t>
            </w:r>
          </w:p>
        </w:tc>
      </w:tr>
      <w:tr>
        <w:tc>
          <w:tcPr>
            <w:tcW w:type="dxa" w:w="1998"/>
            <w:shd w:val="clear" w:color="auto" w:fill="F1F3F7"/>
          </w:tcPr>
          <w:p>
            <w:r/>
            <w:r>
              <w:rPr>
                <w:b w:val="0"/>
                <w:i w:val="0"/>
                <w:sz w:val="15"/>
              </w:rPr>
              <w:t>Network effect</w:t>
            </w:r>
          </w:p>
        </w:tc>
        <w:tc>
          <w:tcPr>
            <w:tcW w:type="dxa" w:w="3247"/>
            <w:shd w:val="clear" w:color="auto" w:fill="F1F3F7"/>
          </w:tcPr>
          <w:p>
            <w:r/>
            <w:r>
              <w:rPr>
                <w:b w:val="0"/>
                <w:i w:val="0"/>
                <w:sz w:val="15"/>
              </w:rPr>
              <w:t>Remodel Club contractor network, showroom footfall</w:t>
            </w:r>
          </w:p>
        </w:tc>
        <w:tc>
          <w:tcPr>
            <w:tcW w:type="dxa" w:w="3247"/>
            <w:shd w:val="clear" w:color="auto" w:fill="F1F3F7"/>
          </w:tcPr>
          <w:p>
            <w:r/>
            <w:r>
              <w:rPr>
                <w:b w:val="0"/>
                <w:i w:val="0"/>
                <w:sz w:val="15"/>
              </w:rPr>
              <w:t>Co-development loop with Lam</w:t>
            </w:r>
          </w:p>
        </w:tc>
        <w:tc>
          <w:tcPr>
            <w:tcW w:type="dxa" w:w="1374"/>
            <w:shd w:val="clear" w:color="auto" w:fill="F1F3F7"/>
          </w:tcPr>
          <w:p>
            <w:r/>
            <w:r>
              <w:rPr>
                <w:b w:val="0"/>
                <w:i w:val="0"/>
                <w:sz w:val="15"/>
              </w:rPr>
              <w:t>Weak–Moderate</w:t>
            </w:r>
          </w:p>
        </w:tc>
      </w:tr>
      <w:tr>
        <w:tc>
          <w:tcPr>
            <w:tcW w:type="dxa" w:w="1998"/>
          </w:tcPr>
          <w:p>
            <w:r/>
            <w:r>
              <w:rPr>
                <w:b w:val="0"/>
                <w:i w:val="0"/>
                <w:sz w:val="15"/>
              </w:rPr>
              <w:t>Regulatory / switching costs</w:t>
            </w:r>
          </w:p>
        </w:tc>
        <w:tc>
          <w:tcPr>
            <w:tcW w:type="dxa" w:w="3247"/>
          </w:tcPr>
          <w:p>
            <w:r/>
            <w:r>
              <w:rPr>
                <w:b w:val="0"/>
                <w:i w:val="0"/>
                <w:sz w:val="15"/>
              </w:rPr>
              <w:t>Low for end user; moderate for builders (spec standardisation)</w:t>
            </w:r>
          </w:p>
        </w:tc>
        <w:tc>
          <w:tcPr>
            <w:tcW w:type="dxa" w:w="3247"/>
          </w:tcPr>
          <w:p>
            <w:r/>
            <w:r>
              <w:rPr>
                <w:b/>
                <w:i w:val="0"/>
                <w:sz w:val="15"/>
              </w:rPr>
              <w:t>High</w:t>
            </w:r>
            <w:r>
              <w:rPr>
                <w:b w:val="0"/>
                <w:i w:val="0"/>
                <w:sz w:val="15"/>
              </w:rPr>
              <w:t>: requalification of a chuck takes 12–24 months; process-of-record risk for fabs</w:t>
            </w:r>
          </w:p>
        </w:tc>
        <w:tc>
          <w:tcPr>
            <w:tcW w:type="dxa" w:w="1374"/>
          </w:tcPr>
          <w:p>
            <w:r/>
            <w:r>
              <w:rPr>
                <w:b/>
                <w:i w:val="0"/>
                <w:sz w:val="15"/>
              </w:rPr>
              <w:t>Strong (ceramics)</w:t>
            </w:r>
          </w:p>
        </w:tc>
      </w:tr>
      <w:tr>
        <w:tc>
          <w:tcPr>
            <w:tcW w:type="dxa" w:w="1998"/>
            <w:shd w:val="clear" w:color="auto" w:fill="F1F3F7"/>
          </w:tcPr>
          <w:p>
            <w:r/>
            <w:r>
              <w:rPr>
                <w:b w:val="0"/>
                <w:i w:val="0"/>
                <w:sz w:val="15"/>
              </w:rPr>
              <w:t>Oligopoly / monopoly</w:t>
            </w:r>
          </w:p>
        </w:tc>
        <w:tc>
          <w:tcPr>
            <w:tcW w:type="dxa" w:w="3247"/>
            <w:shd w:val="clear" w:color="auto" w:fill="F1F3F7"/>
          </w:tcPr>
          <w:p>
            <w:r/>
            <w:r>
              <w:rPr>
                <w:b w:val="0"/>
                <w:i w:val="0"/>
                <w:sz w:val="15"/>
              </w:rPr>
              <w:t>Japan duopoly (TOTO ~60%, LIXIL), Panasonic third</w:t>
            </w:r>
          </w:p>
        </w:tc>
        <w:tc>
          <w:tcPr>
            <w:tcW w:type="dxa" w:w="3247"/>
            <w:shd w:val="clear" w:color="auto" w:fill="F1F3F7"/>
          </w:tcPr>
          <w:p>
            <w:r/>
            <w:r>
              <w:rPr>
                <w:b w:val="0"/>
                <w:i w:val="0"/>
                <w:sz w:val="15"/>
              </w:rPr>
              <w:t>Top-4 ESC suppliers ~90% of market</w:t>
            </w:r>
          </w:p>
        </w:tc>
        <w:tc>
          <w:tcPr>
            <w:tcW w:type="dxa" w:w="1374"/>
            <w:shd w:val="clear" w:color="auto" w:fill="F1F3F7"/>
          </w:tcPr>
          <w:p>
            <w:r/>
            <w:r>
              <w:rPr>
                <w:b/>
                <w:i w:val="0"/>
                <w:sz w:val="15"/>
              </w:rPr>
              <w:t>Strong</w:t>
            </w:r>
          </w:p>
        </w:tc>
      </w:tr>
      <w:tr>
        <w:tc>
          <w:tcPr>
            <w:tcW w:type="dxa" w:w="1998"/>
          </w:tcPr>
          <w:p>
            <w:r/>
            <w:r>
              <w:rPr>
                <w:b w:val="0"/>
                <w:i w:val="0"/>
                <w:sz w:val="15"/>
              </w:rPr>
              <w:t>Cash-flow predictability</w:t>
            </w:r>
          </w:p>
        </w:tc>
        <w:tc>
          <w:tcPr>
            <w:tcW w:type="dxa" w:w="3247"/>
          </w:tcPr>
          <w:p>
            <w:r/>
            <w:r>
              <w:rPr>
                <w:b w:val="0"/>
                <w:i w:val="0"/>
                <w:sz w:val="15"/>
              </w:rPr>
              <w:t>High (replacement-led), but low margin</w:t>
            </w:r>
          </w:p>
        </w:tc>
        <w:tc>
          <w:tcPr>
            <w:tcW w:type="dxa" w:w="3247"/>
          </w:tcPr>
          <w:p>
            <w:r/>
            <w:r>
              <w:rPr>
                <w:b w:val="0"/>
                <w:i w:val="0"/>
                <w:sz w:val="15"/>
              </w:rPr>
              <w:t>Medium — recurring replacement but WFE cyclical</w:t>
            </w:r>
          </w:p>
        </w:tc>
        <w:tc>
          <w:tcPr>
            <w:tcW w:type="dxa" w:w="1374"/>
          </w:tcPr>
          <w:p>
            <w:r/>
            <w:r>
              <w:rPr>
                <w:b w:val="0"/>
                <w:i w:val="0"/>
                <w:sz w:val="15"/>
              </w:rPr>
              <w:t>Moderate</w:t>
            </w:r>
          </w:p>
        </w:tc>
      </w:tr>
      <w:tr>
        <w:tc>
          <w:tcPr>
            <w:tcW w:type="dxa" w:w="1998"/>
            <w:shd w:val="clear" w:color="auto" w:fill="F1F3F7"/>
          </w:tcPr>
          <w:p>
            <w:r/>
            <w:r>
              <w:rPr>
                <w:b w:val="0"/>
                <w:i w:val="0"/>
                <w:sz w:val="15"/>
              </w:rPr>
              <w:t>Scalability</w:t>
            </w:r>
          </w:p>
        </w:tc>
        <w:tc>
          <w:tcPr>
            <w:tcW w:type="dxa" w:w="3247"/>
            <w:shd w:val="clear" w:color="auto" w:fill="F1F3F7"/>
          </w:tcPr>
          <w:p>
            <w:r/>
            <w:r>
              <w:rPr>
                <w:b w:val="0"/>
                <w:i w:val="0"/>
                <w:sz w:val="15"/>
              </w:rPr>
              <w:t>Low — capital-intensive, mature</w:t>
            </w:r>
          </w:p>
        </w:tc>
        <w:tc>
          <w:tcPr>
            <w:tcW w:type="dxa" w:w="3247"/>
            <w:shd w:val="clear" w:color="auto" w:fill="F1F3F7"/>
          </w:tcPr>
          <w:p>
            <w:r/>
            <w:r>
              <w:rPr>
                <w:b w:val="0"/>
                <w:i w:val="0"/>
                <w:sz w:val="15"/>
              </w:rPr>
              <w:t>Medium — capacity-constrained; each +20% requires a new kiln</w:t>
            </w:r>
          </w:p>
        </w:tc>
        <w:tc>
          <w:tcPr>
            <w:tcW w:type="dxa" w:w="1374"/>
            <w:shd w:val="clear" w:color="auto" w:fill="F1F3F7"/>
          </w:tcPr>
          <w:p>
            <w:r/>
            <w:r>
              <w:rPr>
                <w:b w:val="0"/>
                <w:i w:val="0"/>
                <w:sz w:val="15"/>
              </w:rPr>
              <w:t>Moderate</w:t>
            </w:r>
          </w:p>
        </w:tc>
      </w:tr>
      <w:tr>
        <w:tc>
          <w:tcPr>
            <w:tcW w:type="dxa" w:w="1998"/>
          </w:tcPr>
          <w:p>
            <w:r/>
            <w:r>
              <w:rPr>
                <w:b w:val="0"/>
                <w:i w:val="0"/>
                <w:sz w:val="15"/>
              </w:rPr>
              <w:t>Government interference risk</w:t>
            </w:r>
          </w:p>
        </w:tc>
        <w:tc>
          <w:tcPr>
            <w:tcW w:type="dxa" w:w="3247"/>
          </w:tcPr>
          <w:p>
            <w:r/>
            <w:r>
              <w:rPr>
                <w:b w:val="0"/>
                <w:i w:val="0"/>
                <w:sz w:val="15"/>
              </w:rPr>
              <w:t>Low in Japan; tariffs in US; China policy</w:t>
            </w:r>
          </w:p>
        </w:tc>
        <w:tc>
          <w:tcPr>
            <w:tcW w:type="dxa" w:w="3247"/>
          </w:tcPr>
          <w:p>
            <w:r/>
            <w:r>
              <w:rPr>
                <w:b w:val="0"/>
                <w:i w:val="0"/>
                <w:sz w:val="15"/>
              </w:rPr>
              <w:t>Export controls; FEFTA protects from foreign takeover</w:t>
            </w:r>
          </w:p>
        </w:tc>
        <w:tc>
          <w:tcPr>
            <w:tcW w:type="dxa" w:w="1374"/>
          </w:tcPr>
          <w:p>
            <w:r/>
            <w:r>
              <w:rPr>
                <w:b w:val="0"/>
                <w:i w:val="0"/>
                <w:sz w:val="15"/>
              </w:rPr>
              <w:t>Moderate</w:t>
            </w:r>
          </w:p>
        </w:tc>
      </w:tr>
      <w:tr>
        <w:tc>
          <w:tcPr>
            <w:tcW w:type="dxa" w:w="1998"/>
            <w:shd w:val="clear" w:color="auto" w:fill="F1F3F7"/>
          </w:tcPr>
          <w:p>
            <w:r/>
            <w:r>
              <w:rPr>
                <w:b w:val="0"/>
                <w:i w:val="0"/>
                <w:sz w:val="15"/>
              </w:rPr>
              <w:t>Bargaining power</w:t>
            </w:r>
          </w:p>
        </w:tc>
        <w:tc>
          <w:tcPr>
            <w:tcW w:type="dxa" w:w="3247"/>
            <w:shd w:val="clear" w:color="auto" w:fill="F1F3F7"/>
          </w:tcPr>
          <w:p>
            <w:r/>
            <w:r>
              <w:rPr>
                <w:b w:val="0"/>
                <w:i w:val="0"/>
                <w:sz w:val="15"/>
              </w:rPr>
              <w:t>Strong vs wholesalers; weak vs large homebuilders; price leadership in Japan</w:t>
            </w:r>
          </w:p>
        </w:tc>
        <w:tc>
          <w:tcPr>
            <w:tcW w:type="dxa" w:w="3247"/>
            <w:shd w:val="clear" w:color="auto" w:fill="F1F3F7"/>
          </w:tcPr>
          <w:p>
            <w:r/>
            <w:r>
              <w:rPr>
                <w:b w:val="0"/>
                <w:i w:val="0"/>
                <w:sz w:val="15"/>
              </w:rPr>
              <w:t>Balanced — Lam is concentrated buyer but TOTO is hard to replace</w:t>
            </w:r>
          </w:p>
        </w:tc>
        <w:tc>
          <w:tcPr>
            <w:tcW w:type="dxa" w:w="1374"/>
            <w:shd w:val="clear" w:color="auto" w:fill="F1F3F7"/>
          </w:tcPr>
          <w:p>
            <w:r/>
            <w:r>
              <w:rPr>
                <w:b w:val="0"/>
                <w:i w:val="0"/>
                <w:sz w:val="15"/>
              </w:rPr>
              <w:t>Moderate–Strong</w:t>
            </w:r>
          </w:p>
        </w:tc>
      </w:tr>
    </w:tbl>
    <w:p>
      <w:r>
        <w:rPr>
          <w:b w:val="0"/>
          <w:i/>
          <w:color w:val="5E6878"/>
          <w:sz w:val="14"/>
        </w:rPr>
        <w:t>Our assessment.</w:t>
      </w:r>
    </w:p>
    <w:p>
      <w:pPr>
        <w:spacing w:after="80"/>
      </w:pPr>
      <w:r>
        <w:rPr>
          <w:b/>
          <w:i w:val="0"/>
        </w:rPr>
        <w:t>Product comparison.</w:t>
      </w:r>
      <w:r>
        <w:rPr>
          <w:b w:val="0"/>
          <w:i w:val="0"/>
        </w:rPr>
        <w:t xml:space="preserve"> TOTO's Washlet/NEOREST line carries a 20–40% price premium over LIXIL/INAX and Panasonic equivalents in Japan, justified by reliability, self-cleaning glaze (CeFiONtect), Tornado flush and service network. In the US, TOTO is positioned above Kohler/American Standard in bidet seats but with smaller distribution; Kohler out-spends it on marketing. In China, local brands now match features at 30–50% lower prices, eroding TOTO's premium — the root cause of the China impairment.</w:t>
      </w:r>
    </w:p>
    <w:p>
      <w:pPr>
        <w:pStyle w:val="Heading1"/>
      </w:pPr>
      <w:r>
        <w:t>7. Supply Chain Map</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409"/>
            <w:shd w:val="clear" w:color="auto" w:fill="16243D"/>
          </w:tcPr>
          <w:p>
            <w:r/>
            <w:r>
              <w:rPr>
                <w:b/>
                <w:i w:val="0"/>
                <w:color w:val="FFFFFF"/>
                <w:sz w:val="15"/>
              </w:rPr>
              <w:t>Stage</w:t>
            </w:r>
          </w:p>
        </w:tc>
        <w:tc>
          <w:tcPr>
            <w:tcW w:type="dxa" w:w="2385"/>
            <w:shd w:val="clear" w:color="auto" w:fill="16243D"/>
          </w:tcPr>
          <w:p>
            <w:r/>
            <w:r>
              <w:rPr>
                <w:b/>
                <w:i w:val="0"/>
                <w:color w:val="FFFFFF"/>
                <w:sz w:val="15"/>
              </w:rPr>
              <w:t>Activities</w:t>
            </w:r>
          </w:p>
        </w:tc>
        <w:tc>
          <w:tcPr>
            <w:tcW w:type="dxa" w:w="4336"/>
            <w:shd w:val="clear" w:color="auto" w:fill="16243D"/>
          </w:tcPr>
          <w:p>
            <w:r/>
            <w:r>
              <w:rPr>
                <w:b/>
                <w:i w:val="0"/>
                <w:color w:val="FFFFFF"/>
                <w:sz w:val="15"/>
              </w:rPr>
              <w:t>Stakeholders (named where known)</w:t>
            </w:r>
          </w:p>
        </w:tc>
        <w:tc>
          <w:tcPr>
            <w:tcW w:type="dxa" w:w="1734"/>
            <w:shd w:val="clear" w:color="auto" w:fill="16243D"/>
          </w:tcPr>
          <w:p>
            <w:r/>
            <w:r>
              <w:rPr>
                <w:b/>
                <w:i w:val="0"/>
                <w:color w:val="FFFFFF"/>
                <w:sz w:val="15"/>
              </w:rPr>
              <w:t>TOTO's power</w:t>
            </w:r>
          </w:p>
        </w:tc>
      </w:tr>
      <w:tr>
        <w:tc>
          <w:tcPr>
            <w:tcW w:type="dxa" w:w="1409"/>
          </w:tcPr>
          <w:p>
            <w:r/>
            <w:r>
              <w:rPr>
                <w:b w:val="0"/>
                <w:i w:val="0"/>
                <w:sz w:val="15"/>
              </w:rPr>
              <w:t>1. Raw materials</w:t>
            </w:r>
          </w:p>
        </w:tc>
        <w:tc>
          <w:tcPr>
            <w:tcW w:type="dxa" w:w="2385"/>
          </w:tcPr>
          <w:p>
            <w:r/>
            <w:r>
              <w:rPr>
                <w:b w:val="0"/>
                <w:i w:val="0"/>
                <w:sz w:val="15"/>
              </w:rPr>
              <w:t>Kaolin, ball clay, feldspar, silica; brass/copper rod; resins; electronic components; high-purity Al2O3/AlN powders</w:t>
            </w:r>
          </w:p>
        </w:tc>
        <w:tc>
          <w:tcPr>
            <w:tcW w:type="dxa" w:w="4336"/>
          </w:tcPr>
          <w:p>
            <w:r/>
            <w:r>
              <w:rPr>
                <w:b w:val="0"/>
                <w:i w:val="0"/>
                <w:sz w:val="15"/>
              </w:rPr>
              <w:t>Mining/minerals suppliers (domestic and imported); copper alloy mills; chemical makers; AlN/alumina powder makers (e.g. Tokuyama, Denka, Sumitomo Chemical — industry leaders, TOTO-specific not disclosed)</w:t>
            </w:r>
          </w:p>
        </w:tc>
        <w:tc>
          <w:tcPr>
            <w:tcW w:type="dxa" w:w="1734"/>
          </w:tcPr>
          <w:p>
            <w:r/>
            <w:r>
              <w:rPr>
                <w:b w:val="0"/>
                <w:i w:val="0"/>
                <w:sz w:val="15"/>
              </w:rPr>
              <w:t>Moderate — commodity inputs; specialty powders more concentrated</w:t>
            </w:r>
          </w:p>
        </w:tc>
      </w:tr>
      <w:tr>
        <w:tc>
          <w:tcPr>
            <w:tcW w:type="dxa" w:w="1409"/>
            <w:shd w:val="clear" w:color="auto" w:fill="F1F3F7"/>
          </w:tcPr>
          <w:p>
            <w:r/>
            <w:r>
              <w:rPr>
                <w:b w:val="0"/>
                <w:i w:val="0"/>
                <w:sz w:val="15"/>
              </w:rPr>
              <w:t>2. Manufacturing</w:t>
            </w:r>
          </w:p>
        </w:tc>
        <w:tc>
          <w:tcPr>
            <w:tcW w:type="dxa" w:w="2385"/>
            <w:shd w:val="clear" w:color="auto" w:fill="F1F3F7"/>
          </w:tcPr>
          <w:p>
            <w:r/>
            <w:r>
              <w:rPr>
                <w:b w:val="0"/>
                <w:i w:val="0"/>
                <w:sz w:val="15"/>
              </w:rPr>
              <w:t>Casting, glazing, kiln firing (sanitary); faucet machining; Washlet assembly; ceramic sintering, electrode embedding, bonding (ESC)</w:t>
            </w:r>
          </w:p>
        </w:tc>
        <w:tc>
          <w:tcPr>
            <w:tcW w:type="dxa" w:w="4336"/>
            <w:shd w:val="clear" w:color="auto" w:fill="F1F3F7"/>
          </w:tcPr>
          <w:p>
            <w:r/>
            <w:r>
              <w:rPr>
                <w:b w:val="0"/>
                <w:i w:val="0"/>
                <w:sz w:val="15"/>
              </w:rPr>
              <w:t>TOTO plants: Kitakyushu/Kokura, Chigasaki, Shiga, Oita (Nakatsu – TOTO Fine Ceramics), Buzen (Fukuoka); Vietnam (4 plants incl. faucet plant Vinh Phuc), Thailand, Malaysia, India (Halol), China (Zhangzhou, Dalian; Beijing/Shanghai closed 2025), USA (Morrow &amp; Lakewood, GA), Mexico</w:t>
            </w:r>
          </w:p>
        </w:tc>
        <w:tc>
          <w:tcPr>
            <w:tcW w:type="dxa" w:w="1734"/>
            <w:shd w:val="clear" w:color="auto" w:fill="F1F3F7"/>
          </w:tcPr>
          <w:p>
            <w:r/>
            <w:r>
              <w:rPr>
                <w:b w:val="0"/>
                <w:i w:val="0"/>
                <w:sz w:val="15"/>
              </w:rPr>
              <w:t>High — vertically integrated, proprietary process</w:t>
            </w:r>
          </w:p>
        </w:tc>
      </w:tr>
      <w:tr>
        <w:tc>
          <w:tcPr>
            <w:tcW w:type="dxa" w:w="1409"/>
          </w:tcPr>
          <w:p>
            <w:r/>
            <w:r>
              <w:rPr>
                <w:b w:val="0"/>
                <w:i w:val="0"/>
                <w:sz w:val="15"/>
              </w:rPr>
              <w:t>3a. Distribution – housing</w:t>
            </w:r>
          </w:p>
        </w:tc>
        <w:tc>
          <w:tcPr>
            <w:tcW w:type="dxa" w:w="2385"/>
          </w:tcPr>
          <w:p>
            <w:r/>
            <w:r>
              <w:rPr>
                <w:b w:val="0"/>
                <w:i w:val="0"/>
                <w:sz w:val="15"/>
              </w:rPr>
              <w:t>Wholesale, logistics, showroom, specification</w:t>
            </w:r>
          </w:p>
        </w:tc>
        <w:tc>
          <w:tcPr>
            <w:tcW w:type="dxa" w:w="4336"/>
          </w:tcPr>
          <w:p>
            <w:r/>
            <w:r>
              <w:rPr>
                <w:b w:val="0"/>
                <w:i w:val="0"/>
                <w:sz w:val="15"/>
              </w:rPr>
              <w:t>Japan: plumbing/building wholesalers (e.g. Hashimoto Sogyo, Watanabe Pipe), home centres; US: plumbing distributors (e.g. Ferguson), showrooms, e-commerce; China/Asia: regional distributors</w:t>
            </w:r>
          </w:p>
        </w:tc>
        <w:tc>
          <w:tcPr>
            <w:tcW w:type="dxa" w:w="1734"/>
          </w:tcPr>
          <w:p>
            <w:r/>
            <w:r>
              <w:rPr>
                <w:b w:val="0"/>
                <w:i w:val="0"/>
                <w:sz w:val="15"/>
              </w:rPr>
              <w:t>Strong in Japan (category leader); weaker overseas</w:t>
            </w:r>
          </w:p>
        </w:tc>
      </w:tr>
      <w:tr>
        <w:tc>
          <w:tcPr>
            <w:tcW w:type="dxa" w:w="1409"/>
            <w:shd w:val="clear" w:color="auto" w:fill="F1F3F7"/>
          </w:tcPr>
          <w:p>
            <w:r/>
            <w:r>
              <w:rPr>
                <w:b w:val="0"/>
                <w:i w:val="0"/>
                <w:sz w:val="15"/>
              </w:rPr>
              <w:t>3b. Distribution – ceramics</w:t>
            </w:r>
          </w:p>
        </w:tc>
        <w:tc>
          <w:tcPr>
            <w:tcW w:type="dxa" w:w="2385"/>
            <w:shd w:val="clear" w:color="auto" w:fill="F1F3F7"/>
          </w:tcPr>
          <w:p>
            <w:r/>
            <w:r>
              <w:rPr>
                <w:b w:val="0"/>
                <w:i w:val="0"/>
                <w:sz w:val="15"/>
              </w:rPr>
              <w:t>Direct to OEMs, co-design, qualification</w:t>
            </w:r>
          </w:p>
        </w:tc>
        <w:tc>
          <w:tcPr>
            <w:tcW w:type="dxa" w:w="4336"/>
            <w:shd w:val="clear" w:color="auto" w:fill="F1F3F7"/>
          </w:tcPr>
          <w:p>
            <w:r/>
            <w:r>
              <w:rPr>
                <w:b w:val="0"/>
                <w:i w:val="0"/>
                <w:sz w:val="15"/>
              </w:rPr>
              <w:t>Lam Research (primary); potentially Applied Materials, Tokyo Electron</w:t>
            </w:r>
          </w:p>
        </w:tc>
        <w:tc>
          <w:tcPr>
            <w:tcW w:type="dxa" w:w="1734"/>
            <w:shd w:val="clear" w:color="auto" w:fill="F1F3F7"/>
          </w:tcPr>
          <w:p>
            <w:r/>
            <w:r>
              <w:rPr>
                <w:b w:val="0"/>
                <w:i w:val="0"/>
                <w:sz w:val="15"/>
              </w:rPr>
              <w:t>Balanced — concentrated customer</w:t>
            </w:r>
          </w:p>
        </w:tc>
      </w:tr>
      <w:tr>
        <w:tc>
          <w:tcPr>
            <w:tcW w:type="dxa" w:w="1409"/>
          </w:tcPr>
          <w:p>
            <w:r/>
            <w:r>
              <w:rPr>
                <w:b w:val="0"/>
                <w:i w:val="0"/>
                <w:sz w:val="15"/>
              </w:rPr>
              <w:t>4. Installers / integrators</w:t>
            </w:r>
          </w:p>
        </w:tc>
        <w:tc>
          <w:tcPr>
            <w:tcW w:type="dxa" w:w="2385"/>
          </w:tcPr>
          <w:p>
            <w:r/>
            <w:r>
              <w:rPr>
                <w:b w:val="0"/>
                <w:i w:val="0"/>
                <w:sz w:val="15"/>
              </w:rPr>
              <w:t>Construction, remodelling, system-bath integration</w:t>
            </w:r>
          </w:p>
        </w:tc>
        <w:tc>
          <w:tcPr>
            <w:tcW w:type="dxa" w:w="4336"/>
          </w:tcPr>
          <w:p>
            <w:r/>
            <w:r>
              <w:rPr>
                <w:b w:val="0"/>
                <w:i w:val="0"/>
                <w:sz w:val="15"/>
              </w:rPr>
              <w:t>Homebuilders (Sekisui House, Daiwa House, Sumitomo Forestry, Iida Group), general contractors, TOTO Remodel Club, TDY alliance (Daiken, YKK AP)</w:t>
            </w:r>
          </w:p>
        </w:tc>
        <w:tc>
          <w:tcPr>
            <w:tcW w:type="dxa" w:w="1734"/>
          </w:tcPr>
          <w:p>
            <w:r/>
            <w:r>
              <w:rPr>
                <w:b w:val="0"/>
                <w:i w:val="0"/>
                <w:sz w:val="15"/>
              </w:rPr>
              <w:t>Moderate</w:t>
            </w:r>
          </w:p>
        </w:tc>
      </w:tr>
      <w:tr>
        <w:tc>
          <w:tcPr>
            <w:tcW w:type="dxa" w:w="1409"/>
            <w:shd w:val="clear" w:color="auto" w:fill="F1F3F7"/>
          </w:tcPr>
          <w:p>
            <w:r/>
            <w:r>
              <w:rPr>
                <w:b w:val="0"/>
                <w:i w:val="0"/>
                <w:sz w:val="15"/>
              </w:rPr>
              <w:t>5. End customers</w:t>
            </w:r>
          </w:p>
        </w:tc>
        <w:tc>
          <w:tcPr>
            <w:tcW w:type="dxa" w:w="2385"/>
            <w:shd w:val="clear" w:color="auto" w:fill="F1F3F7"/>
          </w:tcPr>
          <w:p>
            <w:r/>
            <w:r>
              <w:rPr>
                <w:b w:val="0"/>
                <w:i w:val="0"/>
                <w:sz w:val="15"/>
              </w:rPr>
              <w:t>Homeowners, hotels, offices, public facilities; memory and logic fabs</w:t>
            </w:r>
          </w:p>
        </w:tc>
        <w:tc>
          <w:tcPr>
            <w:tcW w:type="dxa" w:w="4336"/>
            <w:shd w:val="clear" w:color="auto" w:fill="F1F3F7"/>
          </w:tcPr>
          <w:p>
            <w:r/>
            <w:r>
              <w:rPr>
                <w:b w:val="0"/>
                <w:i w:val="0"/>
                <w:sz w:val="15"/>
              </w:rPr>
              <w:t>Households; hospitality chains; Samsung, SK hynix, Kioxia/SanDisk, Micron, (YMTC)</w:t>
            </w:r>
          </w:p>
        </w:tc>
        <w:tc>
          <w:tcPr>
            <w:tcW w:type="dxa" w:w="1734"/>
            <w:shd w:val="clear" w:color="auto" w:fill="F1F3F7"/>
          </w:tcPr>
          <w:p>
            <w:r/>
            <w:r>
              <w:rPr>
                <w:b w:val="0"/>
                <w:i w:val="0"/>
                <w:sz w:val="15"/>
              </w:rPr>
              <w:t>Brand pull in Japan; derived demand in chips</w:t>
            </w:r>
          </w:p>
        </w:tc>
      </w:tr>
      <w:tr>
        <w:tc>
          <w:tcPr>
            <w:tcW w:type="dxa" w:w="1409"/>
          </w:tcPr>
          <w:p>
            <w:r/>
            <w:r>
              <w:rPr>
                <w:b w:val="0"/>
                <w:i w:val="0"/>
                <w:sz w:val="15"/>
              </w:rPr>
              <w:t>Competing suppliers at each stage</w:t>
            </w:r>
          </w:p>
        </w:tc>
        <w:tc>
          <w:tcPr>
            <w:tcW w:type="dxa" w:w="2385"/>
          </w:tcPr>
          <w:p>
            <w:r/>
          </w:p>
        </w:tc>
        <w:tc>
          <w:tcPr>
            <w:tcW w:type="dxa" w:w="4336"/>
          </w:tcPr>
          <w:p>
            <w:r/>
            <w:r>
              <w:rPr>
                <w:b w:val="0"/>
                <w:i w:val="0"/>
                <w:sz w:val="15"/>
              </w:rPr>
              <w:t>LIXIL, Panasonic, Takara Standard, Cleanup, Kohler, Roca, Geberit, Masco, V&amp;B; ESC: AMAT/Lam in-house, Shinko (JIC), NGK, Kyocera, Niterra, Entegris, MiCo, CoorsTek</w:t>
            </w:r>
          </w:p>
        </w:tc>
        <w:tc>
          <w:tcPr>
            <w:tcW w:type="dxa" w:w="1734"/>
          </w:tcPr>
          <w:p>
            <w:r/>
          </w:p>
        </w:tc>
      </w:tr>
    </w:tbl>
    <w:p>
      <w:r>
        <w:rPr>
          <w:b w:val="0"/>
          <w:i/>
          <w:color w:val="5E6878"/>
          <w:sz w:val="14"/>
        </w:rPr>
        <w:t>Named distribution partners/customers are industry participants identified from public sources; TOTO does not disclose a supplier or customer list.</w:t>
      </w:r>
    </w:p>
    <w:p>
      <w:pPr>
        <w:pStyle w:val="Heading1"/>
      </w:pPr>
      <w:r>
        <w:t>8. Financial Analysis: Five-Year Review by Division and Geography</w:t>
      </w:r>
    </w:p>
    <w:p>
      <w:r>
        <w:drawing>
          <wp:inline xmlns:a="http://schemas.openxmlformats.org/drawingml/2006/main" xmlns:pic="http://schemas.openxmlformats.org/drawingml/2006/picture">
            <wp:extent cx="5950799" cy="2394834"/>
            <wp:docPr id="2" name="Picture 2"/>
            <wp:cNvGraphicFramePr>
              <a:graphicFrameLocks noChangeAspect="1"/>
            </wp:cNvGraphicFramePr>
            <a:graphic>
              <a:graphicData uri="http://schemas.openxmlformats.org/drawingml/2006/picture">
                <pic:pic>
                  <pic:nvPicPr>
                    <pic:cNvPr id="0" name="sales_op.png"/>
                    <pic:cNvPicPr/>
                  </pic:nvPicPr>
                  <pic:blipFill>
                    <a:blip r:embed="rId11"/>
                    <a:stretch>
                      <a:fillRect/>
                    </a:stretch>
                  </pic:blipFill>
                  <pic:spPr>
                    <a:xfrm>
                      <a:off x="0" y="0"/>
                      <a:ext cx="5950799" cy="2394834"/>
                    </a:xfrm>
                    <a:prstGeom prst="rect"/>
                  </pic:spPr>
                </pic:pic>
              </a:graphicData>
            </a:graphic>
          </wp:inline>
        </w:drawing>
      </w:r>
    </w:p>
    <w:p>
      <w:r>
        <w:rPr>
          <w:b w:val="0"/>
          <w:i/>
          <w:color w:val="5E6878"/>
          <w:sz w:val="14"/>
        </w:rPr>
        <w:t>Net sales (bars, JPY bn) and operating margin (line). FY3/27E–FY3/29E are our estimates.</w:t>
      </w:r>
    </w:p>
    <w:p>
      <w:pPr>
        <w:pStyle w:val="Heading2"/>
      </w:pPr>
      <w:r>
        <w:t>8.1 Consolidated P&amp;L (JPY bn, FY ending March)</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c>
          <w:tcPr>
            <w:tcW w:type="dxa" w:w="2367"/>
            <w:shd w:val="clear" w:color="auto" w:fill="16243D"/>
          </w:tcPr>
          <w:p>
            <w:r/>
          </w:p>
        </w:tc>
        <w:tc>
          <w:tcPr>
            <w:tcW w:type="dxa" w:w="986"/>
            <w:shd w:val="clear" w:color="auto" w:fill="16243D"/>
          </w:tcPr>
          <w:p>
            <w:r/>
            <w:r>
              <w:rPr>
                <w:b/>
                <w:i w:val="0"/>
                <w:color w:val="FFFFFF"/>
                <w:sz w:val="15"/>
              </w:rPr>
              <w:t>FY3/22</w:t>
            </w:r>
          </w:p>
        </w:tc>
        <w:tc>
          <w:tcPr>
            <w:tcW w:type="dxa" w:w="986"/>
            <w:shd w:val="clear" w:color="auto" w:fill="16243D"/>
          </w:tcPr>
          <w:p>
            <w:r/>
            <w:r>
              <w:rPr>
                <w:b/>
                <w:i w:val="0"/>
                <w:color w:val="FFFFFF"/>
                <w:sz w:val="15"/>
              </w:rPr>
              <w:t>FY3/23</w:t>
            </w:r>
          </w:p>
        </w:tc>
        <w:tc>
          <w:tcPr>
            <w:tcW w:type="dxa" w:w="986"/>
            <w:shd w:val="clear" w:color="auto" w:fill="16243D"/>
          </w:tcPr>
          <w:p>
            <w:r/>
            <w:r>
              <w:rPr>
                <w:b/>
                <w:i w:val="0"/>
                <w:color w:val="FFFFFF"/>
                <w:sz w:val="15"/>
              </w:rPr>
              <w:t>FY3/24</w:t>
            </w:r>
          </w:p>
        </w:tc>
        <w:tc>
          <w:tcPr>
            <w:tcW w:type="dxa" w:w="986"/>
            <w:shd w:val="clear" w:color="auto" w:fill="16243D"/>
          </w:tcPr>
          <w:p>
            <w:r/>
            <w:r>
              <w:rPr>
                <w:b/>
                <w:i w:val="0"/>
                <w:color w:val="FFFFFF"/>
                <w:sz w:val="15"/>
              </w:rPr>
              <w:t>FY3/25</w:t>
            </w:r>
          </w:p>
        </w:tc>
        <w:tc>
          <w:tcPr>
            <w:tcW w:type="dxa" w:w="986"/>
            <w:shd w:val="clear" w:color="auto" w:fill="16243D"/>
          </w:tcPr>
          <w:p>
            <w:r/>
            <w:r>
              <w:rPr>
                <w:b/>
                <w:i w:val="0"/>
                <w:color w:val="FFFFFF"/>
                <w:sz w:val="15"/>
              </w:rPr>
              <w:t>FY3/26</w:t>
            </w:r>
          </w:p>
        </w:tc>
        <w:tc>
          <w:tcPr>
            <w:tcW w:type="dxa" w:w="2565"/>
            <w:shd w:val="clear" w:color="auto" w:fill="16243D"/>
          </w:tcPr>
          <w:p>
            <w:r/>
            <w:r>
              <w:rPr>
                <w:b/>
                <w:i w:val="0"/>
                <w:color w:val="FFFFFF"/>
                <w:sz w:val="15"/>
              </w:rPr>
              <w:t>5-yr CAGR / comment</w:t>
            </w:r>
          </w:p>
        </w:tc>
      </w:tr>
      <w:tr>
        <w:tc>
          <w:tcPr>
            <w:tcW w:type="dxa" w:w="2367"/>
          </w:tcPr>
          <w:p>
            <w:r/>
            <w:r>
              <w:rPr>
                <w:b w:val="0"/>
                <w:i w:val="0"/>
                <w:sz w:val="15"/>
              </w:rPr>
              <w:t>Net sales</w:t>
            </w:r>
          </w:p>
        </w:tc>
        <w:tc>
          <w:tcPr>
            <w:tcW w:type="dxa" w:w="986"/>
          </w:tcPr>
          <w:p>
            <w:r/>
            <w:r>
              <w:rPr>
                <w:b w:val="0"/>
                <w:i w:val="0"/>
                <w:sz w:val="15"/>
              </w:rPr>
              <w:t>645.3</w:t>
            </w:r>
          </w:p>
        </w:tc>
        <w:tc>
          <w:tcPr>
            <w:tcW w:type="dxa" w:w="986"/>
          </w:tcPr>
          <w:p>
            <w:r/>
            <w:r>
              <w:rPr>
                <w:b w:val="0"/>
                <w:i w:val="0"/>
                <w:sz w:val="15"/>
              </w:rPr>
              <w:t>701.2</w:t>
            </w:r>
          </w:p>
        </w:tc>
        <w:tc>
          <w:tcPr>
            <w:tcW w:type="dxa" w:w="986"/>
          </w:tcPr>
          <w:p>
            <w:r/>
            <w:r>
              <w:rPr>
                <w:b w:val="0"/>
                <w:i w:val="0"/>
                <w:sz w:val="15"/>
              </w:rPr>
              <w:t>702.3</w:t>
            </w:r>
          </w:p>
        </w:tc>
        <w:tc>
          <w:tcPr>
            <w:tcW w:type="dxa" w:w="986"/>
          </w:tcPr>
          <w:p>
            <w:r/>
            <w:r>
              <w:rPr>
                <w:b w:val="0"/>
                <w:i w:val="0"/>
                <w:sz w:val="15"/>
              </w:rPr>
              <w:t>724.5</w:t>
            </w:r>
          </w:p>
        </w:tc>
        <w:tc>
          <w:tcPr>
            <w:tcW w:type="dxa" w:w="986"/>
          </w:tcPr>
          <w:p>
            <w:r/>
            <w:r>
              <w:rPr>
                <w:b w:val="0"/>
                <w:i w:val="0"/>
                <w:sz w:val="15"/>
              </w:rPr>
              <w:t>737.4</w:t>
            </w:r>
          </w:p>
        </w:tc>
        <w:tc>
          <w:tcPr>
            <w:tcW w:type="dxa" w:w="2565"/>
          </w:tcPr>
          <w:p>
            <w:r/>
            <w:r>
              <w:rPr>
                <w:b w:val="0"/>
                <w:i w:val="0"/>
                <w:sz w:val="15"/>
              </w:rPr>
              <w:t>+3.4% (FY22–26)</w:t>
            </w:r>
          </w:p>
        </w:tc>
      </w:tr>
      <w:tr>
        <w:tc>
          <w:tcPr>
            <w:tcW w:type="dxa" w:w="2367"/>
            <w:shd w:val="clear" w:color="auto" w:fill="F1F3F7"/>
          </w:tcPr>
          <w:p>
            <w:r/>
            <w:r>
              <w:rPr>
                <w:b w:val="0"/>
                <w:i w:val="0"/>
                <w:sz w:val="15"/>
              </w:rPr>
              <w:t xml:space="preserve">  growth</w:t>
            </w:r>
          </w:p>
        </w:tc>
        <w:tc>
          <w:tcPr>
            <w:tcW w:type="dxa" w:w="986"/>
            <w:shd w:val="clear" w:color="auto" w:fill="F1F3F7"/>
          </w:tcPr>
          <w:p>
            <w:r/>
            <w:r>
              <w:rPr>
                <w:b w:val="0"/>
                <w:i w:val="0"/>
                <w:sz w:val="15"/>
              </w:rPr>
              <w:t>—</w:t>
            </w:r>
          </w:p>
        </w:tc>
        <w:tc>
          <w:tcPr>
            <w:tcW w:type="dxa" w:w="986"/>
            <w:shd w:val="clear" w:color="auto" w:fill="F1F3F7"/>
          </w:tcPr>
          <w:p>
            <w:r/>
            <w:r>
              <w:rPr>
                <w:b w:val="0"/>
                <w:i w:val="0"/>
                <w:sz w:val="15"/>
              </w:rPr>
              <w:t>+8.7%</w:t>
            </w:r>
          </w:p>
        </w:tc>
        <w:tc>
          <w:tcPr>
            <w:tcW w:type="dxa" w:w="986"/>
            <w:shd w:val="clear" w:color="auto" w:fill="F1F3F7"/>
          </w:tcPr>
          <w:p>
            <w:r/>
            <w:r>
              <w:rPr>
                <w:b w:val="0"/>
                <w:i w:val="0"/>
                <w:sz w:val="15"/>
              </w:rPr>
              <w:t>+0.2%</w:t>
            </w:r>
          </w:p>
        </w:tc>
        <w:tc>
          <w:tcPr>
            <w:tcW w:type="dxa" w:w="986"/>
            <w:shd w:val="clear" w:color="auto" w:fill="F1F3F7"/>
          </w:tcPr>
          <w:p>
            <w:r/>
            <w:r>
              <w:rPr>
                <w:b w:val="0"/>
                <w:i w:val="0"/>
                <w:sz w:val="15"/>
              </w:rPr>
              <w:t>+3.2%</w:t>
            </w:r>
          </w:p>
        </w:tc>
        <w:tc>
          <w:tcPr>
            <w:tcW w:type="dxa" w:w="986"/>
            <w:shd w:val="clear" w:color="auto" w:fill="F1F3F7"/>
          </w:tcPr>
          <w:p>
            <w:r/>
            <w:r>
              <w:rPr>
                <w:b w:val="0"/>
                <w:i w:val="0"/>
                <w:sz w:val="15"/>
              </w:rPr>
              <w:t>+1.8%</w:t>
            </w:r>
          </w:p>
        </w:tc>
        <w:tc>
          <w:tcPr>
            <w:tcW w:type="dxa" w:w="2565"/>
            <w:shd w:val="clear" w:color="auto" w:fill="F1F3F7"/>
          </w:tcPr>
          <w:p>
            <w:r/>
            <w:r>
              <w:rPr>
                <w:b w:val="0"/>
                <w:i w:val="0"/>
                <w:sz w:val="15"/>
              </w:rPr>
              <w:t>Price-led, volume flat</w:t>
            </w:r>
          </w:p>
        </w:tc>
      </w:tr>
      <w:tr>
        <w:tc>
          <w:tcPr>
            <w:tcW w:type="dxa" w:w="2367"/>
          </w:tcPr>
          <w:p>
            <w:r/>
            <w:r>
              <w:rPr>
                <w:b w:val="0"/>
                <w:i w:val="0"/>
                <w:sz w:val="15"/>
              </w:rPr>
              <w:t>Gross profit</w:t>
            </w:r>
          </w:p>
        </w:tc>
        <w:tc>
          <w:tcPr>
            <w:tcW w:type="dxa" w:w="986"/>
          </w:tcPr>
          <w:p>
            <w:r/>
            <w:r>
              <w:rPr>
                <w:b w:val="0"/>
                <w:i w:val="0"/>
                <w:sz w:val="15"/>
              </w:rPr>
              <w:t>236.9</w:t>
            </w:r>
          </w:p>
        </w:tc>
        <w:tc>
          <w:tcPr>
            <w:tcW w:type="dxa" w:w="986"/>
          </w:tcPr>
          <w:p>
            <w:r/>
            <w:r>
              <w:rPr>
                <w:b w:val="0"/>
                <w:i w:val="0"/>
                <w:sz w:val="15"/>
              </w:rPr>
              <w:t>243.0</w:t>
            </w:r>
          </w:p>
        </w:tc>
        <w:tc>
          <w:tcPr>
            <w:tcW w:type="dxa" w:w="986"/>
          </w:tcPr>
          <w:p>
            <w:r/>
            <w:r>
              <w:rPr>
                <w:b w:val="0"/>
                <w:i w:val="0"/>
                <w:sz w:val="15"/>
              </w:rPr>
              <w:t>239.0</w:t>
            </w:r>
          </w:p>
        </w:tc>
        <w:tc>
          <w:tcPr>
            <w:tcW w:type="dxa" w:w="986"/>
          </w:tcPr>
          <w:p>
            <w:r/>
            <w:r>
              <w:rPr>
                <w:b w:val="0"/>
                <w:i w:val="0"/>
                <w:sz w:val="15"/>
              </w:rPr>
              <w:t>254.1</w:t>
            </w:r>
          </w:p>
        </w:tc>
        <w:tc>
          <w:tcPr>
            <w:tcW w:type="dxa" w:w="986"/>
          </w:tcPr>
          <w:p>
            <w:r/>
            <w:r>
              <w:rPr>
                <w:b w:val="0"/>
                <w:i w:val="0"/>
                <w:sz w:val="15"/>
              </w:rPr>
              <w:t>262.6</w:t>
            </w:r>
          </w:p>
        </w:tc>
        <w:tc>
          <w:tcPr>
            <w:tcW w:type="dxa" w:w="2565"/>
          </w:tcPr>
          <w:p>
            <w:r/>
            <w:r>
              <w:rPr>
                <w:b w:val="0"/>
                <w:i w:val="0"/>
                <w:sz w:val="15"/>
              </w:rPr>
              <w:t>GM 36.7% → 35.6%</w:t>
            </w:r>
          </w:p>
        </w:tc>
      </w:tr>
      <w:tr>
        <w:tc>
          <w:tcPr>
            <w:tcW w:type="dxa" w:w="2367"/>
            <w:shd w:val="clear" w:color="auto" w:fill="F1F3F7"/>
          </w:tcPr>
          <w:p>
            <w:r/>
            <w:r>
              <w:rPr>
                <w:b w:val="0"/>
                <w:i w:val="0"/>
                <w:sz w:val="15"/>
              </w:rPr>
              <w:t>EBITDA</w:t>
            </w:r>
          </w:p>
        </w:tc>
        <w:tc>
          <w:tcPr>
            <w:tcW w:type="dxa" w:w="986"/>
            <w:shd w:val="clear" w:color="auto" w:fill="F1F3F7"/>
          </w:tcPr>
          <w:p>
            <w:r/>
            <w:r>
              <w:rPr>
                <w:b w:val="0"/>
                <w:i w:val="0"/>
                <w:sz w:val="15"/>
              </w:rPr>
              <w:t>80e</w:t>
            </w:r>
          </w:p>
        </w:tc>
        <w:tc>
          <w:tcPr>
            <w:tcW w:type="dxa" w:w="986"/>
            <w:shd w:val="clear" w:color="auto" w:fill="F1F3F7"/>
          </w:tcPr>
          <w:p>
            <w:r/>
            <w:r>
              <w:rPr>
                <w:b w:val="0"/>
                <w:i w:val="0"/>
                <w:sz w:val="15"/>
              </w:rPr>
              <w:t>79e</w:t>
            </w:r>
          </w:p>
        </w:tc>
        <w:tc>
          <w:tcPr>
            <w:tcW w:type="dxa" w:w="986"/>
            <w:shd w:val="clear" w:color="auto" w:fill="F1F3F7"/>
          </w:tcPr>
          <w:p>
            <w:r/>
            <w:r>
              <w:rPr>
                <w:b w:val="0"/>
                <w:i w:val="0"/>
                <w:sz w:val="15"/>
              </w:rPr>
              <w:t>75e</w:t>
            </w:r>
          </w:p>
        </w:tc>
        <w:tc>
          <w:tcPr>
            <w:tcW w:type="dxa" w:w="986"/>
            <w:shd w:val="clear" w:color="auto" w:fill="F1F3F7"/>
          </w:tcPr>
          <w:p>
            <w:r/>
            <w:r>
              <w:rPr>
                <w:b w:val="0"/>
                <w:i w:val="0"/>
                <w:sz w:val="15"/>
              </w:rPr>
              <w:t>83.5</w:t>
            </w:r>
          </w:p>
        </w:tc>
        <w:tc>
          <w:tcPr>
            <w:tcW w:type="dxa" w:w="986"/>
            <w:shd w:val="clear" w:color="auto" w:fill="F1F3F7"/>
          </w:tcPr>
          <w:p>
            <w:r/>
            <w:r>
              <w:rPr>
                <w:b w:val="0"/>
                <w:i w:val="0"/>
                <w:sz w:val="15"/>
              </w:rPr>
              <w:t>88.1</w:t>
            </w:r>
          </w:p>
        </w:tc>
        <w:tc>
          <w:tcPr>
            <w:tcW w:type="dxa" w:w="2565"/>
            <w:shd w:val="clear" w:color="auto" w:fill="F1F3F7"/>
          </w:tcPr>
          <w:p>
            <w:r/>
            <w:r>
              <w:rPr>
                <w:b w:val="0"/>
                <w:i w:val="0"/>
                <w:sz w:val="15"/>
              </w:rPr>
              <w:t>D&amp;A ¥34–35bn</w:t>
            </w:r>
          </w:p>
        </w:tc>
      </w:tr>
      <w:tr>
        <w:tc>
          <w:tcPr>
            <w:tcW w:type="dxa" w:w="2367"/>
          </w:tcPr>
          <w:p>
            <w:r/>
            <w:r>
              <w:rPr>
                <w:b w:val="0"/>
                <w:i w:val="0"/>
                <w:sz w:val="15"/>
              </w:rPr>
              <w:t xml:space="preserve">  EBITDA margin</w:t>
            </w:r>
          </w:p>
        </w:tc>
        <w:tc>
          <w:tcPr>
            <w:tcW w:type="dxa" w:w="986"/>
          </w:tcPr>
          <w:p>
            <w:r/>
            <w:r>
              <w:rPr>
                <w:b w:val="0"/>
                <w:i w:val="0"/>
                <w:sz w:val="15"/>
              </w:rPr>
              <w:t>12.4%e</w:t>
            </w:r>
          </w:p>
        </w:tc>
        <w:tc>
          <w:tcPr>
            <w:tcW w:type="dxa" w:w="986"/>
          </w:tcPr>
          <w:p>
            <w:r/>
            <w:r>
              <w:rPr>
                <w:b w:val="0"/>
                <w:i w:val="0"/>
                <w:sz w:val="15"/>
              </w:rPr>
              <w:t>11.3%e</w:t>
            </w:r>
          </w:p>
        </w:tc>
        <w:tc>
          <w:tcPr>
            <w:tcW w:type="dxa" w:w="986"/>
          </w:tcPr>
          <w:p>
            <w:r/>
            <w:r>
              <w:rPr>
                <w:b w:val="0"/>
                <w:i w:val="0"/>
                <w:sz w:val="15"/>
              </w:rPr>
              <w:t>10.7%e</w:t>
            </w:r>
          </w:p>
        </w:tc>
        <w:tc>
          <w:tcPr>
            <w:tcW w:type="dxa" w:w="986"/>
          </w:tcPr>
          <w:p>
            <w:r/>
            <w:r>
              <w:rPr>
                <w:b w:val="0"/>
                <w:i w:val="0"/>
                <w:sz w:val="15"/>
              </w:rPr>
              <w:t>11.5%</w:t>
            </w:r>
          </w:p>
        </w:tc>
        <w:tc>
          <w:tcPr>
            <w:tcW w:type="dxa" w:w="986"/>
          </w:tcPr>
          <w:p>
            <w:r/>
            <w:r>
              <w:rPr>
                <w:b w:val="0"/>
                <w:i w:val="0"/>
                <w:sz w:val="15"/>
              </w:rPr>
              <w:t>11.9%</w:t>
            </w:r>
          </w:p>
        </w:tc>
        <w:tc>
          <w:tcPr>
            <w:tcW w:type="dxa" w:w="2565"/>
          </w:tcPr>
          <w:p>
            <w:r/>
          </w:p>
        </w:tc>
      </w:tr>
      <w:tr>
        <w:tc>
          <w:tcPr>
            <w:tcW w:type="dxa" w:w="2367"/>
            <w:shd w:val="clear" w:color="auto" w:fill="F1F3F7"/>
          </w:tcPr>
          <w:p>
            <w:r/>
            <w:r>
              <w:rPr>
                <w:b w:val="0"/>
                <w:i w:val="0"/>
                <w:sz w:val="15"/>
              </w:rPr>
              <w:t>Operating income (EBIT)</w:t>
            </w:r>
          </w:p>
        </w:tc>
        <w:tc>
          <w:tcPr>
            <w:tcW w:type="dxa" w:w="986"/>
            <w:shd w:val="clear" w:color="auto" w:fill="F1F3F7"/>
          </w:tcPr>
          <w:p>
            <w:r/>
            <w:r>
              <w:rPr>
                <w:b w:val="0"/>
                <w:i w:val="0"/>
                <w:sz w:val="15"/>
              </w:rPr>
              <w:t>52.2</w:t>
            </w:r>
          </w:p>
        </w:tc>
        <w:tc>
          <w:tcPr>
            <w:tcW w:type="dxa" w:w="986"/>
            <w:shd w:val="clear" w:color="auto" w:fill="F1F3F7"/>
          </w:tcPr>
          <w:p>
            <w:r/>
            <w:r>
              <w:rPr>
                <w:b w:val="0"/>
                <w:i w:val="0"/>
                <w:sz w:val="15"/>
              </w:rPr>
              <w:t>49.1</w:t>
            </w:r>
          </w:p>
        </w:tc>
        <w:tc>
          <w:tcPr>
            <w:tcW w:type="dxa" w:w="986"/>
            <w:shd w:val="clear" w:color="auto" w:fill="F1F3F7"/>
          </w:tcPr>
          <w:p>
            <w:r/>
            <w:r>
              <w:rPr>
                <w:b w:val="0"/>
                <w:i w:val="0"/>
                <w:sz w:val="15"/>
              </w:rPr>
              <w:t>42.8</w:t>
            </w:r>
          </w:p>
        </w:tc>
        <w:tc>
          <w:tcPr>
            <w:tcW w:type="dxa" w:w="986"/>
            <w:shd w:val="clear" w:color="auto" w:fill="F1F3F7"/>
          </w:tcPr>
          <w:p>
            <w:r/>
            <w:r>
              <w:rPr>
                <w:b w:val="0"/>
                <w:i w:val="0"/>
                <w:sz w:val="15"/>
              </w:rPr>
              <w:t>48.5</w:t>
            </w:r>
          </w:p>
        </w:tc>
        <w:tc>
          <w:tcPr>
            <w:tcW w:type="dxa" w:w="986"/>
            <w:shd w:val="clear" w:color="auto" w:fill="F1F3F7"/>
          </w:tcPr>
          <w:p>
            <w:r/>
            <w:r>
              <w:rPr>
                <w:b w:val="0"/>
                <w:i w:val="0"/>
                <w:sz w:val="15"/>
              </w:rPr>
              <w:t>53.8</w:t>
            </w:r>
          </w:p>
        </w:tc>
        <w:tc>
          <w:tcPr>
            <w:tcW w:type="dxa" w:w="2565"/>
            <w:shd w:val="clear" w:color="auto" w:fill="F1F3F7"/>
          </w:tcPr>
          <w:p>
            <w:r/>
            <w:r>
              <w:rPr>
                <w:b w:val="0"/>
                <w:i w:val="0"/>
                <w:sz w:val="15"/>
              </w:rPr>
              <w:t>Record in FY3/26</w:t>
            </w:r>
          </w:p>
        </w:tc>
      </w:tr>
      <w:tr>
        <w:tc>
          <w:tcPr>
            <w:tcW w:type="dxa" w:w="2367"/>
          </w:tcPr>
          <w:p>
            <w:r/>
            <w:r>
              <w:rPr>
                <w:b w:val="0"/>
                <w:i w:val="0"/>
                <w:sz w:val="15"/>
              </w:rPr>
              <w:t xml:space="preserve">  OP margin</w:t>
            </w:r>
          </w:p>
        </w:tc>
        <w:tc>
          <w:tcPr>
            <w:tcW w:type="dxa" w:w="986"/>
          </w:tcPr>
          <w:p>
            <w:r/>
            <w:r>
              <w:rPr>
                <w:b w:val="0"/>
                <w:i w:val="0"/>
                <w:sz w:val="15"/>
              </w:rPr>
              <w:t>8.1%</w:t>
            </w:r>
          </w:p>
        </w:tc>
        <w:tc>
          <w:tcPr>
            <w:tcW w:type="dxa" w:w="986"/>
          </w:tcPr>
          <w:p>
            <w:r/>
            <w:r>
              <w:rPr>
                <w:b w:val="0"/>
                <w:i w:val="0"/>
                <w:sz w:val="15"/>
              </w:rPr>
              <w:t>7.0%</w:t>
            </w:r>
          </w:p>
        </w:tc>
        <w:tc>
          <w:tcPr>
            <w:tcW w:type="dxa" w:w="986"/>
          </w:tcPr>
          <w:p>
            <w:r/>
            <w:r>
              <w:rPr>
                <w:b w:val="0"/>
                <w:i w:val="0"/>
                <w:sz w:val="15"/>
              </w:rPr>
              <w:t>6.1%</w:t>
            </w:r>
          </w:p>
        </w:tc>
        <w:tc>
          <w:tcPr>
            <w:tcW w:type="dxa" w:w="986"/>
          </w:tcPr>
          <w:p>
            <w:r/>
            <w:r>
              <w:rPr>
                <w:b w:val="0"/>
                <w:i w:val="0"/>
                <w:sz w:val="15"/>
              </w:rPr>
              <w:t>6.7%</w:t>
            </w:r>
          </w:p>
        </w:tc>
        <w:tc>
          <w:tcPr>
            <w:tcW w:type="dxa" w:w="986"/>
          </w:tcPr>
          <w:p>
            <w:r/>
            <w:r>
              <w:rPr>
                <w:b w:val="0"/>
                <w:i w:val="0"/>
                <w:sz w:val="15"/>
              </w:rPr>
              <w:t>7.3%</w:t>
            </w:r>
          </w:p>
        </w:tc>
        <w:tc>
          <w:tcPr>
            <w:tcW w:type="dxa" w:w="2565"/>
          </w:tcPr>
          <w:p>
            <w:r/>
            <w:r>
              <w:rPr>
                <w:b w:val="0"/>
                <w:i w:val="0"/>
                <w:sz w:val="15"/>
              </w:rPr>
              <w:t>Trough FY3/24</w:t>
            </w:r>
          </w:p>
        </w:tc>
      </w:tr>
      <w:tr>
        <w:tc>
          <w:tcPr>
            <w:tcW w:type="dxa" w:w="2367"/>
            <w:shd w:val="clear" w:color="auto" w:fill="F1F3F7"/>
          </w:tcPr>
          <w:p>
            <w:r/>
            <w:r>
              <w:rPr>
                <w:b w:val="0"/>
                <w:i w:val="0"/>
                <w:sz w:val="15"/>
              </w:rPr>
              <w:t>Ordinary income</w:t>
            </w:r>
          </w:p>
        </w:tc>
        <w:tc>
          <w:tcPr>
            <w:tcW w:type="dxa" w:w="986"/>
            <w:shd w:val="clear" w:color="auto" w:fill="F1F3F7"/>
          </w:tcPr>
          <w:p>
            <w:r/>
            <w:r>
              <w:rPr>
                <w:b w:val="0"/>
                <w:i w:val="0"/>
                <w:sz w:val="15"/>
              </w:rPr>
              <w:t>n/a</w:t>
            </w:r>
          </w:p>
        </w:tc>
        <w:tc>
          <w:tcPr>
            <w:tcW w:type="dxa" w:w="986"/>
            <w:shd w:val="clear" w:color="auto" w:fill="F1F3F7"/>
          </w:tcPr>
          <w:p>
            <w:r/>
            <w:r>
              <w:rPr>
                <w:b w:val="0"/>
                <w:i w:val="0"/>
                <w:sz w:val="15"/>
              </w:rPr>
              <w:t>54.8</w:t>
            </w:r>
          </w:p>
        </w:tc>
        <w:tc>
          <w:tcPr>
            <w:tcW w:type="dxa" w:w="986"/>
            <w:shd w:val="clear" w:color="auto" w:fill="F1F3F7"/>
          </w:tcPr>
          <w:p>
            <w:r/>
            <w:r>
              <w:rPr>
                <w:b w:val="0"/>
                <w:i w:val="0"/>
                <w:sz w:val="15"/>
              </w:rPr>
              <w:t>51.5</w:t>
            </w:r>
          </w:p>
        </w:tc>
        <w:tc>
          <w:tcPr>
            <w:tcW w:type="dxa" w:w="986"/>
            <w:shd w:val="clear" w:color="auto" w:fill="F1F3F7"/>
          </w:tcPr>
          <w:p>
            <w:r/>
            <w:r>
              <w:rPr>
                <w:b w:val="0"/>
                <w:i w:val="0"/>
                <w:sz w:val="15"/>
              </w:rPr>
              <w:t>50.4</w:t>
            </w:r>
          </w:p>
        </w:tc>
        <w:tc>
          <w:tcPr>
            <w:tcW w:type="dxa" w:w="986"/>
            <w:shd w:val="clear" w:color="auto" w:fill="F1F3F7"/>
          </w:tcPr>
          <w:p>
            <w:r/>
            <w:r>
              <w:rPr>
                <w:b w:val="0"/>
                <w:i w:val="0"/>
                <w:sz w:val="15"/>
              </w:rPr>
              <w:t>60.7</w:t>
            </w:r>
          </w:p>
        </w:tc>
        <w:tc>
          <w:tcPr>
            <w:tcW w:type="dxa" w:w="2565"/>
            <w:shd w:val="clear" w:color="auto" w:fill="F1F3F7"/>
          </w:tcPr>
          <w:p>
            <w:r/>
            <w:r>
              <w:rPr>
                <w:b w:val="0"/>
                <w:i w:val="0"/>
                <w:sz w:val="15"/>
              </w:rPr>
              <w:t>FX &amp; dividend income</w:t>
            </w:r>
          </w:p>
        </w:tc>
      </w:tr>
      <w:tr>
        <w:tc>
          <w:tcPr>
            <w:tcW w:type="dxa" w:w="2367"/>
          </w:tcPr>
          <w:p>
            <w:r/>
            <w:r>
              <w:rPr>
                <w:b w:val="0"/>
                <w:i w:val="0"/>
                <w:sz w:val="15"/>
              </w:rPr>
              <w:t>Net income (attrib.)</w:t>
            </w:r>
          </w:p>
        </w:tc>
        <w:tc>
          <w:tcPr>
            <w:tcW w:type="dxa" w:w="986"/>
          </w:tcPr>
          <w:p>
            <w:r/>
            <w:r>
              <w:rPr>
                <w:b w:val="0"/>
                <w:i w:val="0"/>
                <w:sz w:val="15"/>
              </w:rPr>
              <w:t>40.1</w:t>
            </w:r>
          </w:p>
        </w:tc>
        <w:tc>
          <w:tcPr>
            <w:tcW w:type="dxa" w:w="986"/>
          </w:tcPr>
          <w:p>
            <w:r/>
            <w:r>
              <w:rPr>
                <w:b w:val="0"/>
                <w:i w:val="0"/>
                <w:sz w:val="15"/>
              </w:rPr>
              <w:t>38.9</w:t>
            </w:r>
          </w:p>
        </w:tc>
        <w:tc>
          <w:tcPr>
            <w:tcW w:type="dxa" w:w="986"/>
          </w:tcPr>
          <w:p>
            <w:r/>
            <w:r>
              <w:rPr>
                <w:b w:val="0"/>
                <w:i w:val="0"/>
                <w:sz w:val="15"/>
              </w:rPr>
              <w:t>37.2</w:t>
            </w:r>
          </w:p>
        </w:tc>
        <w:tc>
          <w:tcPr>
            <w:tcW w:type="dxa" w:w="986"/>
          </w:tcPr>
          <w:p>
            <w:r/>
            <w:r>
              <w:rPr>
                <w:b w:val="0"/>
                <w:i w:val="0"/>
                <w:sz w:val="15"/>
              </w:rPr>
              <w:t>12.2</w:t>
            </w:r>
          </w:p>
        </w:tc>
        <w:tc>
          <w:tcPr>
            <w:tcW w:type="dxa" w:w="986"/>
          </w:tcPr>
          <w:p>
            <w:r/>
            <w:r>
              <w:rPr>
                <w:b w:val="0"/>
                <w:i w:val="0"/>
                <w:sz w:val="15"/>
              </w:rPr>
              <w:t>40.3</w:t>
            </w:r>
          </w:p>
        </w:tc>
        <w:tc>
          <w:tcPr>
            <w:tcW w:type="dxa" w:w="2565"/>
          </w:tcPr>
          <w:p>
            <w:r/>
            <w:r>
              <w:rPr>
                <w:b w:val="0"/>
                <w:i w:val="0"/>
                <w:sz w:val="15"/>
              </w:rPr>
              <w:t>FY3/25: ¥34.1bn China impairment</w:t>
            </w:r>
          </w:p>
        </w:tc>
      </w:tr>
      <w:tr>
        <w:tc>
          <w:tcPr>
            <w:tcW w:type="dxa" w:w="2367"/>
            <w:shd w:val="clear" w:color="auto" w:fill="F1F3F7"/>
          </w:tcPr>
          <w:p>
            <w:r/>
            <w:r>
              <w:rPr>
                <w:b w:val="0"/>
                <w:i w:val="0"/>
                <w:sz w:val="15"/>
              </w:rPr>
              <w:t>EPS (¥)</w:t>
            </w:r>
          </w:p>
        </w:tc>
        <w:tc>
          <w:tcPr>
            <w:tcW w:type="dxa" w:w="986"/>
            <w:shd w:val="clear" w:color="auto" w:fill="F1F3F7"/>
          </w:tcPr>
          <w:p>
            <w:r/>
            <w:r>
              <w:rPr>
                <w:b w:val="0"/>
                <w:i w:val="0"/>
                <w:sz w:val="15"/>
              </w:rPr>
              <w:t>~237e</w:t>
            </w:r>
          </w:p>
        </w:tc>
        <w:tc>
          <w:tcPr>
            <w:tcW w:type="dxa" w:w="986"/>
            <w:shd w:val="clear" w:color="auto" w:fill="F1F3F7"/>
          </w:tcPr>
          <w:p>
            <w:r/>
            <w:r>
              <w:rPr>
                <w:b w:val="0"/>
                <w:i w:val="0"/>
                <w:sz w:val="15"/>
              </w:rPr>
              <w:t>~230e</w:t>
            </w:r>
          </w:p>
        </w:tc>
        <w:tc>
          <w:tcPr>
            <w:tcW w:type="dxa" w:w="986"/>
            <w:shd w:val="clear" w:color="auto" w:fill="F1F3F7"/>
          </w:tcPr>
          <w:p>
            <w:r/>
            <w:r>
              <w:rPr>
                <w:b w:val="0"/>
                <w:i w:val="0"/>
                <w:sz w:val="15"/>
              </w:rPr>
              <w:t>~220e</w:t>
            </w:r>
          </w:p>
        </w:tc>
        <w:tc>
          <w:tcPr>
            <w:tcW w:type="dxa" w:w="986"/>
            <w:shd w:val="clear" w:color="auto" w:fill="F1F3F7"/>
          </w:tcPr>
          <w:p>
            <w:r/>
            <w:r>
              <w:rPr>
                <w:b w:val="0"/>
                <w:i w:val="0"/>
                <w:sz w:val="15"/>
              </w:rPr>
              <w:t>~73e</w:t>
            </w:r>
          </w:p>
        </w:tc>
        <w:tc>
          <w:tcPr>
            <w:tcW w:type="dxa" w:w="986"/>
            <w:shd w:val="clear" w:color="auto" w:fill="F1F3F7"/>
          </w:tcPr>
          <w:p>
            <w:r/>
            <w:r>
              <w:rPr>
                <w:b w:val="0"/>
                <w:i w:val="0"/>
                <w:sz w:val="15"/>
              </w:rPr>
              <w:t>243.0</w:t>
            </w:r>
          </w:p>
        </w:tc>
        <w:tc>
          <w:tcPr>
            <w:tcW w:type="dxa" w:w="2565"/>
            <w:shd w:val="clear" w:color="auto" w:fill="F1F3F7"/>
          </w:tcPr>
          <w:p>
            <w:r/>
          </w:p>
        </w:tc>
      </w:tr>
      <w:tr>
        <w:tc>
          <w:tcPr>
            <w:tcW w:type="dxa" w:w="2367"/>
          </w:tcPr>
          <w:p>
            <w:r/>
            <w:r>
              <w:rPr>
                <w:b w:val="0"/>
                <w:i w:val="0"/>
                <w:sz w:val="15"/>
              </w:rPr>
              <w:t>DPS (¥)</w:t>
            </w:r>
          </w:p>
        </w:tc>
        <w:tc>
          <w:tcPr>
            <w:tcW w:type="dxa" w:w="986"/>
          </w:tcPr>
          <w:p>
            <w:r/>
            <w:r>
              <w:rPr>
                <w:b w:val="0"/>
                <w:i w:val="0"/>
                <w:sz w:val="15"/>
              </w:rPr>
              <w:t>~90e</w:t>
            </w:r>
          </w:p>
        </w:tc>
        <w:tc>
          <w:tcPr>
            <w:tcW w:type="dxa" w:w="986"/>
          </w:tcPr>
          <w:p>
            <w:r/>
            <w:r>
              <w:rPr>
                <w:b w:val="0"/>
                <w:i w:val="0"/>
                <w:sz w:val="15"/>
              </w:rPr>
              <w:t>~100e</w:t>
            </w:r>
          </w:p>
        </w:tc>
        <w:tc>
          <w:tcPr>
            <w:tcW w:type="dxa" w:w="986"/>
          </w:tcPr>
          <w:p>
            <w:r/>
            <w:r>
              <w:rPr>
                <w:b w:val="0"/>
                <w:i w:val="0"/>
                <w:sz w:val="15"/>
              </w:rPr>
              <w:t>~100e</w:t>
            </w:r>
          </w:p>
        </w:tc>
        <w:tc>
          <w:tcPr>
            <w:tcW w:type="dxa" w:w="986"/>
          </w:tcPr>
          <w:p>
            <w:r/>
            <w:r>
              <w:rPr>
                <w:b w:val="0"/>
                <w:i w:val="0"/>
                <w:sz w:val="15"/>
              </w:rPr>
              <w:t>100</w:t>
            </w:r>
          </w:p>
        </w:tc>
        <w:tc>
          <w:tcPr>
            <w:tcW w:type="dxa" w:w="986"/>
          </w:tcPr>
          <w:p>
            <w:r/>
            <w:r>
              <w:rPr>
                <w:b w:val="0"/>
                <w:i w:val="0"/>
                <w:sz w:val="15"/>
              </w:rPr>
              <w:t>110</w:t>
            </w:r>
          </w:p>
        </w:tc>
        <w:tc>
          <w:tcPr>
            <w:tcW w:type="dxa" w:w="2565"/>
          </w:tcPr>
          <w:p>
            <w:r/>
            <w:r>
              <w:rPr>
                <w:b w:val="0"/>
                <w:i w:val="0"/>
                <w:sz w:val="15"/>
              </w:rPr>
              <w:t>FY3/27 guide ¥120</w:t>
            </w:r>
          </w:p>
        </w:tc>
      </w:tr>
      <w:tr>
        <w:tc>
          <w:tcPr>
            <w:tcW w:type="dxa" w:w="2367"/>
            <w:shd w:val="clear" w:color="auto" w:fill="F1F3F7"/>
          </w:tcPr>
          <w:p>
            <w:r/>
            <w:r>
              <w:rPr>
                <w:b w:val="0"/>
                <w:i w:val="0"/>
                <w:sz w:val="15"/>
              </w:rPr>
              <w:t>ROE</w:t>
            </w:r>
          </w:p>
        </w:tc>
        <w:tc>
          <w:tcPr>
            <w:tcW w:type="dxa" w:w="986"/>
            <w:shd w:val="clear" w:color="auto" w:fill="F1F3F7"/>
          </w:tcPr>
          <w:p>
            <w:r/>
            <w:r>
              <w:rPr>
                <w:b w:val="0"/>
                <w:i w:val="0"/>
                <w:sz w:val="15"/>
              </w:rPr>
              <w:t>~8.5%e</w:t>
            </w:r>
          </w:p>
        </w:tc>
        <w:tc>
          <w:tcPr>
            <w:tcW w:type="dxa" w:w="986"/>
            <w:shd w:val="clear" w:color="auto" w:fill="F1F3F7"/>
          </w:tcPr>
          <w:p>
            <w:r/>
            <w:r>
              <w:rPr>
                <w:b w:val="0"/>
                <w:i w:val="0"/>
                <w:sz w:val="15"/>
              </w:rPr>
              <w:t>~8.0%e</w:t>
            </w:r>
          </w:p>
        </w:tc>
        <w:tc>
          <w:tcPr>
            <w:tcW w:type="dxa" w:w="986"/>
            <w:shd w:val="clear" w:color="auto" w:fill="F1F3F7"/>
          </w:tcPr>
          <w:p>
            <w:r/>
            <w:r>
              <w:rPr>
                <w:b w:val="0"/>
                <w:i w:val="0"/>
                <w:sz w:val="15"/>
              </w:rPr>
              <w:t>~7.3%e</w:t>
            </w:r>
          </w:p>
        </w:tc>
        <w:tc>
          <w:tcPr>
            <w:tcW w:type="dxa" w:w="986"/>
            <w:shd w:val="clear" w:color="auto" w:fill="F1F3F7"/>
          </w:tcPr>
          <w:p>
            <w:r/>
            <w:r>
              <w:rPr>
                <w:b w:val="0"/>
                <w:i w:val="0"/>
                <w:sz w:val="15"/>
              </w:rPr>
              <w:t>~2.3%e</w:t>
            </w:r>
          </w:p>
        </w:tc>
        <w:tc>
          <w:tcPr>
            <w:tcW w:type="dxa" w:w="986"/>
            <w:shd w:val="clear" w:color="auto" w:fill="F1F3F7"/>
          </w:tcPr>
          <w:p>
            <w:r/>
            <w:r>
              <w:rPr>
                <w:b w:val="0"/>
                <w:i w:val="0"/>
                <w:sz w:val="15"/>
              </w:rPr>
              <w:t>7.7%</w:t>
            </w:r>
          </w:p>
        </w:tc>
        <w:tc>
          <w:tcPr>
            <w:tcW w:type="dxa" w:w="2565"/>
            <w:shd w:val="clear" w:color="auto" w:fill="F1F3F7"/>
          </w:tcPr>
          <w:p>
            <w:r/>
            <w:r>
              <w:rPr>
                <w:b w:val="0"/>
                <w:i w:val="0"/>
                <w:sz w:val="15"/>
              </w:rPr>
              <w:t>Target ≥12% by 2030</w:t>
            </w:r>
          </w:p>
        </w:tc>
      </w:tr>
    </w:tbl>
    <w:p>
      <w:r>
        <w:rPr>
          <w:b w:val="0"/>
          <w:i/>
          <w:color w:val="5E6878"/>
          <w:sz w:val="14"/>
        </w:rPr>
        <w:t>Source: TOTO kessan tanshin, results presentations (via secondary reporting). e = our reconstruction from reported growth rates/ratios; verify against EDINET before external use.</w:t>
      </w:r>
    </w:p>
    <w:p>
      <w:pPr>
        <w:pStyle w:val="Heading2"/>
      </w:pPr>
      <w:r>
        <w:t>8.2 Segment / geographic sales and operating profit (JPY bn)</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c>
          <w:tcPr>
            <w:tcW w:type="dxa" w:w="1934"/>
            <w:shd w:val="clear" w:color="auto" w:fill="16243D"/>
          </w:tcPr>
          <w:p>
            <w:r/>
            <w:r>
              <w:rPr>
                <w:b/>
                <w:i w:val="0"/>
                <w:color w:val="FFFFFF"/>
                <w:sz w:val="15"/>
              </w:rPr>
              <w:t>Segment</w:t>
            </w:r>
          </w:p>
        </w:tc>
        <w:tc>
          <w:tcPr>
            <w:tcW w:type="dxa" w:w="967"/>
            <w:shd w:val="clear" w:color="auto" w:fill="16243D"/>
          </w:tcPr>
          <w:p>
            <w:r/>
            <w:r>
              <w:rPr>
                <w:b/>
                <w:i w:val="0"/>
                <w:color w:val="FFFFFF"/>
                <w:sz w:val="15"/>
              </w:rPr>
              <w:t>FY3/22e</w:t>
            </w:r>
          </w:p>
        </w:tc>
        <w:tc>
          <w:tcPr>
            <w:tcW w:type="dxa" w:w="967"/>
            <w:shd w:val="clear" w:color="auto" w:fill="16243D"/>
          </w:tcPr>
          <w:p>
            <w:r/>
            <w:r>
              <w:rPr>
                <w:b/>
                <w:i w:val="0"/>
                <w:color w:val="FFFFFF"/>
                <w:sz w:val="15"/>
              </w:rPr>
              <w:t>FY3/23e</w:t>
            </w:r>
          </w:p>
        </w:tc>
        <w:tc>
          <w:tcPr>
            <w:tcW w:type="dxa" w:w="967"/>
            <w:shd w:val="clear" w:color="auto" w:fill="16243D"/>
          </w:tcPr>
          <w:p>
            <w:r/>
            <w:r>
              <w:rPr>
                <w:b/>
                <w:i w:val="0"/>
                <w:color w:val="FFFFFF"/>
                <w:sz w:val="15"/>
              </w:rPr>
              <w:t>FY3/24e</w:t>
            </w:r>
          </w:p>
        </w:tc>
        <w:tc>
          <w:tcPr>
            <w:tcW w:type="dxa" w:w="967"/>
            <w:shd w:val="clear" w:color="auto" w:fill="16243D"/>
          </w:tcPr>
          <w:p>
            <w:r/>
            <w:r>
              <w:rPr>
                <w:b/>
                <w:i w:val="0"/>
                <w:color w:val="FFFFFF"/>
                <w:sz w:val="15"/>
              </w:rPr>
              <w:t>FY3/25</w:t>
            </w:r>
          </w:p>
        </w:tc>
        <w:tc>
          <w:tcPr>
            <w:tcW w:type="dxa" w:w="967"/>
            <w:shd w:val="clear" w:color="auto" w:fill="16243D"/>
          </w:tcPr>
          <w:p>
            <w:r/>
            <w:r>
              <w:rPr>
                <w:b/>
                <w:i w:val="0"/>
                <w:color w:val="FFFFFF"/>
                <w:sz w:val="15"/>
              </w:rPr>
              <w:t>FY3/26</w:t>
            </w:r>
          </w:p>
        </w:tc>
        <w:tc>
          <w:tcPr>
            <w:tcW w:type="dxa" w:w="3095"/>
            <w:shd w:val="clear" w:color="auto" w:fill="16243D"/>
          </w:tcPr>
          <w:p>
            <w:r/>
            <w:r>
              <w:rPr>
                <w:b/>
                <w:i w:val="0"/>
                <w:color w:val="FFFFFF"/>
                <w:sz w:val="15"/>
              </w:rPr>
              <w:t>Comment</w:t>
            </w:r>
          </w:p>
        </w:tc>
      </w:tr>
      <w:tr>
        <w:tc>
          <w:tcPr>
            <w:tcW w:type="dxa" w:w="1934"/>
          </w:tcPr>
          <w:p>
            <w:r/>
            <w:r>
              <w:rPr>
                <w:b/>
                <w:i w:val="0"/>
                <w:sz w:val="15"/>
              </w:rPr>
              <w:t>Sales</w:t>
            </w:r>
          </w:p>
        </w:tc>
        <w:tc>
          <w:tcPr>
            <w:tcW w:type="dxa" w:w="967"/>
          </w:tcPr>
          <w:p>
            <w:r/>
          </w:p>
        </w:tc>
        <w:tc>
          <w:tcPr>
            <w:tcW w:type="dxa" w:w="967"/>
          </w:tcPr>
          <w:p>
            <w:r/>
          </w:p>
        </w:tc>
        <w:tc>
          <w:tcPr>
            <w:tcW w:type="dxa" w:w="967"/>
          </w:tcPr>
          <w:p>
            <w:r/>
          </w:p>
        </w:tc>
        <w:tc>
          <w:tcPr>
            <w:tcW w:type="dxa" w:w="967"/>
          </w:tcPr>
          <w:p>
            <w:r/>
          </w:p>
        </w:tc>
        <w:tc>
          <w:tcPr>
            <w:tcW w:type="dxa" w:w="967"/>
          </w:tcPr>
          <w:p>
            <w:r/>
          </w:p>
        </w:tc>
        <w:tc>
          <w:tcPr>
            <w:tcW w:type="dxa" w:w="3095"/>
          </w:tcPr>
          <w:p>
            <w:r/>
          </w:p>
        </w:tc>
      </w:tr>
      <w:tr>
        <w:tc>
          <w:tcPr>
            <w:tcW w:type="dxa" w:w="1934"/>
            <w:shd w:val="clear" w:color="auto" w:fill="F1F3F7"/>
          </w:tcPr>
          <w:p>
            <w:r/>
            <w:r>
              <w:rPr>
                <w:b w:val="0"/>
                <w:i w:val="0"/>
                <w:sz w:val="15"/>
              </w:rPr>
              <w:t>Japan Housing</w:t>
            </w:r>
          </w:p>
        </w:tc>
        <w:tc>
          <w:tcPr>
            <w:tcW w:type="dxa" w:w="967"/>
            <w:shd w:val="clear" w:color="auto" w:fill="F1F3F7"/>
          </w:tcPr>
          <w:p>
            <w:r/>
            <w:r>
              <w:rPr>
                <w:b w:val="0"/>
                <w:i w:val="0"/>
                <w:sz w:val="15"/>
              </w:rPr>
              <w:t>~423</w:t>
            </w:r>
          </w:p>
        </w:tc>
        <w:tc>
          <w:tcPr>
            <w:tcW w:type="dxa" w:w="967"/>
            <w:shd w:val="clear" w:color="auto" w:fill="F1F3F7"/>
          </w:tcPr>
          <w:p>
            <w:r/>
            <w:r>
              <w:rPr>
                <w:b w:val="0"/>
                <w:i w:val="0"/>
                <w:sz w:val="15"/>
              </w:rPr>
              <w:t>~451</w:t>
            </w:r>
          </w:p>
        </w:tc>
        <w:tc>
          <w:tcPr>
            <w:tcW w:type="dxa" w:w="967"/>
            <w:shd w:val="clear" w:color="auto" w:fill="F1F3F7"/>
          </w:tcPr>
          <w:p>
            <w:r/>
            <w:r>
              <w:rPr>
                <w:b w:val="0"/>
                <w:i w:val="0"/>
                <w:sz w:val="15"/>
              </w:rPr>
              <w:t>~468</w:t>
            </w:r>
          </w:p>
        </w:tc>
        <w:tc>
          <w:tcPr>
            <w:tcW w:type="dxa" w:w="967"/>
            <w:shd w:val="clear" w:color="auto" w:fill="F1F3F7"/>
          </w:tcPr>
          <w:p>
            <w:r/>
            <w:r>
              <w:rPr>
                <w:b w:val="0"/>
                <w:i w:val="0"/>
                <w:sz w:val="15"/>
              </w:rPr>
              <w:t>~481</w:t>
            </w:r>
          </w:p>
        </w:tc>
        <w:tc>
          <w:tcPr>
            <w:tcW w:type="dxa" w:w="967"/>
            <w:shd w:val="clear" w:color="auto" w:fill="F1F3F7"/>
          </w:tcPr>
          <w:p>
            <w:r/>
            <w:r>
              <w:rPr>
                <w:b w:val="0"/>
                <w:i w:val="0"/>
                <w:sz w:val="15"/>
              </w:rPr>
              <w:t>479.7</w:t>
            </w:r>
          </w:p>
        </w:tc>
        <w:tc>
          <w:tcPr>
            <w:tcW w:type="dxa" w:w="3095"/>
            <w:shd w:val="clear" w:color="auto" w:fill="F1F3F7"/>
          </w:tcPr>
          <w:p>
            <w:r/>
            <w:r>
              <w:rPr>
                <w:b w:val="0"/>
                <w:i w:val="0"/>
                <w:sz w:val="15"/>
              </w:rPr>
              <w:t>Remodel ¥346.8bn (+1%); new-build ¥132.9bn (-3%)</w:t>
            </w:r>
          </w:p>
        </w:tc>
      </w:tr>
      <w:tr>
        <w:tc>
          <w:tcPr>
            <w:tcW w:type="dxa" w:w="1934"/>
          </w:tcPr>
          <w:p>
            <w:r/>
            <w:r>
              <w:rPr>
                <w:b w:val="0"/>
                <w:i w:val="0"/>
                <w:sz w:val="15"/>
              </w:rPr>
              <w:t>China</w:t>
            </w:r>
          </w:p>
        </w:tc>
        <w:tc>
          <w:tcPr>
            <w:tcW w:type="dxa" w:w="967"/>
          </w:tcPr>
          <w:p>
            <w:r/>
            <w:r>
              <w:rPr>
                <w:b w:val="0"/>
                <w:i w:val="0"/>
                <w:sz w:val="15"/>
              </w:rPr>
              <w:t>~100</w:t>
            </w:r>
          </w:p>
        </w:tc>
        <w:tc>
          <w:tcPr>
            <w:tcW w:type="dxa" w:w="967"/>
          </w:tcPr>
          <w:p>
            <w:r/>
            <w:r>
              <w:rPr>
                <w:b w:val="0"/>
                <w:i w:val="0"/>
                <w:sz w:val="15"/>
              </w:rPr>
              <w:t>~100</w:t>
            </w:r>
          </w:p>
        </w:tc>
        <w:tc>
          <w:tcPr>
            <w:tcW w:type="dxa" w:w="967"/>
          </w:tcPr>
          <w:p>
            <w:r/>
            <w:r>
              <w:rPr>
                <w:b w:val="0"/>
                <w:i w:val="0"/>
                <w:sz w:val="15"/>
              </w:rPr>
              <w:t>~84</w:t>
            </w:r>
          </w:p>
        </w:tc>
        <w:tc>
          <w:tcPr>
            <w:tcW w:type="dxa" w:w="967"/>
          </w:tcPr>
          <w:p>
            <w:r/>
            <w:r>
              <w:rPr>
                <w:b w:val="0"/>
                <w:i w:val="0"/>
                <w:sz w:val="15"/>
              </w:rPr>
              <w:t>~67</w:t>
            </w:r>
          </w:p>
        </w:tc>
        <w:tc>
          <w:tcPr>
            <w:tcW w:type="dxa" w:w="967"/>
          </w:tcPr>
          <w:p>
            <w:r/>
            <w:r>
              <w:rPr>
                <w:b w:val="0"/>
                <w:i w:val="0"/>
                <w:sz w:val="15"/>
              </w:rPr>
              <w:t>53.8</w:t>
            </w:r>
          </w:p>
        </w:tc>
        <w:tc>
          <w:tcPr>
            <w:tcW w:type="dxa" w:w="3095"/>
          </w:tcPr>
          <w:p>
            <w:r/>
            <w:r>
              <w:rPr>
                <w:b w:val="0"/>
                <w:i w:val="0"/>
                <w:sz w:val="15"/>
              </w:rPr>
              <w:t>-46% from peak; 2 plants closed</w:t>
            </w:r>
          </w:p>
        </w:tc>
      </w:tr>
      <w:tr>
        <w:tc>
          <w:tcPr>
            <w:tcW w:type="dxa" w:w="1934"/>
            <w:shd w:val="clear" w:color="auto" w:fill="F1F3F7"/>
          </w:tcPr>
          <w:p>
            <w:r/>
            <w:r>
              <w:rPr>
                <w:b w:val="0"/>
                <w:i w:val="0"/>
                <w:sz w:val="15"/>
              </w:rPr>
              <w:t>Americas</w:t>
            </w:r>
          </w:p>
        </w:tc>
        <w:tc>
          <w:tcPr>
            <w:tcW w:type="dxa" w:w="967"/>
            <w:shd w:val="clear" w:color="auto" w:fill="F1F3F7"/>
          </w:tcPr>
          <w:p>
            <w:r/>
            <w:r>
              <w:rPr>
                <w:b w:val="0"/>
                <w:i w:val="0"/>
                <w:sz w:val="15"/>
              </w:rPr>
              <w:t>~45</w:t>
            </w:r>
          </w:p>
        </w:tc>
        <w:tc>
          <w:tcPr>
            <w:tcW w:type="dxa" w:w="967"/>
            <w:shd w:val="clear" w:color="auto" w:fill="F1F3F7"/>
          </w:tcPr>
          <w:p>
            <w:r/>
            <w:r>
              <w:rPr>
                <w:b w:val="0"/>
                <w:i w:val="0"/>
                <w:sz w:val="15"/>
              </w:rPr>
              <w:t>~52</w:t>
            </w:r>
          </w:p>
        </w:tc>
        <w:tc>
          <w:tcPr>
            <w:tcW w:type="dxa" w:w="967"/>
            <w:shd w:val="clear" w:color="auto" w:fill="F1F3F7"/>
          </w:tcPr>
          <w:p>
            <w:r/>
            <w:r>
              <w:rPr>
                <w:b w:val="0"/>
                <w:i w:val="0"/>
                <w:sz w:val="15"/>
              </w:rPr>
              <w:t>~59</w:t>
            </w:r>
          </w:p>
        </w:tc>
        <w:tc>
          <w:tcPr>
            <w:tcW w:type="dxa" w:w="967"/>
            <w:shd w:val="clear" w:color="auto" w:fill="F1F3F7"/>
          </w:tcPr>
          <w:p>
            <w:r/>
            <w:r>
              <w:rPr>
                <w:b w:val="0"/>
                <w:i w:val="0"/>
                <w:sz w:val="15"/>
              </w:rPr>
              <w:t>70.5</w:t>
            </w:r>
          </w:p>
        </w:tc>
        <w:tc>
          <w:tcPr>
            <w:tcW w:type="dxa" w:w="967"/>
            <w:shd w:val="clear" w:color="auto" w:fill="F1F3F7"/>
          </w:tcPr>
          <w:p>
            <w:r/>
            <w:r>
              <w:rPr>
                <w:b w:val="0"/>
                <w:i w:val="0"/>
                <w:sz w:val="15"/>
              </w:rPr>
              <w:t>75.6</w:t>
            </w:r>
          </w:p>
        </w:tc>
        <w:tc>
          <w:tcPr>
            <w:tcW w:type="dxa" w:w="3095"/>
            <w:shd w:val="clear" w:color="auto" w:fill="F1F3F7"/>
          </w:tcPr>
          <w:p>
            <w:r/>
            <w:r>
              <w:rPr>
                <w:b w:val="0"/>
                <w:i w:val="0"/>
                <w:sz w:val="15"/>
              </w:rPr>
              <w:t>CAGR ~14%; Georgia plant</w:t>
            </w:r>
          </w:p>
        </w:tc>
      </w:tr>
      <w:tr>
        <w:tc>
          <w:tcPr>
            <w:tcW w:type="dxa" w:w="1934"/>
          </w:tcPr>
          <w:p>
            <w:r/>
            <w:r>
              <w:rPr>
                <w:b w:val="0"/>
                <w:i w:val="0"/>
                <w:sz w:val="15"/>
              </w:rPr>
              <w:t>Asia/Oceania</w:t>
            </w:r>
          </w:p>
        </w:tc>
        <w:tc>
          <w:tcPr>
            <w:tcW w:type="dxa" w:w="967"/>
          </w:tcPr>
          <w:p>
            <w:r/>
            <w:r>
              <w:rPr>
                <w:b w:val="0"/>
                <w:i w:val="0"/>
                <w:sz w:val="15"/>
              </w:rPr>
              <w:t>~38</w:t>
            </w:r>
          </w:p>
        </w:tc>
        <w:tc>
          <w:tcPr>
            <w:tcW w:type="dxa" w:w="967"/>
          </w:tcPr>
          <w:p>
            <w:r/>
            <w:r>
              <w:rPr>
                <w:b w:val="0"/>
                <w:i w:val="0"/>
                <w:sz w:val="15"/>
              </w:rPr>
              <w:t>~45</w:t>
            </w:r>
          </w:p>
        </w:tc>
        <w:tc>
          <w:tcPr>
            <w:tcW w:type="dxa" w:w="967"/>
          </w:tcPr>
          <w:p>
            <w:r/>
            <w:r>
              <w:rPr>
                <w:b w:val="0"/>
                <w:i w:val="0"/>
                <w:sz w:val="15"/>
              </w:rPr>
              <w:t>~48</w:t>
            </w:r>
          </w:p>
        </w:tc>
        <w:tc>
          <w:tcPr>
            <w:tcW w:type="dxa" w:w="967"/>
          </w:tcPr>
          <w:p>
            <w:r/>
            <w:r>
              <w:rPr>
                <w:b w:val="0"/>
                <w:i w:val="0"/>
                <w:sz w:val="15"/>
              </w:rPr>
              <w:t>~50</w:t>
            </w:r>
          </w:p>
        </w:tc>
        <w:tc>
          <w:tcPr>
            <w:tcW w:type="dxa" w:w="967"/>
          </w:tcPr>
          <w:p>
            <w:r/>
            <w:r>
              <w:rPr>
                <w:b w:val="0"/>
                <w:i w:val="0"/>
                <w:sz w:val="15"/>
              </w:rPr>
              <w:t>54.9</w:t>
            </w:r>
          </w:p>
        </w:tc>
        <w:tc>
          <w:tcPr>
            <w:tcW w:type="dxa" w:w="3095"/>
          </w:tcPr>
          <w:p>
            <w:r/>
            <w:r>
              <w:rPr>
                <w:b w:val="0"/>
                <w:i w:val="0"/>
                <w:sz w:val="15"/>
              </w:rPr>
              <w:t>Taiwan, Vietnam, India</w:t>
            </w:r>
          </w:p>
        </w:tc>
      </w:tr>
      <w:tr>
        <w:tc>
          <w:tcPr>
            <w:tcW w:type="dxa" w:w="1934"/>
            <w:shd w:val="clear" w:color="auto" w:fill="F1F3F7"/>
          </w:tcPr>
          <w:p>
            <w:r/>
            <w:r>
              <w:rPr>
                <w:b w:val="0"/>
                <w:i w:val="0"/>
                <w:sz w:val="15"/>
              </w:rPr>
              <w:t>Advanced Ceramics</w:t>
            </w:r>
          </w:p>
        </w:tc>
        <w:tc>
          <w:tcPr>
            <w:tcW w:type="dxa" w:w="967"/>
            <w:shd w:val="clear" w:color="auto" w:fill="F1F3F7"/>
          </w:tcPr>
          <w:p>
            <w:r/>
            <w:r>
              <w:rPr>
                <w:b w:val="0"/>
                <w:i w:val="0"/>
                <w:sz w:val="15"/>
              </w:rPr>
              <w:t>~36</w:t>
            </w:r>
          </w:p>
        </w:tc>
        <w:tc>
          <w:tcPr>
            <w:tcW w:type="dxa" w:w="967"/>
            <w:shd w:val="clear" w:color="auto" w:fill="F1F3F7"/>
          </w:tcPr>
          <w:p>
            <w:r/>
            <w:r>
              <w:rPr>
                <w:b w:val="0"/>
                <w:i w:val="0"/>
                <w:sz w:val="15"/>
              </w:rPr>
              <w:t>~50</w:t>
            </w:r>
          </w:p>
        </w:tc>
        <w:tc>
          <w:tcPr>
            <w:tcW w:type="dxa" w:w="967"/>
            <w:shd w:val="clear" w:color="auto" w:fill="F1F3F7"/>
          </w:tcPr>
          <w:p>
            <w:r/>
            <w:r>
              <w:rPr>
                <w:b w:val="0"/>
                <w:i w:val="0"/>
                <w:sz w:val="15"/>
              </w:rPr>
              <w:t>~42</w:t>
            </w:r>
          </w:p>
        </w:tc>
        <w:tc>
          <w:tcPr>
            <w:tcW w:type="dxa" w:w="967"/>
            <w:shd w:val="clear" w:color="auto" w:fill="F1F3F7"/>
          </w:tcPr>
          <w:p>
            <w:r/>
            <w:r>
              <w:rPr>
                <w:b w:val="0"/>
                <w:i w:val="0"/>
                <w:sz w:val="15"/>
              </w:rPr>
              <w:t>50.3</w:t>
            </w:r>
          </w:p>
        </w:tc>
        <w:tc>
          <w:tcPr>
            <w:tcW w:type="dxa" w:w="967"/>
            <w:shd w:val="clear" w:color="auto" w:fill="F1F3F7"/>
          </w:tcPr>
          <w:p>
            <w:r/>
            <w:r>
              <w:rPr>
                <w:b w:val="0"/>
                <w:i w:val="0"/>
                <w:sz w:val="15"/>
              </w:rPr>
              <w:t>67.4</w:t>
            </w:r>
          </w:p>
        </w:tc>
        <w:tc>
          <w:tcPr>
            <w:tcW w:type="dxa" w:w="3095"/>
            <w:shd w:val="clear" w:color="auto" w:fill="F1F3F7"/>
          </w:tcPr>
          <w:p>
            <w:r/>
            <w:r>
              <w:rPr>
                <w:b w:val="0"/>
                <w:i w:val="0"/>
                <w:sz w:val="15"/>
              </w:rPr>
              <w:t>+34% FY3/26; ¥85.5bn FY3/27 plan</w:t>
            </w:r>
          </w:p>
        </w:tc>
      </w:tr>
      <w:tr>
        <w:tc>
          <w:tcPr>
            <w:tcW w:type="dxa" w:w="1934"/>
          </w:tcPr>
          <w:p>
            <w:r/>
            <w:r>
              <w:rPr>
                <w:b/>
                <w:i w:val="0"/>
                <w:sz w:val="15"/>
              </w:rPr>
              <w:t>Operating profit</w:t>
            </w:r>
          </w:p>
        </w:tc>
        <w:tc>
          <w:tcPr>
            <w:tcW w:type="dxa" w:w="967"/>
          </w:tcPr>
          <w:p>
            <w:r/>
          </w:p>
        </w:tc>
        <w:tc>
          <w:tcPr>
            <w:tcW w:type="dxa" w:w="967"/>
          </w:tcPr>
          <w:p>
            <w:r/>
          </w:p>
        </w:tc>
        <w:tc>
          <w:tcPr>
            <w:tcW w:type="dxa" w:w="967"/>
          </w:tcPr>
          <w:p>
            <w:r/>
          </w:p>
        </w:tc>
        <w:tc>
          <w:tcPr>
            <w:tcW w:type="dxa" w:w="967"/>
          </w:tcPr>
          <w:p>
            <w:r/>
          </w:p>
        </w:tc>
        <w:tc>
          <w:tcPr>
            <w:tcW w:type="dxa" w:w="967"/>
          </w:tcPr>
          <w:p>
            <w:r/>
          </w:p>
        </w:tc>
        <w:tc>
          <w:tcPr>
            <w:tcW w:type="dxa" w:w="3095"/>
          </w:tcPr>
          <w:p>
            <w:r/>
          </w:p>
        </w:tc>
      </w:tr>
      <w:tr>
        <w:tc>
          <w:tcPr>
            <w:tcW w:type="dxa" w:w="1934"/>
            <w:shd w:val="clear" w:color="auto" w:fill="F1F3F7"/>
          </w:tcPr>
          <w:p>
            <w:r/>
            <w:r>
              <w:rPr>
                <w:b w:val="0"/>
                <w:i w:val="0"/>
                <w:sz w:val="15"/>
              </w:rPr>
              <w:t>Japan Housing</w:t>
            </w:r>
          </w:p>
        </w:tc>
        <w:tc>
          <w:tcPr>
            <w:tcW w:type="dxa" w:w="967"/>
            <w:shd w:val="clear" w:color="auto" w:fill="F1F3F7"/>
          </w:tcPr>
          <w:p>
            <w:r/>
            <w:r>
              <w:rPr>
                <w:b w:val="0"/>
                <w:i w:val="0"/>
                <w:sz w:val="15"/>
              </w:rPr>
              <w:t>~24</w:t>
            </w:r>
          </w:p>
        </w:tc>
        <w:tc>
          <w:tcPr>
            <w:tcW w:type="dxa" w:w="967"/>
            <w:shd w:val="clear" w:color="auto" w:fill="F1F3F7"/>
          </w:tcPr>
          <w:p>
            <w:r/>
            <w:r>
              <w:rPr>
                <w:b w:val="0"/>
                <w:i w:val="0"/>
                <w:sz w:val="15"/>
              </w:rPr>
              <w:t>~15</w:t>
            </w:r>
          </w:p>
        </w:tc>
        <w:tc>
          <w:tcPr>
            <w:tcW w:type="dxa" w:w="967"/>
            <w:shd w:val="clear" w:color="auto" w:fill="F1F3F7"/>
          </w:tcPr>
          <w:p>
            <w:r/>
            <w:r>
              <w:rPr>
                <w:b w:val="0"/>
                <w:i w:val="0"/>
                <w:sz w:val="15"/>
              </w:rPr>
              <w:t>~18</w:t>
            </w:r>
          </w:p>
        </w:tc>
        <w:tc>
          <w:tcPr>
            <w:tcW w:type="dxa" w:w="967"/>
            <w:shd w:val="clear" w:color="auto" w:fill="F1F3F7"/>
          </w:tcPr>
          <w:p>
            <w:r/>
            <w:r>
              <w:rPr>
                <w:b w:val="0"/>
                <w:i w:val="0"/>
                <w:sz w:val="15"/>
              </w:rPr>
              <w:t>~21.8</w:t>
            </w:r>
          </w:p>
        </w:tc>
        <w:tc>
          <w:tcPr>
            <w:tcW w:type="dxa" w:w="967"/>
            <w:shd w:val="clear" w:color="auto" w:fill="F1F3F7"/>
          </w:tcPr>
          <w:p>
            <w:r/>
            <w:r>
              <w:rPr>
                <w:b w:val="0"/>
                <w:i w:val="0"/>
                <w:sz w:val="15"/>
              </w:rPr>
              <w:t>20.3</w:t>
            </w:r>
          </w:p>
        </w:tc>
        <w:tc>
          <w:tcPr>
            <w:tcW w:type="dxa" w:w="3095"/>
            <w:shd w:val="clear" w:color="auto" w:fill="F1F3F7"/>
          </w:tcPr>
          <w:p>
            <w:r/>
            <w:r>
              <w:rPr>
                <w:b w:val="0"/>
                <w:i w:val="0"/>
                <w:sz w:val="15"/>
              </w:rPr>
              <w:t>Margin 4.2%; cost inflation &gt; price</w:t>
            </w:r>
          </w:p>
        </w:tc>
      </w:tr>
      <w:tr>
        <w:tc>
          <w:tcPr>
            <w:tcW w:type="dxa" w:w="1934"/>
          </w:tcPr>
          <w:p>
            <w:r/>
            <w:r>
              <w:rPr>
                <w:b w:val="0"/>
                <w:i w:val="0"/>
                <w:sz w:val="15"/>
              </w:rPr>
              <w:t>China</w:t>
            </w:r>
          </w:p>
        </w:tc>
        <w:tc>
          <w:tcPr>
            <w:tcW w:type="dxa" w:w="967"/>
          </w:tcPr>
          <w:p>
            <w:r/>
            <w:r>
              <w:rPr>
                <w:b w:val="0"/>
                <w:i w:val="0"/>
                <w:sz w:val="15"/>
              </w:rPr>
              <w:t>~14</w:t>
            </w:r>
          </w:p>
        </w:tc>
        <w:tc>
          <w:tcPr>
            <w:tcW w:type="dxa" w:w="967"/>
          </w:tcPr>
          <w:p>
            <w:r/>
            <w:r>
              <w:rPr>
                <w:b w:val="0"/>
                <w:i w:val="0"/>
                <w:sz w:val="15"/>
              </w:rPr>
              <w:t>~8</w:t>
            </w:r>
          </w:p>
        </w:tc>
        <w:tc>
          <w:tcPr>
            <w:tcW w:type="dxa" w:w="967"/>
          </w:tcPr>
          <w:p>
            <w:r/>
            <w:r>
              <w:rPr>
                <w:b w:val="0"/>
                <w:i w:val="0"/>
                <w:sz w:val="15"/>
              </w:rPr>
              <w:t>~4</w:t>
            </w:r>
          </w:p>
        </w:tc>
        <w:tc>
          <w:tcPr>
            <w:tcW w:type="dxa" w:w="967"/>
          </w:tcPr>
          <w:p>
            <w:r/>
            <w:r>
              <w:rPr>
                <w:b w:val="0"/>
                <w:i w:val="0"/>
                <w:sz w:val="15"/>
              </w:rPr>
              <w:t>~-4</w:t>
            </w:r>
          </w:p>
        </w:tc>
        <w:tc>
          <w:tcPr>
            <w:tcW w:type="dxa" w:w="967"/>
          </w:tcPr>
          <w:p>
            <w:r/>
            <w:r>
              <w:rPr>
                <w:b w:val="0"/>
                <w:i w:val="0"/>
                <w:sz w:val="15"/>
              </w:rPr>
              <w:t>-6.9</w:t>
            </w:r>
          </w:p>
        </w:tc>
        <w:tc>
          <w:tcPr>
            <w:tcW w:type="dxa" w:w="3095"/>
          </w:tcPr>
          <w:p>
            <w:r/>
            <w:r>
              <w:rPr>
                <w:b w:val="0"/>
                <w:i w:val="0"/>
                <w:sz w:val="15"/>
              </w:rPr>
              <w:t>From best to worst region</w:t>
            </w:r>
          </w:p>
        </w:tc>
      </w:tr>
      <w:tr>
        <w:tc>
          <w:tcPr>
            <w:tcW w:type="dxa" w:w="1934"/>
            <w:shd w:val="clear" w:color="auto" w:fill="F1F3F7"/>
          </w:tcPr>
          <w:p>
            <w:r/>
            <w:r>
              <w:rPr>
                <w:b w:val="0"/>
                <w:i w:val="0"/>
                <w:sz w:val="15"/>
              </w:rPr>
              <w:t>Americas</w:t>
            </w:r>
          </w:p>
        </w:tc>
        <w:tc>
          <w:tcPr>
            <w:tcW w:type="dxa" w:w="967"/>
            <w:shd w:val="clear" w:color="auto" w:fill="F1F3F7"/>
          </w:tcPr>
          <w:p>
            <w:r/>
            <w:r>
              <w:rPr>
                <w:b w:val="0"/>
                <w:i w:val="0"/>
                <w:sz w:val="15"/>
              </w:rPr>
              <w:t>~3</w:t>
            </w:r>
          </w:p>
        </w:tc>
        <w:tc>
          <w:tcPr>
            <w:tcW w:type="dxa" w:w="967"/>
            <w:shd w:val="clear" w:color="auto" w:fill="F1F3F7"/>
          </w:tcPr>
          <w:p>
            <w:r/>
            <w:r>
              <w:rPr>
                <w:b w:val="0"/>
                <w:i w:val="0"/>
                <w:sz w:val="15"/>
              </w:rPr>
              <w:t>~3.5</w:t>
            </w:r>
          </w:p>
        </w:tc>
        <w:tc>
          <w:tcPr>
            <w:tcW w:type="dxa" w:w="967"/>
            <w:shd w:val="clear" w:color="auto" w:fill="F1F3F7"/>
          </w:tcPr>
          <w:p>
            <w:r/>
            <w:r>
              <w:rPr>
                <w:b w:val="0"/>
                <w:i w:val="0"/>
                <w:sz w:val="15"/>
              </w:rPr>
              <w:t>~4.5</w:t>
            </w:r>
          </w:p>
        </w:tc>
        <w:tc>
          <w:tcPr>
            <w:tcW w:type="dxa" w:w="967"/>
            <w:shd w:val="clear" w:color="auto" w:fill="F1F3F7"/>
          </w:tcPr>
          <w:p>
            <w:r/>
            <w:r>
              <w:rPr>
                <w:b w:val="0"/>
                <w:i w:val="0"/>
                <w:sz w:val="15"/>
              </w:rPr>
              <w:t>~5.1</w:t>
            </w:r>
          </w:p>
        </w:tc>
        <w:tc>
          <w:tcPr>
            <w:tcW w:type="dxa" w:w="967"/>
            <w:shd w:val="clear" w:color="auto" w:fill="F1F3F7"/>
          </w:tcPr>
          <w:p>
            <w:r/>
            <w:r>
              <w:rPr>
                <w:b w:val="0"/>
                <w:i w:val="0"/>
                <w:sz w:val="15"/>
              </w:rPr>
              <w:t>~4.7</w:t>
            </w:r>
          </w:p>
        </w:tc>
        <w:tc>
          <w:tcPr>
            <w:tcW w:type="dxa" w:w="3095"/>
            <w:shd w:val="clear" w:color="auto" w:fill="F1F3F7"/>
          </w:tcPr>
          <w:p>
            <w:r/>
            <w:r>
              <w:rPr>
                <w:b w:val="0"/>
                <w:i w:val="0"/>
                <w:sz w:val="15"/>
              </w:rPr>
              <w:t>Tariffs, ramp-up costs</w:t>
            </w:r>
          </w:p>
        </w:tc>
      </w:tr>
      <w:tr>
        <w:tc>
          <w:tcPr>
            <w:tcW w:type="dxa" w:w="1934"/>
          </w:tcPr>
          <w:p>
            <w:r/>
            <w:r>
              <w:rPr>
                <w:b w:val="0"/>
                <w:i w:val="0"/>
                <w:sz w:val="15"/>
              </w:rPr>
              <w:t>Asia/Oceania</w:t>
            </w:r>
          </w:p>
        </w:tc>
        <w:tc>
          <w:tcPr>
            <w:tcW w:type="dxa" w:w="967"/>
          </w:tcPr>
          <w:p>
            <w:r/>
            <w:r>
              <w:rPr>
                <w:b w:val="0"/>
                <w:i w:val="0"/>
                <w:sz w:val="15"/>
              </w:rPr>
              <w:t>~5</w:t>
            </w:r>
          </w:p>
        </w:tc>
        <w:tc>
          <w:tcPr>
            <w:tcW w:type="dxa" w:w="967"/>
          </w:tcPr>
          <w:p>
            <w:r/>
            <w:r>
              <w:rPr>
                <w:b w:val="0"/>
                <w:i w:val="0"/>
                <w:sz w:val="15"/>
              </w:rPr>
              <w:t>~6</w:t>
            </w:r>
          </w:p>
        </w:tc>
        <w:tc>
          <w:tcPr>
            <w:tcW w:type="dxa" w:w="967"/>
          </w:tcPr>
          <w:p>
            <w:r/>
            <w:r>
              <w:rPr>
                <w:b w:val="0"/>
                <w:i w:val="0"/>
                <w:sz w:val="15"/>
              </w:rPr>
              <w:t>~7</w:t>
            </w:r>
          </w:p>
        </w:tc>
        <w:tc>
          <w:tcPr>
            <w:tcW w:type="dxa" w:w="967"/>
          </w:tcPr>
          <w:p>
            <w:r/>
            <w:r>
              <w:rPr>
                <w:b w:val="0"/>
                <w:i w:val="0"/>
                <w:sz w:val="15"/>
              </w:rPr>
              <w:t>~8.2</w:t>
            </w:r>
          </w:p>
        </w:tc>
        <w:tc>
          <w:tcPr>
            <w:tcW w:type="dxa" w:w="967"/>
          </w:tcPr>
          <w:p>
            <w:r/>
            <w:r>
              <w:rPr>
                <w:b w:val="0"/>
                <w:i w:val="0"/>
                <w:sz w:val="15"/>
              </w:rPr>
              <w:t>10.2</w:t>
            </w:r>
          </w:p>
        </w:tc>
        <w:tc>
          <w:tcPr>
            <w:tcW w:type="dxa" w:w="3095"/>
          </w:tcPr>
          <w:p>
            <w:r/>
            <w:r>
              <w:rPr>
                <w:b w:val="0"/>
                <w:i w:val="0"/>
                <w:sz w:val="15"/>
              </w:rPr>
              <w:t>Margin 18.6%</w:t>
            </w:r>
          </w:p>
        </w:tc>
      </w:tr>
      <w:tr>
        <w:tc>
          <w:tcPr>
            <w:tcW w:type="dxa" w:w="1934"/>
            <w:shd w:val="clear" w:color="auto" w:fill="F1F3F7"/>
          </w:tcPr>
          <w:p>
            <w:r/>
            <w:r>
              <w:rPr>
                <w:b w:val="0"/>
                <w:i w:val="0"/>
                <w:sz w:val="15"/>
              </w:rPr>
              <w:t>Advanced Ceramics</w:t>
            </w:r>
          </w:p>
        </w:tc>
        <w:tc>
          <w:tcPr>
            <w:tcW w:type="dxa" w:w="967"/>
            <w:shd w:val="clear" w:color="auto" w:fill="F1F3F7"/>
          </w:tcPr>
          <w:p>
            <w:r/>
            <w:r>
              <w:rPr>
                <w:b w:val="0"/>
                <w:i w:val="0"/>
                <w:sz w:val="15"/>
              </w:rPr>
              <w:t>~9</w:t>
            </w:r>
          </w:p>
        </w:tc>
        <w:tc>
          <w:tcPr>
            <w:tcW w:type="dxa" w:w="967"/>
            <w:shd w:val="clear" w:color="auto" w:fill="F1F3F7"/>
          </w:tcPr>
          <w:p>
            <w:r/>
            <w:r>
              <w:rPr>
                <w:b w:val="0"/>
                <w:i w:val="0"/>
                <w:sz w:val="15"/>
              </w:rPr>
              <w:t>19.4</w:t>
            </w:r>
          </w:p>
        </w:tc>
        <w:tc>
          <w:tcPr>
            <w:tcW w:type="dxa" w:w="967"/>
            <w:shd w:val="clear" w:color="auto" w:fill="F1F3F7"/>
          </w:tcPr>
          <w:p>
            <w:r/>
            <w:r>
              <w:rPr>
                <w:b w:val="0"/>
                <w:i w:val="0"/>
                <w:sz w:val="15"/>
              </w:rPr>
              <w:t>~13</w:t>
            </w:r>
          </w:p>
        </w:tc>
        <w:tc>
          <w:tcPr>
            <w:tcW w:type="dxa" w:w="967"/>
            <w:shd w:val="clear" w:color="auto" w:fill="F1F3F7"/>
          </w:tcPr>
          <w:p>
            <w:r/>
            <w:r>
              <w:rPr>
                <w:b w:val="0"/>
                <w:i w:val="0"/>
                <w:sz w:val="15"/>
              </w:rPr>
              <w:t>20.4</w:t>
            </w:r>
          </w:p>
        </w:tc>
        <w:tc>
          <w:tcPr>
            <w:tcW w:type="dxa" w:w="967"/>
            <w:shd w:val="clear" w:color="auto" w:fill="F1F3F7"/>
          </w:tcPr>
          <w:p>
            <w:r/>
            <w:r>
              <w:rPr>
                <w:b w:val="0"/>
                <w:i w:val="0"/>
                <w:sz w:val="15"/>
              </w:rPr>
              <w:t>28.9</w:t>
            </w:r>
          </w:p>
        </w:tc>
        <w:tc>
          <w:tcPr>
            <w:tcW w:type="dxa" w:w="3095"/>
            <w:shd w:val="clear" w:color="auto" w:fill="F1F3F7"/>
          </w:tcPr>
          <w:p>
            <w:r/>
            <w:r>
              <w:rPr>
                <w:b w:val="0"/>
                <w:i w:val="0"/>
                <w:sz w:val="15"/>
              </w:rPr>
              <w:t>Margin 42.9%</w:t>
            </w:r>
          </w:p>
        </w:tc>
      </w:tr>
      <w:tr>
        <w:tc>
          <w:tcPr>
            <w:tcW w:type="dxa" w:w="1934"/>
          </w:tcPr>
          <w:p>
            <w:r/>
            <w:r>
              <w:rPr>
                <w:b w:val="0"/>
                <w:i w:val="0"/>
                <w:sz w:val="15"/>
              </w:rPr>
              <w:t>Corporate/elim.</w:t>
            </w:r>
          </w:p>
        </w:tc>
        <w:tc>
          <w:tcPr>
            <w:tcW w:type="dxa" w:w="967"/>
          </w:tcPr>
          <w:p>
            <w:r/>
            <w:r>
              <w:rPr>
                <w:b w:val="0"/>
                <w:i w:val="0"/>
                <w:sz w:val="15"/>
              </w:rPr>
              <w:t>~-3</w:t>
            </w:r>
          </w:p>
        </w:tc>
        <w:tc>
          <w:tcPr>
            <w:tcW w:type="dxa" w:w="967"/>
          </w:tcPr>
          <w:p>
            <w:r/>
            <w:r>
              <w:rPr>
                <w:b w:val="0"/>
                <w:i w:val="0"/>
                <w:sz w:val="15"/>
              </w:rPr>
              <w:t>~-3</w:t>
            </w:r>
          </w:p>
        </w:tc>
        <w:tc>
          <w:tcPr>
            <w:tcW w:type="dxa" w:w="967"/>
          </w:tcPr>
          <w:p>
            <w:r/>
            <w:r>
              <w:rPr>
                <w:b w:val="0"/>
                <w:i w:val="0"/>
                <w:sz w:val="15"/>
              </w:rPr>
              <w:t>~-3</w:t>
            </w:r>
          </w:p>
        </w:tc>
        <w:tc>
          <w:tcPr>
            <w:tcW w:type="dxa" w:w="967"/>
          </w:tcPr>
          <w:p>
            <w:r/>
            <w:r>
              <w:rPr>
                <w:b w:val="0"/>
                <w:i w:val="0"/>
                <w:sz w:val="15"/>
              </w:rPr>
              <w:t>~-2.8</w:t>
            </w:r>
          </w:p>
        </w:tc>
        <w:tc>
          <w:tcPr>
            <w:tcW w:type="dxa" w:w="967"/>
          </w:tcPr>
          <w:p>
            <w:r/>
            <w:r>
              <w:rPr>
                <w:b w:val="0"/>
                <w:i w:val="0"/>
                <w:sz w:val="15"/>
              </w:rPr>
              <w:t>~-3.0</w:t>
            </w:r>
          </w:p>
        </w:tc>
        <w:tc>
          <w:tcPr>
            <w:tcW w:type="dxa" w:w="3095"/>
          </w:tcPr>
          <w:p>
            <w:r/>
          </w:p>
        </w:tc>
      </w:tr>
      <w:tr>
        <w:tc>
          <w:tcPr>
            <w:tcW w:type="dxa" w:w="1934"/>
            <w:shd w:val="clear" w:color="auto" w:fill="F1F3F7"/>
          </w:tcPr>
          <w:p>
            <w:r/>
            <w:r>
              <w:rPr>
                <w:b/>
                <w:i w:val="0"/>
                <w:sz w:val="15"/>
              </w:rPr>
              <w:t>Group OP</w:t>
            </w:r>
          </w:p>
        </w:tc>
        <w:tc>
          <w:tcPr>
            <w:tcW w:type="dxa" w:w="967"/>
            <w:shd w:val="clear" w:color="auto" w:fill="F1F3F7"/>
          </w:tcPr>
          <w:p>
            <w:r/>
            <w:r>
              <w:rPr>
                <w:b w:val="0"/>
                <w:i w:val="0"/>
                <w:sz w:val="15"/>
              </w:rPr>
              <w:t>52.2</w:t>
            </w:r>
          </w:p>
        </w:tc>
        <w:tc>
          <w:tcPr>
            <w:tcW w:type="dxa" w:w="967"/>
            <w:shd w:val="clear" w:color="auto" w:fill="F1F3F7"/>
          </w:tcPr>
          <w:p>
            <w:r/>
            <w:r>
              <w:rPr>
                <w:b w:val="0"/>
                <w:i w:val="0"/>
                <w:sz w:val="15"/>
              </w:rPr>
              <w:t>49.1</w:t>
            </w:r>
          </w:p>
        </w:tc>
        <w:tc>
          <w:tcPr>
            <w:tcW w:type="dxa" w:w="967"/>
            <w:shd w:val="clear" w:color="auto" w:fill="F1F3F7"/>
          </w:tcPr>
          <w:p>
            <w:r/>
            <w:r>
              <w:rPr>
                <w:b w:val="0"/>
                <w:i w:val="0"/>
                <w:sz w:val="15"/>
              </w:rPr>
              <w:t>42.8</w:t>
            </w:r>
          </w:p>
        </w:tc>
        <w:tc>
          <w:tcPr>
            <w:tcW w:type="dxa" w:w="967"/>
            <w:shd w:val="clear" w:color="auto" w:fill="F1F3F7"/>
          </w:tcPr>
          <w:p>
            <w:r/>
            <w:r>
              <w:rPr>
                <w:b w:val="0"/>
                <w:i w:val="0"/>
                <w:sz w:val="15"/>
              </w:rPr>
              <w:t>48.5</w:t>
            </w:r>
          </w:p>
        </w:tc>
        <w:tc>
          <w:tcPr>
            <w:tcW w:type="dxa" w:w="967"/>
            <w:shd w:val="clear" w:color="auto" w:fill="F1F3F7"/>
          </w:tcPr>
          <w:p>
            <w:r/>
            <w:r>
              <w:rPr>
                <w:b w:val="0"/>
                <w:i w:val="0"/>
                <w:sz w:val="15"/>
              </w:rPr>
              <w:t>53.8</w:t>
            </w:r>
          </w:p>
        </w:tc>
        <w:tc>
          <w:tcPr>
            <w:tcW w:type="dxa" w:w="3095"/>
            <w:shd w:val="clear" w:color="auto" w:fill="F1F3F7"/>
          </w:tcPr>
          <w:p>
            <w:r/>
          </w:p>
        </w:tc>
      </w:tr>
    </w:tbl>
    <w:p>
      <w:r>
        <w:rPr>
          <w:b w:val="0"/>
          <w:i/>
          <w:color w:val="5E6878"/>
          <w:sz w:val="14"/>
        </w:rPr>
        <w:t>FY3/22–FY3/24 segment/regional splits are reconstructions (old three-segment basis: Japan Residential / Global Residential / New Domain) and are approximate; FY3/25 partly derived from FY3/26 growth rates. From FY3/26 TOTO reports Housing (Japan + overseas) and Ceramics.</w:t>
      </w:r>
    </w:p>
    <w:p>
      <w:r>
        <w:drawing>
          <wp:inline xmlns:a="http://schemas.openxmlformats.org/drawingml/2006/main" xmlns:pic="http://schemas.openxmlformats.org/drawingml/2006/picture">
            <wp:extent cx="5950799" cy="2322263"/>
            <wp:docPr id="3" name="Picture 3"/>
            <wp:cNvGraphicFramePr>
              <a:graphicFrameLocks noChangeAspect="1"/>
            </wp:cNvGraphicFramePr>
            <a:graphic>
              <a:graphicData uri="http://schemas.openxmlformats.org/drawingml/2006/picture">
                <pic:pic>
                  <pic:nvPicPr>
                    <pic:cNvPr id="0" name="seg_mix.png"/>
                    <pic:cNvPicPr/>
                  </pic:nvPicPr>
                  <pic:blipFill>
                    <a:blip r:embed="rId12"/>
                    <a:stretch>
                      <a:fillRect/>
                    </a:stretch>
                  </pic:blipFill>
                  <pic:spPr>
                    <a:xfrm>
                      <a:off x="0" y="0"/>
                      <a:ext cx="5950799" cy="2322263"/>
                    </a:xfrm>
                    <a:prstGeom prst="rect"/>
                  </pic:spPr>
                </pic:pic>
              </a:graphicData>
            </a:graphic>
          </wp:inline>
        </w:drawing>
      </w:r>
    </w:p>
    <w:p>
      <w:r>
        <w:rPr>
          <w:b w:val="0"/>
          <w:i/>
          <w:color w:val="5E6878"/>
          <w:sz w:val="14"/>
        </w:rPr>
        <w:t>Segment OP mix: housing vs Advanced Ceramics, with ceramics share of segment OP.</w:t>
      </w:r>
    </w:p>
    <w:p>
      <w:pPr>
        <w:pStyle w:val="Heading2"/>
      </w:pPr>
      <w:r>
        <w:t>8.3 Trends and drivers</w:t>
      </w:r>
    </w:p>
    <w:p>
      <w:pPr>
        <w:pStyle w:val="ListBullet"/>
        <w:spacing w:after="20"/>
      </w:pPr>
      <w:r>
        <w:rPr>
          <w:b/>
          <w:i w:val="0"/>
        </w:rPr>
        <w:t>Revenue:</w:t>
      </w:r>
      <w:r>
        <w:rPr>
          <w:b w:val="0"/>
          <w:i w:val="0"/>
        </w:rPr>
        <w:t xml:space="preserve"> group sales grew only ~3.4% p.a. over five years and almost entirely through price. Japan volumes are flat to down (new-build structurally shrinking), China halved, Americas and Asia compounded at ~10–14%, and ceramics nearly doubled.</w:t>
      </w:r>
    </w:p>
    <w:p>
      <w:pPr>
        <w:pStyle w:val="ListBullet"/>
        <w:spacing w:after="20"/>
      </w:pPr>
      <w:r>
        <w:rPr>
          <w:b/>
          <w:i w:val="0"/>
        </w:rPr>
        <w:t>Margins:</w:t>
      </w:r>
      <w:r>
        <w:rPr>
          <w:b w:val="0"/>
          <w:i w:val="0"/>
        </w:rPr>
        <w:t xml:space="preserve"> OP margin fell from 8.1% to 6.1% (FY3/24) on China collapse, materials and energy inflation, and the FY3/24 memory downturn; it recovered to 7.3% purely on ceramics. Housing margin has fallen from ~11% to ~4.2%.</w:t>
      </w:r>
    </w:p>
    <w:p>
      <w:pPr>
        <w:pStyle w:val="ListBullet"/>
        <w:spacing w:after="20"/>
      </w:pPr>
      <w:r>
        <w:rPr>
          <w:b/>
          <w:i w:val="0"/>
        </w:rPr>
        <w:t>Net income:</w:t>
      </w:r>
      <w:r>
        <w:rPr>
          <w:b w:val="0"/>
          <w:i w:val="0"/>
        </w:rPr>
        <w:t xml:space="preserve"> FY3/25 was hit by the ¥34.1bn China impairment; FY3/26 included a further ~¥15bn China restructuring loss but benefited from FX/non-operating gains (ordinary income ¥60.7bn vs OP ¥53.8bn) and cross-holding sales.</w:t>
      </w:r>
    </w:p>
    <w:p>
      <w:pPr>
        <w:pStyle w:val="ListBullet"/>
        <w:spacing w:after="20"/>
      </w:pPr>
      <w:r>
        <w:rPr>
          <w:b/>
          <w:i w:val="0"/>
        </w:rPr>
        <w:t>EBITDA</w:t>
      </w:r>
      <w:r>
        <w:rPr>
          <w:b w:val="0"/>
          <w:i w:val="0"/>
        </w:rPr>
        <w:t xml:space="preserve"> ~¥88bn; D&amp;A broadly flat at ~¥34–35bn but will rise with the ceramics and US capex programme.</w:t>
      </w:r>
    </w:p>
    <w:p>
      <w:r>
        <w:drawing>
          <wp:inline xmlns:a="http://schemas.openxmlformats.org/drawingml/2006/main" xmlns:pic="http://schemas.openxmlformats.org/drawingml/2006/picture">
            <wp:extent cx="5950799" cy="2177122"/>
            <wp:docPr id="4" name="Picture 4"/>
            <wp:cNvGraphicFramePr>
              <a:graphicFrameLocks noChangeAspect="1"/>
            </wp:cNvGraphicFramePr>
            <a:graphic>
              <a:graphicData uri="http://schemas.openxmlformats.org/drawingml/2006/picture">
                <pic:pic>
                  <pic:nvPicPr>
                    <pic:cNvPr id="0" name="ceramics.png"/>
                    <pic:cNvPicPr/>
                  </pic:nvPicPr>
                  <pic:blipFill>
                    <a:blip r:embed="rId13"/>
                    <a:stretch>
                      <a:fillRect/>
                    </a:stretch>
                  </pic:blipFill>
                  <pic:spPr>
                    <a:xfrm>
                      <a:off x="0" y="0"/>
                      <a:ext cx="5950799" cy="2177122"/>
                    </a:xfrm>
                    <a:prstGeom prst="rect"/>
                  </pic:spPr>
                </pic:pic>
              </a:graphicData>
            </a:graphic>
          </wp:inline>
        </w:drawing>
      </w:r>
    </w:p>
    <w:p>
      <w:r>
        <w:rPr>
          <w:b w:val="0"/>
          <w:i/>
          <w:color w:val="5E6878"/>
          <w:sz w:val="14"/>
        </w:rPr>
        <w:t>Advanced Ceramics: sales (bars) and OP margin (line). FY3/22e–FY3/24e reconstructed; FY3/27E–FY3/29E our estimates.</w:t>
      </w:r>
    </w:p>
    <w:p>
      <w:pPr>
        <w:pStyle w:val="Heading2"/>
      </w:pPr>
      <w:r>
        <w:t>8.4 Operational KPIs</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3288"/>
            <w:shd w:val="clear" w:color="auto" w:fill="16243D"/>
          </w:tcPr>
          <w:p>
            <w:r/>
            <w:r>
              <w:rPr>
                <w:b/>
                <w:i w:val="0"/>
                <w:color w:val="FFFFFF"/>
                <w:sz w:val="15"/>
              </w:rPr>
              <w:t>KPI</w:t>
            </w:r>
          </w:p>
        </w:tc>
        <w:tc>
          <w:tcPr>
            <w:tcW w:type="dxa" w:w="2466"/>
            <w:shd w:val="clear" w:color="auto" w:fill="16243D"/>
          </w:tcPr>
          <w:p>
            <w:r/>
            <w:r>
              <w:rPr>
                <w:b/>
                <w:i w:val="0"/>
                <w:color w:val="FFFFFF"/>
                <w:sz w:val="15"/>
              </w:rPr>
              <w:t>Latest</w:t>
            </w:r>
          </w:p>
        </w:tc>
        <w:tc>
          <w:tcPr>
            <w:tcW w:type="dxa" w:w="4110"/>
            <w:shd w:val="clear" w:color="auto" w:fill="16243D"/>
          </w:tcPr>
          <w:p>
            <w:r/>
            <w:r>
              <w:rPr>
                <w:b/>
                <w:i w:val="0"/>
                <w:color w:val="FFFFFF"/>
                <w:sz w:val="15"/>
              </w:rPr>
              <w:t>Trend / comment</w:t>
            </w:r>
          </w:p>
        </w:tc>
      </w:tr>
      <w:tr>
        <w:tc>
          <w:tcPr>
            <w:tcW w:type="dxa" w:w="3288"/>
          </w:tcPr>
          <w:p>
            <w:r/>
            <w:r>
              <w:rPr>
                <w:b w:val="0"/>
                <w:i w:val="0"/>
                <w:sz w:val="15"/>
              </w:rPr>
              <w:t>Japan remodel share of Japan housing sales</w:t>
            </w:r>
          </w:p>
        </w:tc>
        <w:tc>
          <w:tcPr>
            <w:tcW w:type="dxa" w:w="2466"/>
          </w:tcPr>
          <w:p>
            <w:r/>
            <w:r>
              <w:rPr>
                <w:b w:val="0"/>
                <w:i w:val="0"/>
                <w:sz w:val="15"/>
              </w:rPr>
              <w:t>~72% (¥346.8bn)</w:t>
            </w:r>
          </w:p>
        </w:tc>
        <w:tc>
          <w:tcPr>
            <w:tcW w:type="dxa" w:w="4110"/>
          </w:tcPr>
          <w:p>
            <w:r/>
            <w:r>
              <w:rPr>
                <w:b w:val="0"/>
                <w:i w:val="0"/>
                <w:sz w:val="15"/>
              </w:rPr>
              <w:t>Rising — structural; supports pricing</w:t>
            </w:r>
          </w:p>
        </w:tc>
      </w:tr>
      <w:tr>
        <w:tc>
          <w:tcPr>
            <w:tcW w:type="dxa" w:w="3288"/>
            <w:shd w:val="clear" w:color="auto" w:fill="F1F3F7"/>
          </w:tcPr>
          <w:p>
            <w:r/>
            <w:r>
              <w:rPr>
                <w:b w:val="0"/>
                <w:i w:val="0"/>
                <w:sz w:val="15"/>
              </w:rPr>
              <w:t>Japan housing starts (FY2025)</w:t>
            </w:r>
          </w:p>
        </w:tc>
        <w:tc>
          <w:tcPr>
            <w:tcW w:type="dxa" w:w="2466"/>
            <w:shd w:val="clear" w:color="auto" w:fill="F1F3F7"/>
          </w:tcPr>
          <w:p>
            <w:r/>
            <w:r>
              <w:rPr>
                <w:b w:val="0"/>
                <w:i w:val="0"/>
                <w:sz w:val="15"/>
              </w:rPr>
              <w:t>~711k (-12.9%)</w:t>
            </w:r>
          </w:p>
        </w:tc>
        <w:tc>
          <w:tcPr>
            <w:tcW w:type="dxa" w:w="4110"/>
            <w:shd w:val="clear" w:color="auto" w:fill="F1F3F7"/>
          </w:tcPr>
          <w:p>
            <w:r/>
            <w:r>
              <w:rPr>
                <w:b w:val="0"/>
                <w:i w:val="0"/>
                <w:sz w:val="15"/>
              </w:rPr>
              <w:t>Post-war low; building-code change pulled demand forward</w:t>
            </w:r>
          </w:p>
        </w:tc>
      </w:tr>
      <w:tr>
        <w:tc>
          <w:tcPr>
            <w:tcW w:type="dxa" w:w="3288"/>
          </w:tcPr>
          <w:p>
            <w:r/>
            <w:r>
              <w:rPr>
                <w:b w:val="0"/>
                <w:i w:val="0"/>
                <w:sz w:val="15"/>
              </w:rPr>
              <w:t>Japan price increases</w:t>
            </w:r>
          </w:p>
        </w:tc>
        <w:tc>
          <w:tcPr>
            <w:tcW w:type="dxa" w:w="2466"/>
          </w:tcPr>
          <w:p>
            <w:r/>
            <w:r>
              <w:rPr>
                <w:b w:val="0"/>
                <w:i w:val="0"/>
                <w:sz w:val="15"/>
              </w:rPr>
              <w:t>2023, 2024, 2025, Dec-2026 (8–13%)</w:t>
            </w:r>
          </w:p>
        </w:tc>
        <w:tc>
          <w:tcPr>
            <w:tcW w:type="dxa" w:w="4110"/>
          </w:tcPr>
          <w:p>
            <w:r/>
            <w:r>
              <w:rPr>
                <w:b w:val="0"/>
                <w:i w:val="0"/>
                <w:sz w:val="15"/>
              </w:rPr>
              <w:t>Accelerating — cost pass-through test</w:t>
            </w:r>
          </w:p>
        </w:tc>
      </w:tr>
      <w:tr>
        <w:tc>
          <w:tcPr>
            <w:tcW w:type="dxa" w:w="3288"/>
            <w:shd w:val="clear" w:color="auto" w:fill="F1F3F7"/>
          </w:tcPr>
          <w:p>
            <w:r/>
            <w:r>
              <w:rPr>
                <w:b w:val="0"/>
                <w:i w:val="0"/>
                <w:sz w:val="15"/>
              </w:rPr>
              <w:t>Washlet cumulative shipments</w:t>
            </w:r>
          </w:p>
        </w:tc>
        <w:tc>
          <w:tcPr>
            <w:tcW w:type="dxa" w:w="2466"/>
            <w:shd w:val="clear" w:color="auto" w:fill="F1F3F7"/>
          </w:tcPr>
          <w:p>
            <w:r/>
            <w:r>
              <w:rPr>
                <w:b w:val="0"/>
                <w:i w:val="0"/>
                <w:sz w:val="15"/>
              </w:rPr>
              <w:t>&gt;60m (Aug 2022)</w:t>
            </w:r>
          </w:p>
        </w:tc>
        <w:tc>
          <w:tcPr>
            <w:tcW w:type="dxa" w:w="4110"/>
            <w:shd w:val="clear" w:color="auto" w:fill="F1F3F7"/>
          </w:tcPr>
          <w:p>
            <w:r/>
            <w:r>
              <w:rPr>
                <w:b w:val="0"/>
                <w:i w:val="0"/>
                <w:sz w:val="15"/>
              </w:rPr>
              <w:t>Japan household penetration &gt;80%</w:t>
            </w:r>
          </w:p>
        </w:tc>
      </w:tr>
      <w:tr>
        <w:tc>
          <w:tcPr>
            <w:tcW w:type="dxa" w:w="3288"/>
          </w:tcPr>
          <w:p>
            <w:r/>
            <w:r>
              <w:rPr>
                <w:b w:val="0"/>
                <w:i w:val="0"/>
                <w:sz w:val="15"/>
              </w:rPr>
              <w:t>China sales / OP</w:t>
            </w:r>
          </w:p>
        </w:tc>
        <w:tc>
          <w:tcPr>
            <w:tcW w:type="dxa" w:w="2466"/>
          </w:tcPr>
          <w:p>
            <w:r/>
            <w:r>
              <w:rPr>
                <w:b w:val="0"/>
                <w:i w:val="0"/>
                <w:sz w:val="15"/>
              </w:rPr>
              <w:t>¥53.8bn / -¥6.9bn</w:t>
            </w:r>
          </w:p>
        </w:tc>
        <w:tc>
          <w:tcPr>
            <w:tcW w:type="dxa" w:w="4110"/>
          </w:tcPr>
          <w:p>
            <w:r/>
            <w:r>
              <w:rPr>
                <w:b w:val="0"/>
                <w:i w:val="0"/>
                <w:sz w:val="15"/>
              </w:rPr>
              <w:t>~40% of capacity closed; ~¥7bn improvement targeted</w:t>
            </w:r>
          </w:p>
        </w:tc>
      </w:tr>
      <w:tr>
        <w:tc>
          <w:tcPr>
            <w:tcW w:type="dxa" w:w="3288"/>
            <w:shd w:val="clear" w:color="auto" w:fill="F1F3F7"/>
          </w:tcPr>
          <w:p>
            <w:r/>
            <w:r>
              <w:rPr>
                <w:b w:val="0"/>
                <w:i w:val="0"/>
                <w:sz w:val="15"/>
              </w:rPr>
              <w:t>Americas sales</w:t>
            </w:r>
          </w:p>
        </w:tc>
        <w:tc>
          <w:tcPr>
            <w:tcW w:type="dxa" w:w="2466"/>
            <w:shd w:val="clear" w:color="auto" w:fill="F1F3F7"/>
          </w:tcPr>
          <w:p>
            <w:r/>
            <w:r>
              <w:rPr>
                <w:b w:val="0"/>
                <w:i w:val="0"/>
                <w:sz w:val="15"/>
              </w:rPr>
              <w:t>¥75.6bn (+7%)</w:t>
            </w:r>
          </w:p>
        </w:tc>
        <w:tc>
          <w:tcPr>
            <w:tcW w:type="dxa" w:w="4110"/>
            <w:shd w:val="clear" w:color="auto" w:fill="F1F3F7"/>
          </w:tcPr>
          <w:p>
            <w:r/>
            <w:r>
              <w:rPr>
                <w:b w:val="0"/>
                <w:i w:val="0"/>
                <w:sz w:val="15"/>
              </w:rPr>
              <w:t>Target ¥100bn by FY3/31; US local production &gt;50%</w:t>
            </w:r>
          </w:p>
        </w:tc>
      </w:tr>
      <w:tr>
        <w:tc>
          <w:tcPr>
            <w:tcW w:type="dxa" w:w="3288"/>
          </w:tcPr>
          <w:p>
            <w:r/>
            <w:r>
              <w:rPr>
                <w:b w:val="0"/>
                <w:i w:val="0"/>
                <w:sz w:val="15"/>
              </w:rPr>
              <w:t>Ceramics sales / OP margin</w:t>
            </w:r>
          </w:p>
        </w:tc>
        <w:tc>
          <w:tcPr>
            <w:tcW w:type="dxa" w:w="2466"/>
          </w:tcPr>
          <w:p>
            <w:r/>
            <w:r>
              <w:rPr>
                <w:b w:val="0"/>
                <w:i w:val="0"/>
                <w:sz w:val="15"/>
              </w:rPr>
              <w:t>¥67.4bn / 42.9%</w:t>
            </w:r>
          </w:p>
        </w:tc>
        <w:tc>
          <w:tcPr>
            <w:tcW w:type="dxa" w:w="4110"/>
          </w:tcPr>
          <w:p>
            <w:r/>
            <w:r>
              <w:rPr>
                <w:b w:val="0"/>
                <w:i w:val="0"/>
                <w:sz w:val="15"/>
              </w:rPr>
              <w:t>FY3/27 plan ¥85.5bn; Q1 +6% (timing)</w:t>
            </w:r>
          </w:p>
        </w:tc>
      </w:tr>
      <w:tr>
        <w:tc>
          <w:tcPr>
            <w:tcW w:type="dxa" w:w="3288"/>
            <w:shd w:val="clear" w:color="auto" w:fill="F1F3F7"/>
          </w:tcPr>
          <w:p>
            <w:r/>
            <w:r>
              <w:rPr>
                <w:b w:val="0"/>
                <w:i w:val="0"/>
                <w:sz w:val="15"/>
              </w:rPr>
              <w:t>ESC capacity</w:t>
            </w:r>
          </w:p>
        </w:tc>
        <w:tc>
          <w:tcPr>
            <w:tcW w:type="dxa" w:w="2466"/>
            <w:shd w:val="clear" w:color="auto" w:fill="F1F3F7"/>
          </w:tcPr>
          <w:p>
            <w:r/>
            <w:r>
              <w:rPr>
                <w:b w:val="0"/>
                <w:i w:val="0"/>
                <w:sz w:val="15"/>
              </w:rPr>
              <w:t>+20% from Jan 2027 (Buzen)</w:t>
            </w:r>
          </w:p>
        </w:tc>
        <w:tc>
          <w:tcPr>
            <w:tcW w:type="dxa" w:w="4110"/>
            <w:shd w:val="clear" w:color="auto" w:fill="F1F3F7"/>
          </w:tcPr>
          <w:p>
            <w:r/>
            <w:r>
              <w:rPr>
                <w:b w:val="0"/>
                <w:i w:val="0"/>
                <w:sz w:val="15"/>
              </w:rPr>
              <w:t>~¥30bn capex to FY2028; reported ~¥80bn 5-year</w:t>
            </w:r>
          </w:p>
        </w:tc>
      </w:tr>
      <w:tr>
        <w:tc>
          <w:tcPr>
            <w:tcW w:type="dxa" w:w="3288"/>
          </w:tcPr>
          <w:p>
            <w:r/>
            <w:r>
              <w:rPr>
                <w:b w:val="0"/>
                <w:i w:val="0"/>
                <w:sz w:val="15"/>
              </w:rPr>
              <w:t>Capex intensity</w:t>
            </w:r>
          </w:p>
        </w:tc>
        <w:tc>
          <w:tcPr>
            <w:tcW w:type="dxa" w:w="2466"/>
          </w:tcPr>
          <w:p>
            <w:r/>
            <w:r>
              <w:rPr>
                <w:b w:val="0"/>
                <w:i w:val="0"/>
                <w:sz w:val="15"/>
              </w:rPr>
              <w:t>~¥36.5bn PP&amp;E (5% of sales)</w:t>
            </w:r>
          </w:p>
        </w:tc>
        <w:tc>
          <w:tcPr>
            <w:tcW w:type="dxa" w:w="4110"/>
          </w:tcPr>
          <w:p>
            <w:r/>
            <w:r>
              <w:rPr>
                <w:b w:val="0"/>
                <w:i w:val="0"/>
                <w:sz w:val="15"/>
              </w:rPr>
              <w:t>Rising with ceramics + US</w:t>
            </w:r>
          </w:p>
        </w:tc>
      </w:tr>
      <w:tr>
        <w:tc>
          <w:tcPr>
            <w:tcW w:type="dxa" w:w="3288"/>
            <w:shd w:val="clear" w:color="auto" w:fill="F1F3F7"/>
          </w:tcPr>
          <w:p>
            <w:r/>
            <w:r>
              <w:rPr>
                <w:b w:val="0"/>
                <w:i w:val="0"/>
                <w:sz w:val="15"/>
              </w:rPr>
              <w:t>Overseas share of sales</w:t>
            </w:r>
          </w:p>
        </w:tc>
        <w:tc>
          <w:tcPr>
            <w:tcW w:type="dxa" w:w="2466"/>
            <w:shd w:val="clear" w:color="auto" w:fill="F1F3F7"/>
          </w:tcPr>
          <w:p>
            <w:r/>
            <w:r>
              <w:rPr>
                <w:b w:val="0"/>
                <w:i w:val="0"/>
                <w:sz w:val="15"/>
              </w:rPr>
              <w:t>~33%</w:t>
            </w:r>
          </w:p>
        </w:tc>
        <w:tc>
          <w:tcPr>
            <w:tcW w:type="dxa" w:w="4110"/>
            <w:shd w:val="clear" w:color="auto" w:fill="F1F3F7"/>
          </w:tcPr>
          <w:p>
            <w:r/>
            <w:r>
              <w:rPr>
                <w:b w:val="0"/>
                <w:i w:val="0"/>
                <w:sz w:val="15"/>
              </w:rPr>
              <w:t>WILL2030 target &gt;40%</w:t>
            </w:r>
          </w:p>
        </w:tc>
      </w:tr>
      <w:tr>
        <w:tc>
          <w:tcPr>
            <w:tcW w:type="dxa" w:w="3288"/>
          </w:tcPr>
          <w:p>
            <w:r/>
            <w:r>
              <w:rPr>
                <w:b w:val="0"/>
                <w:i w:val="0"/>
                <w:sz w:val="15"/>
              </w:rPr>
              <w:t>OP margin vs WILL2030 target</w:t>
            </w:r>
          </w:p>
        </w:tc>
        <w:tc>
          <w:tcPr>
            <w:tcW w:type="dxa" w:w="2466"/>
          </w:tcPr>
          <w:p>
            <w:r/>
            <w:r>
              <w:rPr>
                <w:b w:val="0"/>
                <w:i w:val="0"/>
                <w:sz w:val="15"/>
              </w:rPr>
              <w:t>7.3% vs ≥12%</w:t>
            </w:r>
          </w:p>
        </w:tc>
        <w:tc>
          <w:tcPr>
            <w:tcW w:type="dxa" w:w="4110"/>
          </w:tcPr>
          <w:p>
            <w:r/>
            <w:r>
              <w:rPr>
                <w:b w:val="0"/>
                <w:i w:val="0"/>
                <w:sz w:val="15"/>
              </w:rPr>
              <w:t>Gap closing only via ceramics</w:t>
            </w:r>
          </w:p>
        </w:tc>
      </w:tr>
    </w:tbl>
    <w:p/>
    <w:p>
      <w:pPr>
        <w:pStyle w:val="Heading1"/>
      </w:pPr>
      <w:r>
        <w:t>9. Earnings Calls, Sentiment and the Latest Result</w:t>
      </w:r>
    </w:p>
    <w:p>
      <w:pPr>
        <w:pStyle w:val="Heading2"/>
      </w:pPr>
      <w:r>
        <w:t>9.1 What management has focused on — sentiment tracker</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2406"/>
            <w:shd w:val="clear" w:color="auto" w:fill="16243D"/>
          </w:tcPr>
          <w:p>
            <w:r/>
            <w:r>
              <w:rPr>
                <w:b/>
                <w:i w:val="0"/>
                <w:color w:val="FFFFFF"/>
                <w:sz w:val="15"/>
              </w:rPr>
              <w:t>Event</w:t>
            </w:r>
          </w:p>
        </w:tc>
        <w:tc>
          <w:tcPr>
            <w:tcW w:type="dxa" w:w="4812"/>
            <w:shd w:val="clear" w:color="auto" w:fill="16243D"/>
          </w:tcPr>
          <w:p>
            <w:r/>
            <w:r>
              <w:rPr>
                <w:b/>
                <w:i w:val="0"/>
                <w:color w:val="FFFFFF"/>
                <w:sz w:val="15"/>
              </w:rPr>
              <w:t>Management focus</w:t>
            </w:r>
          </w:p>
        </w:tc>
        <w:tc>
          <w:tcPr>
            <w:tcW w:type="dxa" w:w="1925"/>
            <w:shd w:val="clear" w:color="auto" w:fill="16243D"/>
          </w:tcPr>
          <w:p>
            <w:r/>
            <w:r>
              <w:rPr>
                <w:b/>
                <w:i w:val="0"/>
                <w:color w:val="FFFFFF"/>
                <w:sz w:val="15"/>
              </w:rPr>
              <w:t>Sentiment (1–5)</w:t>
            </w:r>
          </w:p>
        </w:tc>
        <w:tc>
          <w:tcPr>
            <w:tcW w:type="dxa" w:w="722"/>
            <w:shd w:val="clear" w:color="auto" w:fill="16243D"/>
          </w:tcPr>
          <w:p>
            <w:r/>
            <w:r>
              <w:rPr>
                <w:b/>
                <w:i w:val="0"/>
                <w:color w:val="FFFFFF"/>
                <w:sz w:val="15"/>
              </w:rPr>
              <w:t>Shift</w:t>
            </w:r>
          </w:p>
        </w:tc>
      </w:tr>
      <w:tr>
        <w:tc>
          <w:tcPr>
            <w:tcW w:type="dxa" w:w="2406"/>
          </w:tcPr>
          <w:p>
            <w:r/>
            <w:r>
              <w:rPr>
                <w:b w:val="0"/>
                <w:i w:val="0"/>
                <w:sz w:val="15"/>
              </w:rPr>
              <w:t>Q2 FY3/24 (30 Oct 2023)</w:t>
            </w:r>
          </w:p>
        </w:tc>
        <w:tc>
          <w:tcPr>
            <w:tcW w:type="dxa" w:w="4812"/>
          </w:tcPr>
          <w:p>
            <w:r/>
            <w:r>
              <w:rPr>
                <w:b w:val="0"/>
                <w:i w:val="0"/>
                <w:sz w:val="15"/>
              </w:rPr>
              <w:t>China property, guidance cut, cost control</w:t>
            </w:r>
          </w:p>
        </w:tc>
        <w:tc>
          <w:tcPr>
            <w:tcW w:type="dxa" w:w="1925"/>
          </w:tcPr>
          <w:p>
            <w:r/>
            <w:r>
              <w:rPr>
                <w:b w:val="0"/>
                <w:i w:val="0"/>
                <w:sz w:val="15"/>
              </w:rPr>
              <w:t>2 – defensive</w:t>
            </w:r>
          </w:p>
        </w:tc>
        <w:tc>
          <w:tcPr>
            <w:tcW w:type="dxa" w:w="722"/>
          </w:tcPr>
          <w:p>
            <w:r/>
            <w:r>
              <w:rPr>
                <w:b w:val="0"/>
                <w:i w:val="0"/>
                <w:sz w:val="15"/>
              </w:rPr>
              <w:t>↓</w:t>
            </w:r>
          </w:p>
        </w:tc>
      </w:tr>
      <w:tr>
        <w:tc>
          <w:tcPr>
            <w:tcW w:type="dxa" w:w="2406"/>
            <w:shd w:val="clear" w:color="auto" w:fill="F1F3F7"/>
          </w:tcPr>
          <w:p>
            <w:r/>
            <w:r>
              <w:rPr>
                <w:b w:val="0"/>
                <w:i w:val="0"/>
                <w:sz w:val="15"/>
              </w:rPr>
              <w:t>Q2 FY3/25 (Oct 2024)</w:t>
            </w:r>
          </w:p>
        </w:tc>
        <w:tc>
          <w:tcPr>
            <w:tcW w:type="dxa" w:w="4812"/>
            <w:shd w:val="clear" w:color="auto" w:fill="F1F3F7"/>
          </w:tcPr>
          <w:p>
            <w:r/>
            <w:r>
              <w:rPr>
                <w:b w:val="0"/>
                <w:i w:val="0"/>
                <w:sz w:val="15"/>
              </w:rPr>
              <w:t>China loss, ¥34bn impairment, structural reform</w:t>
            </w:r>
          </w:p>
        </w:tc>
        <w:tc>
          <w:tcPr>
            <w:tcW w:type="dxa" w:w="1925"/>
            <w:shd w:val="clear" w:color="auto" w:fill="F1F3F7"/>
          </w:tcPr>
          <w:p>
            <w:r/>
            <w:r>
              <w:rPr>
                <w:b w:val="0"/>
                <w:i w:val="0"/>
                <w:sz w:val="15"/>
              </w:rPr>
              <w:t>1.5 – capitulation</w:t>
            </w:r>
          </w:p>
        </w:tc>
        <w:tc>
          <w:tcPr>
            <w:tcW w:type="dxa" w:w="722"/>
            <w:shd w:val="clear" w:color="auto" w:fill="F1F3F7"/>
          </w:tcPr>
          <w:p>
            <w:r/>
            <w:r>
              <w:rPr>
                <w:b w:val="0"/>
                <w:i w:val="0"/>
                <w:sz w:val="15"/>
              </w:rPr>
              <w:t>↓</w:t>
            </w:r>
          </w:p>
        </w:tc>
      </w:tr>
      <w:tr>
        <w:tc>
          <w:tcPr>
            <w:tcW w:type="dxa" w:w="2406"/>
          </w:tcPr>
          <w:p>
            <w:r/>
            <w:r>
              <w:rPr>
                <w:b w:val="0"/>
                <w:i w:val="0"/>
                <w:sz w:val="15"/>
              </w:rPr>
              <w:t>FY3/25 (28 Apr 2025)</w:t>
            </w:r>
          </w:p>
        </w:tc>
        <w:tc>
          <w:tcPr>
            <w:tcW w:type="dxa" w:w="4812"/>
          </w:tcPr>
          <w:p>
            <w:r/>
            <w:r>
              <w:rPr>
                <w:b w:val="0"/>
                <w:i w:val="0"/>
                <w:sz w:val="15"/>
              </w:rPr>
              <w:t>China plant closures, ¥20bn buyback, US capacity</w:t>
            </w:r>
          </w:p>
        </w:tc>
        <w:tc>
          <w:tcPr>
            <w:tcW w:type="dxa" w:w="1925"/>
          </w:tcPr>
          <w:p>
            <w:r/>
            <w:r>
              <w:rPr>
                <w:b w:val="0"/>
                <w:i w:val="0"/>
                <w:sz w:val="15"/>
              </w:rPr>
              <w:t>2.5 – reset</w:t>
            </w:r>
          </w:p>
        </w:tc>
        <w:tc>
          <w:tcPr>
            <w:tcW w:type="dxa" w:w="722"/>
          </w:tcPr>
          <w:p>
            <w:r/>
            <w:r>
              <w:rPr>
                <w:b w:val="0"/>
                <w:i w:val="0"/>
                <w:sz w:val="15"/>
              </w:rPr>
              <w:t>↑</w:t>
            </w:r>
          </w:p>
        </w:tc>
      </w:tr>
      <w:tr>
        <w:tc>
          <w:tcPr>
            <w:tcW w:type="dxa" w:w="2406"/>
            <w:shd w:val="clear" w:color="auto" w:fill="F1F3F7"/>
          </w:tcPr>
          <w:p>
            <w:r/>
            <w:r>
              <w:rPr>
                <w:b w:val="0"/>
                <w:i w:val="0"/>
                <w:sz w:val="15"/>
              </w:rPr>
              <w:t>Q1 FY3/26 (31 Jul 2025)</w:t>
            </w:r>
          </w:p>
        </w:tc>
        <w:tc>
          <w:tcPr>
            <w:tcW w:type="dxa" w:w="4812"/>
            <w:shd w:val="clear" w:color="auto" w:fill="F1F3F7"/>
          </w:tcPr>
          <w:p>
            <w:r/>
            <w:r>
              <w:rPr>
                <w:b w:val="0"/>
                <w:i w:val="0"/>
                <w:sz w:val="15"/>
              </w:rPr>
              <w:t>Weak Japan new-build, tariffs</w:t>
            </w:r>
          </w:p>
        </w:tc>
        <w:tc>
          <w:tcPr>
            <w:tcW w:type="dxa" w:w="1925"/>
            <w:shd w:val="clear" w:color="auto" w:fill="F1F3F7"/>
          </w:tcPr>
          <w:p>
            <w:r/>
            <w:r>
              <w:rPr>
                <w:b w:val="0"/>
                <w:i w:val="0"/>
                <w:sz w:val="15"/>
              </w:rPr>
              <w:t>2 – cautious</w:t>
            </w:r>
          </w:p>
        </w:tc>
        <w:tc>
          <w:tcPr>
            <w:tcW w:type="dxa" w:w="722"/>
            <w:shd w:val="clear" w:color="auto" w:fill="F1F3F7"/>
          </w:tcPr>
          <w:p>
            <w:r/>
            <w:r>
              <w:rPr>
                <w:b w:val="0"/>
                <w:i w:val="0"/>
                <w:sz w:val="15"/>
              </w:rPr>
              <w:t>↓</w:t>
            </w:r>
          </w:p>
        </w:tc>
      </w:tr>
      <w:tr>
        <w:tc>
          <w:tcPr>
            <w:tcW w:type="dxa" w:w="2406"/>
          </w:tcPr>
          <w:p>
            <w:r/>
            <w:r>
              <w:rPr>
                <w:b w:val="0"/>
                <w:i w:val="0"/>
                <w:sz w:val="15"/>
              </w:rPr>
              <w:t>Aug 2025 Americas briefing</w:t>
            </w:r>
          </w:p>
        </w:tc>
        <w:tc>
          <w:tcPr>
            <w:tcW w:type="dxa" w:w="4812"/>
          </w:tcPr>
          <w:p>
            <w:r/>
            <w:r>
              <w:rPr>
                <w:b w:val="0"/>
                <w:i w:val="0"/>
                <w:sz w:val="15"/>
              </w:rPr>
              <w:t>¥100bn Americas target, US localisation</w:t>
            </w:r>
          </w:p>
        </w:tc>
        <w:tc>
          <w:tcPr>
            <w:tcW w:type="dxa" w:w="1925"/>
          </w:tcPr>
          <w:p>
            <w:r/>
            <w:r>
              <w:rPr>
                <w:b w:val="0"/>
                <w:i w:val="0"/>
                <w:sz w:val="15"/>
              </w:rPr>
              <w:t>3 – constructive</w:t>
            </w:r>
          </w:p>
        </w:tc>
        <w:tc>
          <w:tcPr>
            <w:tcW w:type="dxa" w:w="722"/>
          </w:tcPr>
          <w:p>
            <w:r/>
            <w:r>
              <w:rPr>
                <w:b w:val="0"/>
                <w:i w:val="0"/>
                <w:sz w:val="15"/>
              </w:rPr>
              <w:t>↑</w:t>
            </w:r>
          </w:p>
        </w:tc>
      </w:tr>
      <w:tr>
        <w:tc>
          <w:tcPr>
            <w:tcW w:type="dxa" w:w="2406"/>
            <w:shd w:val="clear" w:color="auto" w:fill="F1F3F7"/>
          </w:tcPr>
          <w:p>
            <w:r/>
            <w:r>
              <w:rPr>
                <w:b w:val="0"/>
                <w:i w:val="0"/>
                <w:sz w:val="15"/>
              </w:rPr>
              <w:t>H1 FY3/26 (31 Oct 2025)</w:t>
            </w:r>
          </w:p>
        </w:tc>
        <w:tc>
          <w:tcPr>
            <w:tcW w:type="dxa" w:w="4812"/>
            <w:shd w:val="clear" w:color="auto" w:fill="F1F3F7"/>
          </w:tcPr>
          <w:p>
            <w:r/>
            <w:r>
              <w:rPr>
                <w:b w:val="0"/>
                <w:i w:val="0"/>
                <w:sz w:val="15"/>
              </w:rPr>
              <w:t>Ceramics surge, China reform near-complete; FY OP guide trimmed to ~¥50bn</w:t>
            </w:r>
          </w:p>
        </w:tc>
        <w:tc>
          <w:tcPr>
            <w:tcW w:type="dxa" w:w="1925"/>
            <w:shd w:val="clear" w:color="auto" w:fill="F1F3F7"/>
          </w:tcPr>
          <w:p>
            <w:r/>
            <w:r>
              <w:rPr>
                <w:b w:val="0"/>
                <w:i w:val="0"/>
                <w:sz w:val="15"/>
              </w:rPr>
              <w:t>3 – mixed</w:t>
            </w:r>
          </w:p>
        </w:tc>
        <w:tc>
          <w:tcPr>
            <w:tcW w:type="dxa" w:w="722"/>
            <w:shd w:val="clear" w:color="auto" w:fill="F1F3F7"/>
          </w:tcPr>
          <w:p>
            <w:r/>
            <w:r>
              <w:rPr>
                <w:b w:val="0"/>
                <w:i w:val="0"/>
                <w:sz w:val="15"/>
              </w:rPr>
              <w:t>→</w:t>
            </w:r>
          </w:p>
        </w:tc>
      </w:tr>
      <w:tr>
        <w:tc>
          <w:tcPr>
            <w:tcW w:type="dxa" w:w="2406"/>
          </w:tcPr>
          <w:p>
            <w:r/>
            <w:r>
              <w:rPr>
                <w:b w:val="0"/>
                <w:i w:val="0"/>
                <w:sz w:val="15"/>
              </w:rPr>
              <w:t>Q3 FY3/26 (30 Jan 2026)</w:t>
            </w:r>
          </w:p>
        </w:tc>
        <w:tc>
          <w:tcPr>
            <w:tcW w:type="dxa" w:w="4812"/>
          </w:tcPr>
          <w:p>
            <w:r/>
            <w:r>
              <w:rPr>
                <w:b w:val="0"/>
                <w:i w:val="0"/>
                <w:sz w:val="15"/>
              </w:rPr>
              <w:t>Ceramics drives 9M OP +2%</w:t>
            </w:r>
          </w:p>
        </w:tc>
        <w:tc>
          <w:tcPr>
            <w:tcW w:type="dxa" w:w="1925"/>
          </w:tcPr>
          <w:p>
            <w:r/>
            <w:r>
              <w:rPr>
                <w:b w:val="0"/>
                <w:i w:val="0"/>
                <w:sz w:val="15"/>
              </w:rPr>
              <w:t>3.5 – improving</w:t>
            </w:r>
          </w:p>
        </w:tc>
        <w:tc>
          <w:tcPr>
            <w:tcW w:type="dxa" w:w="722"/>
          </w:tcPr>
          <w:p>
            <w:r/>
            <w:r>
              <w:rPr>
                <w:b w:val="0"/>
                <w:i w:val="0"/>
                <w:sz w:val="15"/>
              </w:rPr>
              <w:t>↑</w:t>
            </w:r>
          </w:p>
        </w:tc>
      </w:tr>
      <w:tr>
        <w:tc>
          <w:tcPr>
            <w:tcW w:type="dxa" w:w="2406"/>
            <w:shd w:val="clear" w:color="auto" w:fill="F1F3F7"/>
          </w:tcPr>
          <w:p>
            <w:r/>
            <w:r>
              <w:rPr>
                <w:b w:val="0"/>
                <w:i w:val="0"/>
                <w:sz w:val="15"/>
              </w:rPr>
              <w:t>FY3/26 (30 Apr 2026)</w:t>
            </w:r>
          </w:p>
        </w:tc>
        <w:tc>
          <w:tcPr>
            <w:tcW w:type="dxa" w:w="4812"/>
            <w:shd w:val="clear" w:color="auto" w:fill="F1F3F7"/>
          </w:tcPr>
          <w:p>
            <w:r/>
            <w:r>
              <w:rPr>
                <w:b w:val="0"/>
                <w:i w:val="0"/>
                <w:sz w:val="15"/>
              </w:rPr>
              <w:t>Record OP, ceramics disclosure, capex, dividends, capital efficiency (post-Palliser)</w:t>
            </w:r>
          </w:p>
        </w:tc>
        <w:tc>
          <w:tcPr>
            <w:tcW w:type="dxa" w:w="1925"/>
            <w:shd w:val="clear" w:color="auto" w:fill="F1F3F7"/>
          </w:tcPr>
          <w:p>
            <w:r/>
            <w:r>
              <w:rPr>
                <w:b w:val="0"/>
                <w:i w:val="0"/>
                <w:sz w:val="15"/>
              </w:rPr>
              <w:t>4.5 – confident</w:t>
            </w:r>
          </w:p>
        </w:tc>
        <w:tc>
          <w:tcPr>
            <w:tcW w:type="dxa" w:w="722"/>
            <w:shd w:val="clear" w:color="auto" w:fill="F1F3F7"/>
          </w:tcPr>
          <w:p>
            <w:r/>
            <w:r>
              <w:rPr>
                <w:b w:val="0"/>
                <w:i w:val="0"/>
                <w:sz w:val="15"/>
              </w:rPr>
              <w:t>↑↑</w:t>
            </w:r>
          </w:p>
        </w:tc>
      </w:tr>
      <w:tr>
        <w:tc>
          <w:tcPr>
            <w:tcW w:type="dxa" w:w="2406"/>
          </w:tcPr>
          <w:p>
            <w:r/>
            <w:r>
              <w:rPr>
                <w:b w:val="0"/>
                <w:i w:val="0"/>
                <w:sz w:val="15"/>
              </w:rPr>
              <w:t>Q1 FY3/27 (31 Jul 2026)</w:t>
            </w:r>
          </w:p>
        </w:tc>
        <w:tc>
          <w:tcPr>
            <w:tcW w:type="dxa" w:w="4812"/>
          </w:tcPr>
          <w:p>
            <w:r/>
            <w:r>
              <w:rPr>
                <w:b w:val="0"/>
                <w:i w:val="0"/>
                <w:sz w:val="15"/>
              </w:rPr>
              <w:t>ESC shipment timing, Middle East, Japan cost; full-year guide held; Dec price hike</w:t>
            </w:r>
          </w:p>
        </w:tc>
        <w:tc>
          <w:tcPr>
            <w:tcW w:type="dxa" w:w="1925"/>
          </w:tcPr>
          <w:p>
            <w:r/>
            <w:r>
              <w:rPr>
                <w:b w:val="0"/>
                <w:i w:val="0"/>
                <w:sz w:val="15"/>
              </w:rPr>
              <w:t>3 – "on track" but defensive</w:t>
            </w:r>
          </w:p>
        </w:tc>
        <w:tc>
          <w:tcPr>
            <w:tcW w:type="dxa" w:w="722"/>
          </w:tcPr>
          <w:p>
            <w:r/>
            <w:r>
              <w:rPr>
                <w:b w:val="0"/>
                <w:i w:val="0"/>
                <w:sz w:val="15"/>
              </w:rPr>
              <w:t>↓</w:t>
            </w:r>
          </w:p>
        </w:tc>
      </w:tr>
    </w:tbl>
    <w:p>
      <w:r>
        <w:rPr>
          <w:b w:val="0"/>
          <w:i/>
          <w:color w:val="5E6878"/>
          <w:sz w:val="14"/>
        </w:rPr>
        <w:t>Our qualitative scoring based on disclosed results and press coverage of briefings; full transcripts not available to us.</w:t>
      </w:r>
    </w:p>
    <w:p>
      <w:pPr>
        <w:spacing w:after="80"/>
      </w:pPr>
      <w:r>
        <w:rPr>
          <w:b/>
          <w:i w:val="0"/>
        </w:rPr>
        <w:t>Theme migration:</w:t>
      </w:r>
      <w:r>
        <w:rPr>
          <w:b w:val="0"/>
          <w:i w:val="0"/>
        </w:rPr>
        <w:t xml:space="preserve"> 2023–24 was about China damage control; 2025 about restructuring and the Americas; from H2 2025 the narrative became ceramics/AI-NAND; after Palliser (Feb 2026) management adopted capital-efficiency language (segment disclosure, ROE, returns). The Q1 FY3/27 tone was steadier than the share price implied — guidance unchanged.</w:t>
      </w:r>
    </w:p>
    <w:p>
      <w:pPr>
        <w:pStyle w:val="Heading2"/>
      </w:pPr>
      <w:r>
        <w:t>9.2 Latest result: Q1 FY3/27 (Apr–Jun 2026, reported 31 Jul 2026)</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596"/>
            <w:shd w:val="clear" w:color="auto" w:fill="16243D"/>
          </w:tcPr>
          <w:p>
            <w:r/>
            <w:r>
              <w:rPr>
                <w:b/>
                <w:i w:val="0"/>
                <w:color w:val="FFFFFF"/>
                <w:sz w:val="15"/>
              </w:rPr>
              <w:t>Item</w:t>
            </w:r>
          </w:p>
        </w:tc>
        <w:tc>
          <w:tcPr>
            <w:tcW w:type="dxa" w:w="2077"/>
            <w:shd w:val="clear" w:color="auto" w:fill="16243D"/>
          </w:tcPr>
          <w:p>
            <w:r/>
            <w:r>
              <w:rPr>
                <w:b/>
                <w:i w:val="0"/>
                <w:color w:val="FFFFFF"/>
                <w:sz w:val="15"/>
              </w:rPr>
              <w:t>Actual</w:t>
            </w:r>
          </w:p>
        </w:tc>
        <w:tc>
          <w:tcPr>
            <w:tcW w:type="dxa" w:w="1298"/>
            <w:shd w:val="clear" w:color="auto" w:fill="16243D"/>
          </w:tcPr>
          <w:p>
            <w:r/>
            <w:r>
              <w:rPr>
                <w:b/>
                <w:i w:val="0"/>
                <w:color w:val="FFFFFF"/>
                <w:sz w:val="15"/>
              </w:rPr>
              <w:t>y/y</w:t>
            </w:r>
          </w:p>
        </w:tc>
        <w:tc>
          <w:tcPr>
            <w:tcW w:type="dxa" w:w="1817"/>
            <w:shd w:val="clear" w:color="auto" w:fill="16243D"/>
          </w:tcPr>
          <w:p>
            <w:r/>
            <w:r>
              <w:rPr>
                <w:b/>
                <w:i w:val="0"/>
                <w:color w:val="FFFFFF"/>
                <w:sz w:val="15"/>
              </w:rPr>
              <w:t>Consensus</w:t>
            </w:r>
          </w:p>
        </w:tc>
        <w:tc>
          <w:tcPr>
            <w:tcW w:type="dxa" w:w="2077"/>
            <w:shd w:val="clear" w:color="auto" w:fill="16243D"/>
          </w:tcPr>
          <w:p>
            <w:r/>
            <w:r>
              <w:rPr>
                <w:b/>
                <w:i w:val="0"/>
                <w:color w:val="FFFFFF"/>
                <w:sz w:val="15"/>
              </w:rPr>
              <w:t>Variance</w:t>
            </w:r>
          </w:p>
        </w:tc>
      </w:tr>
      <w:tr>
        <w:tc>
          <w:tcPr>
            <w:tcW w:type="dxa" w:w="2596"/>
          </w:tcPr>
          <w:p>
            <w:r/>
            <w:r>
              <w:rPr>
                <w:b w:val="0"/>
                <w:i w:val="0"/>
                <w:sz w:val="15"/>
              </w:rPr>
              <w:t>Net sales</w:t>
            </w:r>
          </w:p>
        </w:tc>
        <w:tc>
          <w:tcPr>
            <w:tcW w:type="dxa" w:w="2077"/>
          </w:tcPr>
          <w:p>
            <w:r/>
            <w:r>
              <w:rPr>
                <w:b w:val="0"/>
                <w:i w:val="0"/>
                <w:sz w:val="15"/>
              </w:rPr>
              <w:t>¥168.6bn</w:t>
            </w:r>
          </w:p>
        </w:tc>
        <w:tc>
          <w:tcPr>
            <w:tcW w:type="dxa" w:w="1298"/>
          </w:tcPr>
          <w:p>
            <w:r/>
            <w:r>
              <w:rPr>
                <w:b w:val="0"/>
                <w:i w:val="0"/>
                <w:sz w:val="15"/>
              </w:rPr>
              <w:t>+1.7%</w:t>
            </w:r>
          </w:p>
        </w:tc>
        <w:tc>
          <w:tcPr>
            <w:tcW w:type="dxa" w:w="1817"/>
          </w:tcPr>
          <w:p>
            <w:r/>
            <w:r>
              <w:rPr>
                <w:b w:val="0"/>
                <w:i w:val="0"/>
                <w:sz w:val="15"/>
              </w:rPr>
              <w:t>~¥176.5bn</w:t>
            </w:r>
          </w:p>
        </w:tc>
        <w:tc>
          <w:tcPr>
            <w:tcW w:type="dxa" w:w="2077"/>
          </w:tcPr>
          <w:p>
            <w:r/>
            <w:r>
              <w:rPr>
                <w:b/>
                <w:i w:val="0"/>
                <w:sz w:val="15"/>
              </w:rPr>
              <w:t>-4.5% miss</w:t>
            </w:r>
          </w:p>
        </w:tc>
      </w:tr>
      <w:tr>
        <w:tc>
          <w:tcPr>
            <w:tcW w:type="dxa" w:w="2596"/>
            <w:shd w:val="clear" w:color="auto" w:fill="F1F3F7"/>
          </w:tcPr>
          <w:p>
            <w:r/>
            <w:r>
              <w:rPr>
                <w:b w:val="0"/>
                <w:i w:val="0"/>
                <w:sz w:val="15"/>
              </w:rPr>
              <w:t>Operating income</w:t>
            </w:r>
          </w:p>
        </w:tc>
        <w:tc>
          <w:tcPr>
            <w:tcW w:type="dxa" w:w="2077"/>
            <w:shd w:val="clear" w:color="auto" w:fill="F1F3F7"/>
          </w:tcPr>
          <w:p>
            <w:r/>
            <w:r>
              <w:rPr>
                <w:b w:val="0"/>
                <w:i w:val="0"/>
                <w:sz w:val="15"/>
              </w:rPr>
              <w:t>¥8.07bn</w:t>
            </w:r>
          </w:p>
        </w:tc>
        <w:tc>
          <w:tcPr>
            <w:tcW w:type="dxa" w:w="1298"/>
            <w:shd w:val="clear" w:color="auto" w:fill="F1F3F7"/>
          </w:tcPr>
          <w:p>
            <w:r/>
            <w:r>
              <w:rPr>
                <w:b w:val="0"/>
                <w:i w:val="0"/>
                <w:sz w:val="15"/>
              </w:rPr>
              <w:t>-1.6%</w:t>
            </w:r>
          </w:p>
        </w:tc>
        <w:tc>
          <w:tcPr>
            <w:tcW w:type="dxa" w:w="1817"/>
            <w:shd w:val="clear" w:color="auto" w:fill="F1F3F7"/>
          </w:tcPr>
          <w:p>
            <w:r/>
            <w:r>
              <w:rPr>
                <w:b w:val="0"/>
                <w:i w:val="0"/>
                <w:sz w:val="15"/>
              </w:rPr>
              <w:t>~¥9.5bn (e)</w:t>
            </w:r>
          </w:p>
        </w:tc>
        <w:tc>
          <w:tcPr>
            <w:tcW w:type="dxa" w:w="2077"/>
            <w:shd w:val="clear" w:color="auto" w:fill="F1F3F7"/>
          </w:tcPr>
          <w:p>
            <w:r/>
            <w:r>
              <w:rPr>
                <w:b w:val="0"/>
                <w:i w:val="0"/>
                <w:sz w:val="15"/>
              </w:rPr>
              <w:t>~-15% miss (e)</w:t>
            </w:r>
          </w:p>
        </w:tc>
      </w:tr>
      <w:tr>
        <w:tc>
          <w:tcPr>
            <w:tcW w:type="dxa" w:w="2596"/>
          </w:tcPr>
          <w:p>
            <w:r/>
            <w:r>
              <w:rPr>
                <w:b w:val="0"/>
                <w:i w:val="0"/>
                <w:sz w:val="15"/>
              </w:rPr>
              <w:t>Ordinary income</w:t>
            </w:r>
          </w:p>
        </w:tc>
        <w:tc>
          <w:tcPr>
            <w:tcW w:type="dxa" w:w="2077"/>
          </w:tcPr>
          <w:p>
            <w:r/>
            <w:r>
              <w:rPr>
                <w:b w:val="0"/>
                <w:i w:val="0"/>
                <w:sz w:val="15"/>
              </w:rPr>
              <w:t>¥9.37bn</w:t>
            </w:r>
          </w:p>
        </w:tc>
        <w:tc>
          <w:tcPr>
            <w:tcW w:type="dxa" w:w="1298"/>
          </w:tcPr>
          <w:p>
            <w:r/>
            <w:r>
              <w:rPr>
                <w:b w:val="0"/>
                <w:i w:val="0"/>
                <w:sz w:val="15"/>
              </w:rPr>
              <w:t>+7.3%</w:t>
            </w:r>
          </w:p>
        </w:tc>
        <w:tc>
          <w:tcPr>
            <w:tcW w:type="dxa" w:w="1817"/>
          </w:tcPr>
          <w:p>
            <w:r/>
            <w:r>
              <w:rPr>
                <w:b w:val="0"/>
                <w:i w:val="0"/>
                <w:sz w:val="15"/>
              </w:rPr>
              <w:t>n/a</w:t>
            </w:r>
          </w:p>
        </w:tc>
        <w:tc>
          <w:tcPr>
            <w:tcW w:type="dxa" w:w="2077"/>
          </w:tcPr>
          <w:p>
            <w:r/>
            <w:r>
              <w:rPr>
                <w:b w:val="0"/>
                <w:i w:val="0"/>
                <w:sz w:val="15"/>
              </w:rPr>
              <w:t>FX gain ¥1.1bn</w:t>
            </w:r>
          </w:p>
        </w:tc>
      </w:tr>
      <w:tr>
        <w:tc>
          <w:tcPr>
            <w:tcW w:type="dxa" w:w="2596"/>
            <w:shd w:val="clear" w:color="auto" w:fill="F1F3F7"/>
          </w:tcPr>
          <w:p>
            <w:r/>
            <w:r>
              <w:rPr>
                <w:b w:val="0"/>
                <w:i w:val="0"/>
                <w:sz w:val="15"/>
              </w:rPr>
              <w:t>Net income</w:t>
            </w:r>
          </w:p>
        </w:tc>
        <w:tc>
          <w:tcPr>
            <w:tcW w:type="dxa" w:w="2077"/>
            <w:shd w:val="clear" w:color="auto" w:fill="F1F3F7"/>
          </w:tcPr>
          <w:p>
            <w:r/>
            <w:r>
              <w:rPr>
                <w:b w:val="0"/>
                <w:i w:val="0"/>
                <w:sz w:val="15"/>
              </w:rPr>
              <w:t>¥6.9bn</w:t>
            </w:r>
          </w:p>
        </w:tc>
        <w:tc>
          <w:tcPr>
            <w:tcW w:type="dxa" w:w="1298"/>
            <w:shd w:val="clear" w:color="auto" w:fill="F1F3F7"/>
          </w:tcPr>
          <w:p>
            <w:r/>
            <w:r>
              <w:rPr>
                <w:b w:val="0"/>
                <w:i w:val="0"/>
                <w:sz w:val="15"/>
              </w:rPr>
              <w:t>+9.5%</w:t>
            </w:r>
          </w:p>
        </w:tc>
        <w:tc>
          <w:tcPr>
            <w:tcW w:type="dxa" w:w="1817"/>
            <w:shd w:val="clear" w:color="auto" w:fill="F1F3F7"/>
          </w:tcPr>
          <w:p>
            <w:r/>
            <w:r>
              <w:rPr>
                <w:b w:val="0"/>
                <w:i w:val="0"/>
                <w:sz w:val="15"/>
              </w:rPr>
              <w:t>n/a</w:t>
            </w:r>
          </w:p>
        </w:tc>
        <w:tc>
          <w:tcPr>
            <w:tcW w:type="dxa" w:w="2077"/>
            <w:shd w:val="clear" w:color="auto" w:fill="F1F3F7"/>
          </w:tcPr>
          <w:p>
            <w:r/>
          </w:p>
        </w:tc>
      </w:tr>
      <w:tr>
        <w:tc>
          <w:tcPr>
            <w:tcW w:type="dxa" w:w="2596"/>
          </w:tcPr>
          <w:p>
            <w:r/>
            <w:r>
              <w:rPr>
                <w:b w:val="0"/>
                <w:i w:val="0"/>
                <w:sz w:val="15"/>
              </w:rPr>
              <w:t>EPS</w:t>
            </w:r>
          </w:p>
        </w:tc>
        <w:tc>
          <w:tcPr>
            <w:tcW w:type="dxa" w:w="2077"/>
          </w:tcPr>
          <w:p>
            <w:r/>
            <w:r>
              <w:rPr>
                <w:b w:val="0"/>
                <w:i w:val="0"/>
                <w:sz w:val="15"/>
              </w:rPr>
              <w:t>¥42.0</w:t>
            </w:r>
          </w:p>
        </w:tc>
        <w:tc>
          <w:tcPr>
            <w:tcW w:type="dxa" w:w="1298"/>
          </w:tcPr>
          <w:p>
            <w:r/>
            <w:r>
              <w:rPr>
                <w:b w:val="0"/>
                <w:i w:val="0"/>
                <w:sz w:val="15"/>
              </w:rPr>
              <w:t>+~11%</w:t>
            </w:r>
          </w:p>
        </w:tc>
        <w:tc>
          <w:tcPr>
            <w:tcW w:type="dxa" w:w="1817"/>
          </w:tcPr>
          <w:p>
            <w:r/>
            <w:r>
              <w:rPr>
                <w:b w:val="0"/>
                <w:i w:val="0"/>
                <w:sz w:val="15"/>
              </w:rPr>
              <w:t>¥45.6</w:t>
            </w:r>
          </w:p>
        </w:tc>
        <w:tc>
          <w:tcPr>
            <w:tcW w:type="dxa" w:w="2077"/>
          </w:tcPr>
          <w:p>
            <w:r/>
            <w:r>
              <w:rPr>
                <w:b/>
                <w:i w:val="0"/>
                <w:sz w:val="15"/>
              </w:rPr>
              <w:t>-8% miss</w:t>
            </w:r>
          </w:p>
        </w:tc>
      </w:tr>
      <w:tr>
        <w:tc>
          <w:tcPr>
            <w:tcW w:type="dxa" w:w="2596"/>
            <w:shd w:val="clear" w:color="auto" w:fill="F1F3F7"/>
          </w:tcPr>
          <w:p>
            <w:r/>
            <w:r>
              <w:rPr>
                <w:b w:val="0"/>
                <w:i w:val="0"/>
                <w:sz w:val="15"/>
              </w:rPr>
              <w:t>Ceramics sales / OP</w:t>
            </w:r>
          </w:p>
        </w:tc>
        <w:tc>
          <w:tcPr>
            <w:tcW w:type="dxa" w:w="2077"/>
            <w:shd w:val="clear" w:color="auto" w:fill="F1F3F7"/>
          </w:tcPr>
          <w:p>
            <w:r/>
            <w:r>
              <w:rPr>
                <w:b w:val="0"/>
                <w:i w:val="0"/>
                <w:sz w:val="15"/>
              </w:rPr>
              <w:t>~¥15.9bn / ~¥6.5bn</w:t>
            </w:r>
          </w:p>
        </w:tc>
        <w:tc>
          <w:tcPr>
            <w:tcW w:type="dxa" w:w="1298"/>
            <w:shd w:val="clear" w:color="auto" w:fill="F1F3F7"/>
          </w:tcPr>
          <w:p>
            <w:r/>
            <w:r>
              <w:rPr>
                <w:b w:val="0"/>
                <w:i w:val="0"/>
                <w:sz w:val="15"/>
              </w:rPr>
              <w:t>+6% / +10%</w:t>
            </w:r>
          </w:p>
        </w:tc>
        <w:tc>
          <w:tcPr>
            <w:tcW w:type="dxa" w:w="1817"/>
            <w:shd w:val="clear" w:color="auto" w:fill="F1F3F7"/>
          </w:tcPr>
          <w:p>
            <w:r/>
          </w:p>
        </w:tc>
        <w:tc>
          <w:tcPr>
            <w:tcW w:type="dxa" w:w="2077"/>
            <w:shd w:val="clear" w:color="auto" w:fill="F1F3F7"/>
          </w:tcPr>
          <w:p>
            <w:r/>
            <w:r>
              <w:rPr>
                <w:b w:val="0"/>
                <w:i w:val="0"/>
                <w:sz w:val="15"/>
              </w:rPr>
              <w:t>Shipment timing</w:t>
            </w:r>
          </w:p>
        </w:tc>
      </w:tr>
      <w:tr>
        <w:tc>
          <w:tcPr>
            <w:tcW w:type="dxa" w:w="2596"/>
          </w:tcPr>
          <w:p>
            <w:r/>
            <w:r>
              <w:rPr>
                <w:b w:val="0"/>
                <w:i w:val="0"/>
                <w:sz w:val="15"/>
              </w:rPr>
              <w:t>Housing OP (incl. corporate)</w:t>
            </w:r>
          </w:p>
        </w:tc>
        <w:tc>
          <w:tcPr>
            <w:tcW w:type="dxa" w:w="2077"/>
          </w:tcPr>
          <w:p>
            <w:r/>
            <w:r>
              <w:rPr>
                <w:b w:val="0"/>
                <w:i w:val="0"/>
                <w:sz w:val="15"/>
              </w:rPr>
              <w:t>~¥1.6–2.2bn</w:t>
            </w:r>
          </w:p>
        </w:tc>
        <w:tc>
          <w:tcPr>
            <w:tcW w:type="dxa" w:w="1298"/>
          </w:tcPr>
          <w:p>
            <w:r/>
            <w:r>
              <w:rPr>
                <w:b w:val="0"/>
                <w:i w:val="0"/>
                <w:sz w:val="15"/>
              </w:rPr>
              <w:t>Japan -46%</w:t>
            </w:r>
          </w:p>
        </w:tc>
        <w:tc>
          <w:tcPr>
            <w:tcW w:type="dxa" w:w="1817"/>
          </w:tcPr>
          <w:p>
            <w:r/>
          </w:p>
        </w:tc>
        <w:tc>
          <w:tcPr>
            <w:tcW w:type="dxa" w:w="2077"/>
          </w:tcPr>
          <w:p>
            <w:r/>
            <w:r>
              <w:rPr>
                <w:b w:val="0"/>
                <w:i w:val="0"/>
                <w:sz w:val="15"/>
              </w:rPr>
              <w:t>Middle East ~-¥3bn</w:t>
            </w:r>
          </w:p>
        </w:tc>
      </w:tr>
    </w:tbl>
    <w:p/>
    <w:p>
      <w:pPr>
        <w:pStyle w:val="ListBullet"/>
        <w:spacing w:after="20"/>
      </w:pPr>
      <w:r>
        <w:rPr>
          <w:b/>
          <w:i w:val="0"/>
        </w:rPr>
        <w:t>Drivers:</w:t>
      </w:r>
      <w:r>
        <w:rPr>
          <w:b w:val="0"/>
          <w:i w:val="0"/>
        </w:rPr>
        <w:t xml:space="preserve"> ceramics grew but slower than the +27% full-year plan because of chuck shipment timing; Japan housing profit almost halved on procurement/labour costs and weak new-build; overseas housing OP -9% (Middle East order suspension, tariffs).</w:t>
      </w:r>
    </w:p>
    <w:p>
      <w:pPr>
        <w:pStyle w:val="ListBullet"/>
        <w:spacing w:after="20"/>
      </w:pPr>
      <w:r>
        <w:rPr>
          <w:b/>
          <w:i w:val="0"/>
        </w:rPr>
        <w:t>Margins:</w:t>
      </w:r>
      <w:r>
        <w:rPr>
          <w:b w:val="0"/>
          <w:i w:val="0"/>
        </w:rPr>
        <w:t xml:space="preserve"> group OPM 4.8% (Q1 seasonally weakest). Ceramics margin ~41%.</w:t>
      </w:r>
    </w:p>
    <w:p>
      <w:pPr>
        <w:pStyle w:val="ListBullet"/>
        <w:spacing w:after="20"/>
      </w:pPr>
      <w:r>
        <w:rPr>
          <w:b/>
          <w:i w:val="0"/>
        </w:rPr>
        <w:t>Guidance:</w:t>
      </w:r>
      <w:r>
        <w:rPr>
          <w:b w:val="0"/>
          <w:i w:val="0"/>
        </w:rPr>
        <w:t xml:space="preserve"> FY3/27 unchanged — sales ¥785bn, OP ¥60bn (+11.6%), NI ¥46bn, EPS ¥279.8, DPS ¥120. Q1 progress 13.5% of OP guide is below the ~18–20% normal pattern. Consensus (~¥62bn OP; EPS ~¥295) sits above guidance — downside risk to consensus, not necessarily to guidance.</w:t>
      </w:r>
    </w:p>
    <w:p>
      <w:pPr>
        <w:pStyle w:val="ListBullet"/>
        <w:spacing w:after="20"/>
      </w:pPr>
      <w:r>
        <w:rPr>
          <w:b/>
          <w:i w:val="0"/>
        </w:rPr>
        <w:t>Balance sheet flags:</w:t>
      </w:r>
      <w:r>
        <w:rPr>
          <w:b w:val="0"/>
          <w:i w:val="0"/>
        </w:rPr>
        <w:t xml:space="preserve"> none disclosed; watch ceramics inventory (shipment slip) and working capital ahead of the 1 Dec price rise (pre-buying in Q3, payback in Q4).</w:t>
      </w:r>
    </w:p>
    <w:p>
      <w:pPr>
        <w:pStyle w:val="ListBullet"/>
        <w:spacing w:after="20"/>
      </w:pPr>
      <w:r>
        <w:rPr>
          <w:b/>
          <w:i w:val="0"/>
        </w:rPr>
        <w:t>Market reaction:</w:t>
      </w:r>
      <w:r>
        <w:rPr>
          <w:b w:val="0"/>
          <w:i w:val="0"/>
        </w:rPr>
        <w:t xml:space="preserve"> -11.4% on 3 Aug. Combined with the ~¥9,500 June peak, this shows the stock was priced for uninterrupted ceramics acceleration; a modest timing slip removed ~¥140bn of value. That is a signal of momentum ownership — and of the opportunity if H1 confirms the slip was timing.</w:t>
      </w:r>
    </w:p>
    <w:p>
      <w:pPr>
        <w:pStyle w:val="Heading1"/>
      </w:pPr>
      <w:r>
        <w:t>10. Earnings Forecasts: FY3/27E–FY3/29E</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c>
          <w:tcPr>
            <w:tcW w:type="dxa" w:w="1827"/>
            <w:shd w:val="clear" w:color="auto" w:fill="16243D"/>
          </w:tcPr>
          <w:p>
            <w:r/>
            <w:r>
              <w:rPr>
                <w:b/>
                <w:i w:val="0"/>
                <w:color w:val="FFFFFF"/>
                <w:sz w:val="15"/>
              </w:rPr>
              <w:t>JPY bn</w:t>
            </w:r>
          </w:p>
        </w:tc>
        <w:tc>
          <w:tcPr>
            <w:tcW w:type="dxa" w:w="1096"/>
            <w:shd w:val="clear" w:color="auto" w:fill="16243D"/>
          </w:tcPr>
          <w:p>
            <w:r/>
            <w:r>
              <w:rPr>
                <w:b/>
                <w:i w:val="0"/>
                <w:color w:val="FFFFFF"/>
                <w:sz w:val="15"/>
              </w:rPr>
              <w:t>FY3/26A</w:t>
            </w:r>
          </w:p>
        </w:tc>
        <w:tc>
          <w:tcPr>
            <w:tcW w:type="dxa" w:w="1096"/>
            <w:shd w:val="clear" w:color="auto" w:fill="16243D"/>
          </w:tcPr>
          <w:p>
            <w:r/>
            <w:r>
              <w:rPr>
                <w:b/>
                <w:i w:val="0"/>
                <w:color w:val="FFFFFF"/>
                <w:sz w:val="15"/>
              </w:rPr>
              <w:t>FY3/27E</w:t>
            </w:r>
          </w:p>
        </w:tc>
        <w:tc>
          <w:tcPr>
            <w:tcW w:type="dxa" w:w="1096"/>
            <w:shd w:val="clear" w:color="auto" w:fill="16243D"/>
          </w:tcPr>
          <w:p>
            <w:r/>
            <w:r>
              <w:rPr>
                <w:b/>
                <w:i w:val="0"/>
                <w:color w:val="FFFFFF"/>
                <w:sz w:val="15"/>
              </w:rPr>
              <w:t>FY3/28E</w:t>
            </w:r>
          </w:p>
        </w:tc>
        <w:tc>
          <w:tcPr>
            <w:tcW w:type="dxa" w:w="1096"/>
            <w:shd w:val="clear" w:color="auto" w:fill="16243D"/>
          </w:tcPr>
          <w:p>
            <w:r/>
            <w:r>
              <w:rPr>
                <w:b/>
                <w:i w:val="0"/>
                <w:color w:val="FFFFFF"/>
                <w:sz w:val="15"/>
              </w:rPr>
              <w:t>FY3/29E</w:t>
            </w:r>
          </w:p>
        </w:tc>
        <w:tc>
          <w:tcPr>
            <w:tcW w:type="dxa" w:w="3654"/>
            <w:shd w:val="clear" w:color="auto" w:fill="16243D"/>
          </w:tcPr>
          <w:p>
            <w:r/>
            <w:r>
              <w:rPr>
                <w:b/>
                <w:i w:val="0"/>
                <w:color w:val="FFFFFF"/>
                <w:sz w:val="15"/>
              </w:rPr>
              <w:t>Key assumptions</w:t>
            </w:r>
          </w:p>
        </w:tc>
      </w:tr>
      <w:tr>
        <w:tc>
          <w:tcPr>
            <w:tcW w:type="dxa" w:w="1827"/>
          </w:tcPr>
          <w:p>
            <w:r/>
            <w:r>
              <w:rPr>
                <w:b w:val="0"/>
                <w:i w:val="0"/>
                <w:sz w:val="15"/>
              </w:rPr>
              <w:t>Ceramics sales</w:t>
            </w:r>
          </w:p>
        </w:tc>
        <w:tc>
          <w:tcPr>
            <w:tcW w:type="dxa" w:w="1096"/>
          </w:tcPr>
          <w:p>
            <w:r/>
            <w:r>
              <w:rPr>
                <w:b w:val="0"/>
                <w:i w:val="0"/>
                <w:sz w:val="15"/>
              </w:rPr>
              <w:t>67.4</w:t>
            </w:r>
          </w:p>
        </w:tc>
        <w:tc>
          <w:tcPr>
            <w:tcW w:type="dxa" w:w="1096"/>
          </w:tcPr>
          <w:p>
            <w:r/>
            <w:r>
              <w:rPr>
                <w:b w:val="0"/>
                <w:i w:val="0"/>
                <w:sz w:val="15"/>
              </w:rPr>
              <w:t>77.5</w:t>
            </w:r>
          </w:p>
        </w:tc>
        <w:tc>
          <w:tcPr>
            <w:tcW w:type="dxa" w:w="1096"/>
          </w:tcPr>
          <w:p>
            <w:r/>
            <w:r>
              <w:rPr>
                <w:b w:val="0"/>
                <w:i w:val="0"/>
                <w:sz w:val="15"/>
              </w:rPr>
              <w:t>95.0</w:t>
            </w:r>
          </w:p>
        </w:tc>
        <w:tc>
          <w:tcPr>
            <w:tcW w:type="dxa" w:w="1096"/>
          </w:tcPr>
          <w:p>
            <w:r/>
            <w:r>
              <w:rPr>
                <w:b w:val="0"/>
                <w:i w:val="0"/>
                <w:sz w:val="15"/>
              </w:rPr>
              <w:t>110.0</w:t>
            </w:r>
          </w:p>
        </w:tc>
        <w:tc>
          <w:tcPr>
            <w:tcW w:type="dxa" w:w="3654"/>
          </w:tcPr>
          <w:p>
            <w:r/>
            <w:r>
              <w:rPr>
                <w:b w:val="0"/>
                <w:i w:val="0"/>
                <w:sz w:val="15"/>
              </w:rPr>
              <w:t>+15% / +23% / +16%: NAND cryo upgrade; Buzen +20% capacity Jan-27</w:t>
            </w:r>
          </w:p>
        </w:tc>
      </w:tr>
      <w:tr>
        <w:tc>
          <w:tcPr>
            <w:tcW w:type="dxa" w:w="1827"/>
            <w:shd w:val="clear" w:color="auto" w:fill="F1F3F7"/>
          </w:tcPr>
          <w:p>
            <w:r/>
            <w:r>
              <w:rPr>
                <w:b w:val="0"/>
                <w:i w:val="0"/>
                <w:sz w:val="15"/>
              </w:rPr>
              <w:t>Ceramics OP (margin)</w:t>
            </w:r>
          </w:p>
        </w:tc>
        <w:tc>
          <w:tcPr>
            <w:tcW w:type="dxa" w:w="1096"/>
            <w:shd w:val="clear" w:color="auto" w:fill="F1F3F7"/>
          </w:tcPr>
          <w:p>
            <w:r/>
            <w:r>
              <w:rPr>
                <w:b w:val="0"/>
                <w:i w:val="0"/>
                <w:sz w:val="15"/>
              </w:rPr>
              <w:t>28.9 (42.9%)</w:t>
            </w:r>
          </w:p>
        </w:tc>
        <w:tc>
          <w:tcPr>
            <w:tcW w:type="dxa" w:w="1096"/>
            <w:shd w:val="clear" w:color="auto" w:fill="F1F3F7"/>
          </w:tcPr>
          <w:p>
            <w:r/>
            <w:r>
              <w:rPr>
                <w:b w:val="0"/>
                <w:i w:val="0"/>
                <w:sz w:val="15"/>
              </w:rPr>
              <w:t>32.5 (42%)</w:t>
            </w:r>
          </w:p>
        </w:tc>
        <w:tc>
          <w:tcPr>
            <w:tcW w:type="dxa" w:w="1096"/>
            <w:shd w:val="clear" w:color="auto" w:fill="F1F3F7"/>
          </w:tcPr>
          <w:p>
            <w:r/>
            <w:r>
              <w:rPr>
                <w:b w:val="0"/>
                <w:i w:val="0"/>
                <w:sz w:val="15"/>
              </w:rPr>
              <w:t>40.4 (42.5%)</w:t>
            </w:r>
          </w:p>
        </w:tc>
        <w:tc>
          <w:tcPr>
            <w:tcW w:type="dxa" w:w="1096"/>
            <w:shd w:val="clear" w:color="auto" w:fill="F1F3F7"/>
          </w:tcPr>
          <w:p>
            <w:r/>
            <w:r>
              <w:rPr>
                <w:b w:val="0"/>
                <w:i w:val="0"/>
                <w:sz w:val="15"/>
              </w:rPr>
              <w:t>46.2 (42%)</w:t>
            </w:r>
          </w:p>
        </w:tc>
        <w:tc>
          <w:tcPr>
            <w:tcW w:type="dxa" w:w="3654"/>
            <w:shd w:val="clear" w:color="auto" w:fill="F1F3F7"/>
          </w:tcPr>
          <w:p>
            <w:r/>
            <w:r>
              <w:rPr>
                <w:b w:val="0"/>
                <w:i w:val="0"/>
                <w:sz w:val="15"/>
              </w:rPr>
              <w:t>Pricing holds; depreciation step-up absorbed</w:t>
            </w:r>
          </w:p>
        </w:tc>
      </w:tr>
      <w:tr>
        <w:tc>
          <w:tcPr>
            <w:tcW w:type="dxa" w:w="1827"/>
          </w:tcPr>
          <w:p>
            <w:r/>
            <w:r>
              <w:rPr>
                <w:b w:val="0"/>
                <w:i w:val="0"/>
                <w:sz w:val="15"/>
              </w:rPr>
              <w:t>Japan housing sales</w:t>
            </w:r>
          </w:p>
        </w:tc>
        <w:tc>
          <w:tcPr>
            <w:tcW w:type="dxa" w:w="1096"/>
          </w:tcPr>
          <w:p>
            <w:r/>
            <w:r>
              <w:rPr>
                <w:b w:val="0"/>
                <w:i w:val="0"/>
                <w:sz w:val="15"/>
              </w:rPr>
              <w:t>479.7</w:t>
            </w:r>
          </w:p>
        </w:tc>
        <w:tc>
          <w:tcPr>
            <w:tcW w:type="dxa" w:w="1096"/>
          </w:tcPr>
          <w:p>
            <w:r/>
            <w:r>
              <w:rPr>
                <w:b w:val="0"/>
                <w:i w:val="0"/>
                <w:sz w:val="15"/>
              </w:rPr>
              <w:t>485</w:t>
            </w:r>
          </w:p>
        </w:tc>
        <w:tc>
          <w:tcPr>
            <w:tcW w:type="dxa" w:w="1096"/>
          </w:tcPr>
          <w:p>
            <w:r/>
            <w:r>
              <w:rPr>
                <w:b w:val="0"/>
                <w:i w:val="0"/>
                <w:sz w:val="15"/>
              </w:rPr>
              <w:t>495</w:t>
            </w:r>
          </w:p>
        </w:tc>
        <w:tc>
          <w:tcPr>
            <w:tcW w:type="dxa" w:w="1096"/>
          </w:tcPr>
          <w:p>
            <w:r/>
            <w:r>
              <w:rPr>
                <w:b w:val="0"/>
                <w:i w:val="0"/>
                <w:sz w:val="15"/>
              </w:rPr>
              <w:t>500</w:t>
            </w:r>
          </w:p>
        </w:tc>
        <w:tc>
          <w:tcPr>
            <w:tcW w:type="dxa" w:w="3654"/>
          </w:tcPr>
          <w:p>
            <w:r/>
            <w:r>
              <w:rPr>
                <w:b w:val="0"/>
                <w:i w:val="0"/>
                <w:sz w:val="15"/>
              </w:rPr>
              <w:t>Dec-26 price +8–13% offsets ~-5–7% volume</w:t>
            </w:r>
          </w:p>
        </w:tc>
      </w:tr>
      <w:tr>
        <w:tc>
          <w:tcPr>
            <w:tcW w:type="dxa" w:w="1827"/>
            <w:shd w:val="clear" w:color="auto" w:fill="F1F3F7"/>
          </w:tcPr>
          <w:p>
            <w:r/>
            <w:r>
              <w:rPr>
                <w:b w:val="0"/>
                <w:i w:val="0"/>
                <w:sz w:val="15"/>
              </w:rPr>
              <w:t>Japan housing OP</w:t>
            </w:r>
          </w:p>
        </w:tc>
        <w:tc>
          <w:tcPr>
            <w:tcW w:type="dxa" w:w="1096"/>
            <w:shd w:val="clear" w:color="auto" w:fill="F1F3F7"/>
          </w:tcPr>
          <w:p>
            <w:r/>
            <w:r>
              <w:rPr>
                <w:b w:val="0"/>
                <w:i w:val="0"/>
                <w:sz w:val="15"/>
              </w:rPr>
              <w:t>20.3</w:t>
            </w:r>
          </w:p>
        </w:tc>
        <w:tc>
          <w:tcPr>
            <w:tcW w:type="dxa" w:w="1096"/>
            <w:shd w:val="clear" w:color="auto" w:fill="F1F3F7"/>
          </w:tcPr>
          <w:p>
            <w:r/>
            <w:r>
              <w:rPr>
                <w:b w:val="0"/>
                <w:i w:val="0"/>
                <w:sz w:val="15"/>
              </w:rPr>
              <w:t>17.0</w:t>
            </w:r>
          </w:p>
        </w:tc>
        <w:tc>
          <w:tcPr>
            <w:tcW w:type="dxa" w:w="1096"/>
            <w:shd w:val="clear" w:color="auto" w:fill="F1F3F7"/>
          </w:tcPr>
          <w:p>
            <w:r/>
            <w:r>
              <w:rPr>
                <w:b w:val="0"/>
                <w:i w:val="0"/>
                <w:sz w:val="15"/>
              </w:rPr>
              <w:t>22.0</w:t>
            </w:r>
          </w:p>
        </w:tc>
        <w:tc>
          <w:tcPr>
            <w:tcW w:type="dxa" w:w="1096"/>
            <w:shd w:val="clear" w:color="auto" w:fill="F1F3F7"/>
          </w:tcPr>
          <w:p>
            <w:r/>
            <w:r>
              <w:rPr>
                <w:b w:val="0"/>
                <w:i w:val="0"/>
                <w:sz w:val="15"/>
              </w:rPr>
              <w:t>23.0</w:t>
            </w:r>
          </w:p>
        </w:tc>
        <w:tc>
          <w:tcPr>
            <w:tcW w:type="dxa" w:w="3654"/>
            <w:shd w:val="clear" w:color="auto" w:fill="F1F3F7"/>
          </w:tcPr>
          <w:p>
            <w:r/>
            <w:r>
              <w:rPr>
                <w:b w:val="0"/>
                <w:i w:val="0"/>
                <w:sz w:val="15"/>
              </w:rPr>
              <w:t>FY27 hit by costs/Q1; FY28 full price benefit</w:t>
            </w:r>
          </w:p>
        </w:tc>
      </w:tr>
      <w:tr>
        <w:tc>
          <w:tcPr>
            <w:tcW w:type="dxa" w:w="1827"/>
          </w:tcPr>
          <w:p>
            <w:r/>
            <w:r>
              <w:rPr>
                <w:b w:val="0"/>
                <w:i w:val="0"/>
                <w:sz w:val="15"/>
              </w:rPr>
              <w:t>China OP</w:t>
            </w:r>
          </w:p>
        </w:tc>
        <w:tc>
          <w:tcPr>
            <w:tcW w:type="dxa" w:w="1096"/>
          </w:tcPr>
          <w:p>
            <w:r/>
            <w:r>
              <w:rPr>
                <w:b w:val="0"/>
                <w:i w:val="0"/>
                <w:sz w:val="15"/>
              </w:rPr>
              <w:t>-6.9</w:t>
            </w:r>
          </w:p>
        </w:tc>
        <w:tc>
          <w:tcPr>
            <w:tcW w:type="dxa" w:w="1096"/>
          </w:tcPr>
          <w:p>
            <w:r/>
            <w:r>
              <w:rPr>
                <w:b w:val="0"/>
                <w:i w:val="0"/>
                <w:sz w:val="15"/>
              </w:rPr>
              <w:t>-1.5</w:t>
            </w:r>
          </w:p>
        </w:tc>
        <w:tc>
          <w:tcPr>
            <w:tcW w:type="dxa" w:w="1096"/>
          </w:tcPr>
          <w:p>
            <w:r/>
            <w:r>
              <w:rPr>
                <w:b w:val="0"/>
                <w:i w:val="0"/>
                <w:sz w:val="15"/>
              </w:rPr>
              <w:t>+1.5</w:t>
            </w:r>
          </w:p>
        </w:tc>
        <w:tc>
          <w:tcPr>
            <w:tcW w:type="dxa" w:w="1096"/>
          </w:tcPr>
          <w:p>
            <w:r/>
            <w:r>
              <w:rPr>
                <w:b w:val="0"/>
                <w:i w:val="0"/>
                <w:sz w:val="15"/>
              </w:rPr>
              <w:t>+2.5</w:t>
            </w:r>
          </w:p>
        </w:tc>
        <w:tc>
          <w:tcPr>
            <w:tcW w:type="dxa" w:w="3654"/>
          </w:tcPr>
          <w:p>
            <w:r/>
            <w:r>
              <w:rPr>
                <w:b w:val="0"/>
                <w:i w:val="0"/>
                <w:sz w:val="15"/>
              </w:rPr>
              <w:t>~¥7bn restructuring benefit (partial)</w:t>
            </w:r>
          </w:p>
        </w:tc>
      </w:tr>
      <w:tr>
        <w:tc>
          <w:tcPr>
            <w:tcW w:type="dxa" w:w="1827"/>
            <w:shd w:val="clear" w:color="auto" w:fill="F1F3F7"/>
          </w:tcPr>
          <w:p>
            <w:r/>
            <w:r>
              <w:rPr>
                <w:b w:val="0"/>
                <w:i w:val="0"/>
                <w:sz w:val="15"/>
              </w:rPr>
              <w:t>Americas OP</w:t>
            </w:r>
          </w:p>
        </w:tc>
        <w:tc>
          <w:tcPr>
            <w:tcW w:type="dxa" w:w="1096"/>
            <w:shd w:val="clear" w:color="auto" w:fill="F1F3F7"/>
          </w:tcPr>
          <w:p>
            <w:r/>
            <w:r>
              <w:rPr>
                <w:b w:val="0"/>
                <w:i w:val="0"/>
                <w:sz w:val="15"/>
              </w:rPr>
              <w:t>~4.7</w:t>
            </w:r>
          </w:p>
        </w:tc>
        <w:tc>
          <w:tcPr>
            <w:tcW w:type="dxa" w:w="1096"/>
            <w:shd w:val="clear" w:color="auto" w:fill="F1F3F7"/>
          </w:tcPr>
          <w:p>
            <w:r/>
            <w:r>
              <w:rPr>
                <w:b w:val="0"/>
                <w:i w:val="0"/>
                <w:sz w:val="15"/>
              </w:rPr>
              <w:t>5.0</w:t>
            </w:r>
          </w:p>
        </w:tc>
        <w:tc>
          <w:tcPr>
            <w:tcW w:type="dxa" w:w="1096"/>
            <w:shd w:val="clear" w:color="auto" w:fill="F1F3F7"/>
          </w:tcPr>
          <w:p>
            <w:r/>
            <w:r>
              <w:rPr>
                <w:b w:val="0"/>
                <w:i w:val="0"/>
                <w:sz w:val="15"/>
              </w:rPr>
              <w:t>6.0</w:t>
            </w:r>
          </w:p>
        </w:tc>
        <w:tc>
          <w:tcPr>
            <w:tcW w:type="dxa" w:w="1096"/>
            <w:shd w:val="clear" w:color="auto" w:fill="F1F3F7"/>
          </w:tcPr>
          <w:p>
            <w:r/>
            <w:r>
              <w:rPr>
                <w:b w:val="0"/>
                <w:i w:val="0"/>
                <w:sz w:val="15"/>
              </w:rPr>
              <w:t>7.0</w:t>
            </w:r>
          </w:p>
        </w:tc>
        <w:tc>
          <w:tcPr>
            <w:tcW w:type="dxa" w:w="3654"/>
            <w:shd w:val="clear" w:color="auto" w:fill="F1F3F7"/>
          </w:tcPr>
          <w:p>
            <w:r/>
            <w:r>
              <w:rPr>
                <w:b w:val="0"/>
                <w:i w:val="0"/>
                <w:sz w:val="15"/>
              </w:rPr>
              <w:t>Tariff pass-through; Georgia utilisation</w:t>
            </w:r>
          </w:p>
        </w:tc>
      </w:tr>
      <w:tr>
        <w:tc>
          <w:tcPr>
            <w:tcW w:type="dxa" w:w="1827"/>
          </w:tcPr>
          <w:p>
            <w:r/>
            <w:r>
              <w:rPr>
                <w:b w:val="0"/>
                <w:i w:val="0"/>
                <w:sz w:val="15"/>
              </w:rPr>
              <w:t>Asia/Oceania OP</w:t>
            </w:r>
          </w:p>
        </w:tc>
        <w:tc>
          <w:tcPr>
            <w:tcW w:type="dxa" w:w="1096"/>
          </w:tcPr>
          <w:p>
            <w:r/>
            <w:r>
              <w:rPr>
                <w:b w:val="0"/>
                <w:i w:val="0"/>
                <w:sz w:val="15"/>
              </w:rPr>
              <w:t>10.2</w:t>
            </w:r>
          </w:p>
        </w:tc>
        <w:tc>
          <w:tcPr>
            <w:tcW w:type="dxa" w:w="1096"/>
          </w:tcPr>
          <w:p>
            <w:r/>
            <w:r>
              <w:rPr>
                <w:b w:val="0"/>
                <w:i w:val="0"/>
                <w:sz w:val="15"/>
              </w:rPr>
              <w:t>11.0</w:t>
            </w:r>
          </w:p>
        </w:tc>
        <w:tc>
          <w:tcPr>
            <w:tcW w:type="dxa" w:w="1096"/>
          </w:tcPr>
          <w:p>
            <w:r/>
            <w:r>
              <w:rPr>
                <w:b w:val="0"/>
                <w:i w:val="0"/>
                <w:sz w:val="15"/>
              </w:rPr>
              <w:t>12.0</w:t>
            </w:r>
          </w:p>
        </w:tc>
        <w:tc>
          <w:tcPr>
            <w:tcW w:type="dxa" w:w="1096"/>
          </w:tcPr>
          <w:p>
            <w:r/>
            <w:r>
              <w:rPr>
                <w:b w:val="0"/>
                <w:i w:val="0"/>
                <w:sz w:val="15"/>
              </w:rPr>
              <w:t>13.0</w:t>
            </w:r>
          </w:p>
        </w:tc>
        <w:tc>
          <w:tcPr>
            <w:tcW w:type="dxa" w:w="3654"/>
          </w:tcPr>
          <w:p>
            <w:r/>
            <w:r>
              <w:rPr>
                <w:b w:val="0"/>
                <w:i w:val="0"/>
                <w:sz w:val="15"/>
              </w:rPr>
              <w:t>Mid-single-digit growth</w:t>
            </w:r>
          </w:p>
        </w:tc>
      </w:tr>
      <w:tr>
        <w:tc>
          <w:tcPr>
            <w:tcW w:type="dxa" w:w="1827"/>
            <w:shd w:val="clear" w:color="auto" w:fill="F1F3F7"/>
          </w:tcPr>
          <w:p>
            <w:r/>
            <w:r>
              <w:rPr>
                <w:b w:val="0"/>
                <w:i w:val="0"/>
                <w:sz w:val="15"/>
              </w:rPr>
              <w:t>Corporate/other</w:t>
            </w:r>
          </w:p>
        </w:tc>
        <w:tc>
          <w:tcPr>
            <w:tcW w:type="dxa" w:w="1096"/>
            <w:shd w:val="clear" w:color="auto" w:fill="F1F3F7"/>
          </w:tcPr>
          <w:p>
            <w:r/>
            <w:r>
              <w:rPr>
                <w:b w:val="0"/>
                <w:i w:val="0"/>
                <w:sz w:val="15"/>
              </w:rPr>
              <w:t>~-3.5</w:t>
            </w:r>
          </w:p>
        </w:tc>
        <w:tc>
          <w:tcPr>
            <w:tcW w:type="dxa" w:w="1096"/>
            <w:shd w:val="clear" w:color="auto" w:fill="F1F3F7"/>
          </w:tcPr>
          <w:p>
            <w:r/>
            <w:r>
              <w:rPr>
                <w:b w:val="0"/>
                <w:i w:val="0"/>
                <w:sz w:val="15"/>
              </w:rPr>
              <w:t>-3.8</w:t>
            </w:r>
          </w:p>
        </w:tc>
        <w:tc>
          <w:tcPr>
            <w:tcW w:type="dxa" w:w="1096"/>
            <w:shd w:val="clear" w:color="auto" w:fill="F1F3F7"/>
          </w:tcPr>
          <w:p>
            <w:r/>
            <w:r>
              <w:rPr>
                <w:b w:val="0"/>
                <w:i w:val="0"/>
                <w:sz w:val="15"/>
              </w:rPr>
              <w:t>-4.0</w:t>
            </w:r>
          </w:p>
        </w:tc>
        <w:tc>
          <w:tcPr>
            <w:tcW w:type="dxa" w:w="1096"/>
            <w:shd w:val="clear" w:color="auto" w:fill="F1F3F7"/>
          </w:tcPr>
          <w:p>
            <w:r/>
            <w:r>
              <w:rPr>
                <w:b w:val="0"/>
                <w:i w:val="0"/>
                <w:sz w:val="15"/>
              </w:rPr>
              <w:t>-4.2</w:t>
            </w:r>
          </w:p>
        </w:tc>
        <w:tc>
          <w:tcPr>
            <w:tcW w:type="dxa" w:w="3654"/>
            <w:shd w:val="clear" w:color="auto" w:fill="F1F3F7"/>
          </w:tcPr>
          <w:p>
            <w:r/>
          </w:p>
        </w:tc>
      </w:tr>
      <w:tr>
        <w:tc>
          <w:tcPr>
            <w:tcW w:type="dxa" w:w="1827"/>
          </w:tcPr>
          <w:p>
            <w:r/>
            <w:r>
              <w:rPr>
                <w:b/>
                <w:i w:val="0"/>
                <w:sz w:val="15"/>
              </w:rPr>
              <w:t>Group sales</w:t>
            </w:r>
          </w:p>
        </w:tc>
        <w:tc>
          <w:tcPr>
            <w:tcW w:type="dxa" w:w="1096"/>
          </w:tcPr>
          <w:p>
            <w:r/>
            <w:r>
              <w:rPr>
                <w:b w:val="0"/>
                <w:i w:val="0"/>
                <w:sz w:val="15"/>
              </w:rPr>
              <w:t>737.4</w:t>
            </w:r>
          </w:p>
        </w:tc>
        <w:tc>
          <w:tcPr>
            <w:tcW w:type="dxa" w:w="1096"/>
          </w:tcPr>
          <w:p>
            <w:r/>
            <w:r>
              <w:rPr>
                <w:b w:val="0"/>
                <w:i w:val="0"/>
                <w:sz w:val="15"/>
              </w:rPr>
              <w:t>765</w:t>
            </w:r>
          </w:p>
        </w:tc>
        <w:tc>
          <w:tcPr>
            <w:tcW w:type="dxa" w:w="1096"/>
          </w:tcPr>
          <w:p>
            <w:r/>
            <w:r>
              <w:rPr>
                <w:b w:val="0"/>
                <w:i w:val="0"/>
                <w:sz w:val="15"/>
              </w:rPr>
              <w:t>800</w:t>
            </w:r>
          </w:p>
        </w:tc>
        <w:tc>
          <w:tcPr>
            <w:tcW w:type="dxa" w:w="1096"/>
          </w:tcPr>
          <w:p>
            <w:r/>
            <w:r>
              <w:rPr>
                <w:b w:val="0"/>
                <w:i w:val="0"/>
                <w:sz w:val="15"/>
              </w:rPr>
              <w:t>833</w:t>
            </w:r>
          </w:p>
        </w:tc>
        <w:tc>
          <w:tcPr>
            <w:tcW w:type="dxa" w:w="3654"/>
          </w:tcPr>
          <w:p>
            <w:r/>
            <w:r>
              <w:rPr>
                <w:b w:val="0"/>
                <w:i w:val="0"/>
                <w:sz w:val="15"/>
              </w:rPr>
              <w:t>Below ¥785bn guide in FY27</w:t>
            </w:r>
          </w:p>
        </w:tc>
      </w:tr>
      <w:tr>
        <w:tc>
          <w:tcPr>
            <w:tcW w:type="dxa" w:w="1827"/>
            <w:shd w:val="clear" w:color="auto" w:fill="F1F3F7"/>
          </w:tcPr>
          <w:p>
            <w:r/>
            <w:r>
              <w:rPr>
                <w:b/>
                <w:i w:val="0"/>
                <w:sz w:val="15"/>
              </w:rPr>
              <w:t>Group OP</w:t>
            </w:r>
          </w:p>
        </w:tc>
        <w:tc>
          <w:tcPr>
            <w:tcW w:type="dxa" w:w="1096"/>
            <w:shd w:val="clear" w:color="auto" w:fill="F1F3F7"/>
          </w:tcPr>
          <w:p>
            <w:r/>
            <w:r>
              <w:rPr>
                <w:b w:val="0"/>
                <w:i w:val="0"/>
                <w:sz w:val="15"/>
              </w:rPr>
              <w:t>53.8</w:t>
            </w:r>
          </w:p>
        </w:tc>
        <w:tc>
          <w:tcPr>
            <w:tcW w:type="dxa" w:w="1096"/>
            <w:shd w:val="clear" w:color="auto" w:fill="F1F3F7"/>
          </w:tcPr>
          <w:p>
            <w:r/>
            <w:r>
              <w:rPr>
                <w:b w:val="0"/>
                <w:i w:val="0"/>
                <w:sz w:val="15"/>
              </w:rPr>
              <w:t>60.0</w:t>
            </w:r>
          </w:p>
        </w:tc>
        <w:tc>
          <w:tcPr>
            <w:tcW w:type="dxa" w:w="1096"/>
            <w:shd w:val="clear" w:color="auto" w:fill="F1F3F7"/>
          </w:tcPr>
          <w:p>
            <w:r/>
            <w:r>
              <w:rPr>
                <w:b w:val="0"/>
                <w:i w:val="0"/>
                <w:sz w:val="15"/>
              </w:rPr>
              <w:t>78.0</w:t>
            </w:r>
          </w:p>
        </w:tc>
        <w:tc>
          <w:tcPr>
            <w:tcW w:type="dxa" w:w="1096"/>
            <w:shd w:val="clear" w:color="auto" w:fill="F1F3F7"/>
          </w:tcPr>
          <w:p>
            <w:r/>
            <w:r>
              <w:rPr>
                <w:b w:val="0"/>
                <w:i w:val="0"/>
                <w:sz w:val="15"/>
              </w:rPr>
              <w:t>87.5</w:t>
            </w:r>
          </w:p>
        </w:tc>
        <w:tc>
          <w:tcPr>
            <w:tcW w:type="dxa" w:w="3654"/>
            <w:shd w:val="clear" w:color="auto" w:fill="F1F3F7"/>
          </w:tcPr>
          <w:p>
            <w:r/>
            <w:r>
              <w:rPr>
                <w:b w:val="0"/>
                <w:i w:val="0"/>
                <w:sz w:val="15"/>
              </w:rPr>
              <w:t>In line with guide FY27</w:t>
            </w:r>
          </w:p>
        </w:tc>
      </w:tr>
      <w:tr>
        <w:tc>
          <w:tcPr>
            <w:tcW w:type="dxa" w:w="1827"/>
          </w:tcPr>
          <w:p>
            <w:r/>
            <w:r>
              <w:rPr>
                <w:b w:val="0"/>
                <w:i w:val="0"/>
                <w:sz w:val="15"/>
              </w:rPr>
              <w:t>OP margin</w:t>
            </w:r>
          </w:p>
        </w:tc>
        <w:tc>
          <w:tcPr>
            <w:tcW w:type="dxa" w:w="1096"/>
          </w:tcPr>
          <w:p>
            <w:r/>
            <w:r>
              <w:rPr>
                <w:b w:val="0"/>
                <w:i w:val="0"/>
                <w:sz w:val="15"/>
              </w:rPr>
              <w:t>7.3%</w:t>
            </w:r>
          </w:p>
        </w:tc>
        <w:tc>
          <w:tcPr>
            <w:tcW w:type="dxa" w:w="1096"/>
          </w:tcPr>
          <w:p>
            <w:r/>
            <w:r>
              <w:rPr>
                <w:b w:val="0"/>
                <w:i w:val="0"/>
                <w:sz w:val="15"/>
              </w:rPr>
              <w:t>7.8%</w:t>
            </w:r>
          </w:p>
        </w:tc>
        <w:tc>
          <w:tcPr>
            <w:tcW w:type="dxa" w:w="1096"/>
          </w:tcPr>
          <w:p>
            <w:r/>
            <w:r>
              <w:rPr>
                <w:b w:val="0"/>
                <w:i w:val="0"/>
                <w:sz w:val="15"/>
              </w:rPr>
              <w:t>9.8%</w:t>
            </w:r>
          </w:p>
        </w:tc>
        <w:tc>
          <w:tcPr>
            <w:tcW w:type="dxa" w:w="1096"/>
          </w:tcPr>
          <w:p>
            <w:r/>
            <w:r>
              <w:rPr>
                <w:b w:val="0"/>
                <w:i w:val="0"/>
                <w:sz w:val="15"/>
              </w:rPr>
              <w:t>10.5%</w:t>
            </w:r>
          </w:p>
        </w:tc>
        <w:tc>
          <w:tcPr>
            <w:tcW w:type="dxa" w:w="3654"/>
          </w:tcPr>
          <w:p>
            <w:r/>
          </w:p>
        </w:tc>
      </w:tr>
      <w:tr>
        <w:tc>
          <w:tcPr>
            <w:tcW w:type="dxa" w:w="1827"/>
            <w:shd w:val="clear" w:color="auto" w:fill="F1F3F7"/>
          </w:tcPr>
          <w:p>
            <w:r/>
            <w:r>
              <w:rPr>
                <w:b w:val="0"/>
                <w:i w:val="0"/>
                <w:sz w:val="15"/>
              </w:rPr>
              <w:t>Non-operating, net</w:t>
            </w:r>
          </w:p>
        </w:tc>
        <w:tc>
          <w:tcPr>
            <w:tcW w:type="dxa" w:w="1096"/>
            <w:shd w:val="clear" w:color="auto" w:fill="F1F3F7"/>
          </w:tcPr>
          <w:p>
            <w:r/>
            <w:r>
              <w:rPr>
                <w:b w:val="0"/>
                <w:i w:val="0"/>
                <w:sz w:val="15"/>
              </w:rPr>
              <w:t>+6.9</w:t>
            </w:r>
          </w:p>
        </w:tc>
        <w:tc>
          <w:tcPr>
            <w:tcW w:type="dxa" w:w="1096"/>
            <w:shd w:val="clear" w:color="auto" w:fill="F1F3F7"/>
          </w:tcPr>
          <w:p>
            <w:r/>
            <w:r>
              <w:rPr>
                <w:b w:val="0"/>
                <w:i w:val="0"/>
                <w:sz w:val="15"/>
              </w:rPr>
              <w:t>+4.0</w:t>
            </w:r>
          </w:p>
        </w:tc>
        <w:tc>
          <w:tcPr>
            <w:tcW w:type="dxa" w:w="1096"/>
            <w:shd w:val="clear" w:color="auto" w:fill="F1F3F7"/>
          </w:tcPr>
          <w:p>
            <w:r/>
            <w:r>
              <w:rPr>
                <w:b w:val="0"/>
                <w:i w:val="0"/>
                <w:sz w:val="15"/>
              </w:rPr>
              <w:t>+3.0</w:t>
            </w:r>
          </w:p>
        </w:tc>
        <w:tc>
          <w:tcPr>
            <w:tcW w:type="dxa" w:w="1096"/>
            <w:shd w:val="clear" w:color="auto" w:fill="F1F3F7"/>
          </w:tcPr>
          <w:p>
            <w:r/>
            <w:r>
              <w:rPr>
                <w:b w:val="0"/>
                <w:i w:val="0"/>
                <w:sz w:val="15"/>
              </w:rPr>
              <w:t>+3.0</w:t>
            </w:r>
          </w:p>
        </w:tc>
        <w:tc>
          <w:tcPr>
            <w:tcW w:type="dxa" w:w="3654"/>
            <w:shd w:val="clear" w:color="auto" w:fill="F1F3F7"/>
          </w:tcPr>
          <w:p>
            <w:r/>
            <w:r>
              <w:rPr>
                <w:b w:val="0"/>
                <w:i w:val="0"/>
                <w:sz w:val="15"/>
              </w:rPr>
              <w:t>Dividends, interest; FX neutral</w:t>
            </w:r>
          </w:p>
        </w:tc>
      </w:tr>
      <w:tr>
        <w:tc>
          <w:tcPr>
            <w:tcW w:type="dxa" w:w="1827"/>
          </w:tcPr>
          <w:p>
            <w:r/>
            <w:r>
              <w:rPr>
                <w:b w:val="0"/>
                <w:i w:val="0"/>
                <w:sz w:val="15"/>
              </w:rPr>
              <w:t>Extraordinary, net</w:t>
            </w:r>
          </w:p>
        </w:tc>
        <w:tc>
          <w:tcPr>
            <w:tcW w:type="dxa" w:w="1096"/>
          </w:tcPr>
          <w:p>
            <w:r/>
            <w:r>
              <w:rPr>
                <w:b w:val="0"/>
                <w:i w:val="0"/>
                <w:sz w:val="15"/>
              </w:rPr>
              <w:t>~-9</w:t>
            </w:r>
          </w:p>
        </w:tc>
        <w:tc>
          <w:tcPr>
            <w:tcW w:type="dxa" w:w="1096"/>
          </w:tcPr>
          <w:p>
            <w:r/>
            <w:r>
              <w:rPr>
                <w:b w:val="0"/>
                <w:i w:val="0"/>
                <w:sz w:val="15"/>
              </w:rPr>
              <w:t>+1.0</w:t>
            </w:r>
          </w:p>
        </w:tc>
        <w:tc>
          <w:tcPr>
            <w:tcW w:type="dxa" w:w="1096"/>
          </w:tcPr>
          <w:p>
            <w:r/>
            <w:r>
              <w:rPr>
                <w:b w:val="0"/>
                <w:i w:val="0"/>
                <w:sz w:val="15"/>
              </w:rPr>
              <w:t>0</w:t>
            </w:r>
          </w:p>
        </w:tc>
        <w:tc>
          <w:tcPr>
            <w:tcW w:type="dxa" w:w="1096"/>
          </w:tcPr>
          <w:p>
            <w:r/>
            <w:r>
              <w:rPr>
                <w:b w:val="0"/>
                <w:i w:val="0"/>
                <w:sz w:val="15"/>
              </w:rPr>
              <w:t>0</w:t>
            </w:r>
          </w:p>
        </w:tc>
        <w:tc>
          <w:tcPr>
            <w:tcW w:type="dxa" w:w="3654"/>
          </w:tcPr>
          <w:p>
            <w:r/>
            <w:r>
              <w:rPr>
                <w:b w:val="0"/>
                <w:i w:val="0"/>
                <w:sz w:val="15"/>
              </w:rPr>
              <w:t>Cross-holding gains vs restructuring</w:t>
            </w:r>
          </w:p>
        </w:tc>
      </w:tr>
      <w:tr>
        <w:tc>
          <w:tcPr>
            <w:tcW w:type="dxa" w:w="1827"/>
            <w:shd w:val="clear" w:color="auto" w:fill="F1F3F7"/>
          </w:tcPr>
          <w:p>
            <w:r/>
            <w:r>
              <w:rPr>
                <w:b w:val="0"/>
                <w:i w:val="0"/>
                <w:sz w:val="15"/>
              </w:rPr>
              <w:t>Tax rate</w:t>
            </w:r>
          </w:p>
        </w:tc>
        <w:tc>
          <w:tcPr>
            <w:tcW w:type="dxa" w:w="1096"/>
            <w:shd w:val="clear" w:color="auto" w:fill="F1F3F7"/>
          </w:tcPr>
          <w:p>
            <w:r/>
            <w:r>
              <w:rPr>
                <w:b w:val="0"/>
                <w:i w:val="0"/>
                <w:sz w:val="15"/>
              </w:rPr>
              <w:t>~30%</w:t>
            </w:r>
          </w:p>
        </w:tc>
        <w:tc>
          <w:tcPr>
            <w:tcW w:type="dxa" w:w="1096"/>
            <w:shd w:val="clear" w:color="auto" w:fill="F1F3F7"/>
          </w:tcPr>
          <w:p>
            <w:r/>
            <w:r>
              <w:rPr>
                <w:b w:val="0"/>
                <w:i w:val="0"/>
                <w:sz w:val="15"/>
              </w:rPr>
              <w:t>29%</w:t>
            </w:r>
          </w:p>
        </w:tc>
        <w:tc>
          <w:tcPr>
            <w:tcW w:type="dxa" w:w="1096"/>
            <w:shd w:val="clear" w:color="auto" w:fill="F1F3F7"/>
          </w:tcPr>
          <w:p>
            <w:r/>
            <w:r>
              <w:rPr>
                <w:b w:val="0"/>
                <w:i w:val="0"/>
                <w:sz w:val="15"/>
              </w:rPr>
              <w:t>29%</w:t>
            </w:r>
          </w:p>
        </w:tc>
        <w:tc>
          <w:tcPr>
            <w:tcW w:type="dxa" w:w="1096"/>
            <w:shd w:val="clear" w:color="auto" w:fill="F1F3F7"/>
          </w:tcPr>
          <w:p>
            <w:r/>
            <w:r>
              <w:rPr>
                <w:b w:val="0"/>
                <w:i w:val="0"/>
                <w:sz w:val="15"/>
              </w:rPr>
              <w:t>29%</w:t>
            </w:r>
          </w:p>
        </w:tc>
        <w:tc>
          <w:tcPr>
            <w:tcW w:type="dxa" w:w="3654"/>
            <w:shd w:val="clear" w:color="auto" w:fill="F1F3F7"/>
          </w:tcPr>
          <w:p>
            <w:r/>
          </w:p>
        </w:tc>
      </w:tr>
      <w:tr>
        <w:tc>
          <w:tcPr>
            <w:tcW w:type="dxa" w:w="1827"/>
          </w:tcPr>
          <w:p>
            <w:r/>
            <w:r>
              <w:rPr>
                <w:b/>
                <w:i w:val="0"/>
                <w:sz w:val="15"/>
              </w:rPr>
              <w:t>Net income</w:t>
            </w:r>
          </w:p>
        </w:tc>
        <w:tc>
          <w:tcPr>
            <w:tcW w:type="dxa" w:w="1096"/>
          </w:tcPr>
          <w:p>
            <w:r/>
            <w:r>
              <w:rPr>
                <w:b w:val="0"/>
                <w:i w:val="0"/>
                <w:sz w:val="15"/>
              </w:rPr>
              <w:t>40.3</w:t>
            </w:r>
          </w:p>
        </w:tc>
        <w:tc>
          <w:tcPr>
            <w:tcW w:type="dxa" w:w="1096"/>
          </w:tcPr>
          <w:p>
            <w:r/>
            <w:r>
              <w:rPr>
                <w:b w:val="0"/>
                <w:i w:val="0"/>
                <w:sz w:val="15"/>
              </w:rPr>
              <w:t>45.7</w:t>
            </w:r>
          </w:p>
        </w:tc>
        <w:tc>
          <w:tcPr>
            <w:tcW w:type="dxa" w:w="1096"/>
          </w:tcPr>
          <w:p>
            <w:r/>
            <w:r>
              <w:rPr>
                <w:b w:val="0"/>
                <w:i w:val="0"/>
                <w:sz w:val="15"/>
              </w:rPr>
              <w:t>57.0</w:t>
            </w:r>
          </w:p>
        </w:tc>
        <w:tc>
          <w:tcPr>
            <w:tcW w:type="dxa" w:w="1096"/>
          </w:tcPr>
          <w:p>
            <w:r/>
            <w:r>
              <w:rPr>
                <w:b w:val="0"/>
                <w:i w:val="0"/>
                <w:sz w:val="15"/>
              </w:rPr>
              <w:t>63.8</w:t>
            </w:r>
          </w:p>
        </w:tc>
        <w:tc>
          <w:tcPr>
            <w:tcW w:type="dxa" w:w="3654"/>
          </w:tcPr>
          <w:p>
            <w:r/>
          </w:p>
        </w:tc>
      </w:tr>
      <w:tr>
        <w:tc>
          <w:tcPr>
            <w:tcW w:type="dxa" w:w="1827"/>
            <w:shd w:val="clear" w:color="auto" w:fill="F1F3F7"/>
          </w:tcPr>
          <w:p>
            <w:r/>
            <w:r>
              <w:rPr>
                <w:b w:val="0"/>
                <w:i w:val="0"/>
                <w:sz w:val="15"/>
              </w:rPr>
              <w:t>Avg shares (m)</w:t>
            </w:r>
          </w:p>
        </w:tc>
        <w:tc>
          <w:tcPr>
            <w:tcW w:type="dxa" w:w="1096"/>
            <w:shd w:val="clear" w:color="auto" w:fill="F1F3F7"/>
          </w:tcPr>
          <w:p>
            <w:r/>
            <w:r>
              <w:rPr>
                <w:b w:val="0"/>
                <w:i w:val="0"/>
                <w:sz w:val="15"/>
              </w:rPr>
              <w:t>165.7</w:t>
            </w:r>
          </w:p>
        </w:tc>
        <w:tc>
          <w:tcPr>
            <w:tcW w:type="dxa" w:w="1096"/>
            <w:shd w:val="clear" w:color="auto" w:fill="F1F3F7"/>
          </w:tcPr>
          <w:p>
            <w:r/>
            <w:r>
              <w:rPr>
                <w:b w:val="0"/>
                <w:i w:val="0"/>
                <w:sz w:val="15"/>
              </w:rPr>
              <w:t>163.5</w:t>
            </w:r>
          </w:p>
        </w:tc>
        <w:tc>
          <w:tcPr>
            <w:tcW w:type="dxa" w:w="1096"/>
            <w:shd w:val="clear" w:color="auto" w:fill="F1F3F7"/>
          </w:tcPr>
          <w:p>
            <w:r/>
            <w:r>
              <w:rPr>
                <w:b w:val="0"/>
                <w:i w:val="0"/>
                <w:sz w:val="15"/>
              </w:rPr>
              <w:t>162.0</w:t>
            </w:r>
          </w:p>
        </w:tc>
        <w:tc>
          <w:tcPr>
            <w:tcW w:type="dxa" w:w="1096"/>
            <w:shd w:val="clear" w:color="auto" w:fill="F1F3F7"/>
          </w:tcPr>
          <w:p>
            <w:r/>
            <w:r>
              <w:rPr>
                <w:b w:val="0"/>
                <w:i w:val="0"/>
                <w:sz w:val="15"/>
              </w:rPr>
              <w:t>161.0</w:t>
            </w:r>
          </w:p>
        </w:tc>
        <w:tc>
          <w:tcPr>
            <w:tcW w:type="dxa" w:w="3654"/>
            <w:shd w:val="clear" w:color="auto" w:fill="F1F3F7"/>
          </w:tcPr>
          <w:p>
            <w:r/>
            <w:r>
              <w:rPr>
                <w:b w:val="0"/>
                <w:i w:val="0"/>
                <w:sz w:val="15"/>
              </w:rPr>
              <w:t>Buybacks ~1% p.a.</w:t>
            </w:r>
          </w:p>
        </w:tc>
      </w:tr>
      <w:tr>
        <w:tc>
          <w:tcPr>
            <w:tcW w:type="dxa" w:w="1827"/>
          </w:tcPr>
          <w:p>
            <w:r/>
            <w:r>
              <w:rPr>
                <w:b/>
                <w:i w:val="0"/>
                <w:sz w:val="15"/>
              </w:rPr>
              <w:t>EPS (¥)</w:t>
            </w:r>
          </w:p>
        </w:tc>
        <w:tc>
          <w:tcPr>
            <w:tcW w:type="dxa" w:w="1096"/>
          </w:tcPr>
          <w:p>
            <w:r/>
            <w:r>
              <w:rPr>
                <w:b w:val="0"/>
                <w:i w:val="0"/>
                <w:sz w:val="15"/>
              </w:rPr>
              <w:t>243.0</w:t>
            </w:r>
          </w:p>
        </w:tc>
        <w:tc>
          <w:tcPr>
            <w:tcW w:type="dxa" w:w="1096"/>
          </w:tcPr>
          <w:p>
            <w:r/>
            <w:r>
              <w:rPr>
                <w:b/>
                <w:i w:val="0"/>
                <w:sz w:val="15"/>
              </w:rPr>
              <w:t>280</w:t>
            </w:r>
          </w:p>
        </w:tc>
        <w:tc>
          <w:tcPr>
            <w:tcW w:type="dxa" w:w="1096"/>
          </w:tcPr>
          <w:p>
            <w:r/>
            <w:r>
              <w:rPr>
                <w:b/>
                <w:i w:val="0"/>
                <w:sz w:val="15"/>
              </w:rPr>
              <w:t>352</w:t>
            </w:r>
          </w:p>
        </w:tc>
        <w:tc>
          <w:tcPr>
            <w:tcW w:type="dxa" w:w="1096"/>
          </w:tcPr>
          <w:p>
            <w:r/>
            <w:r>
              <w:rPr>
                <w:b/>
                <w:i w:val="0"/>
                <w:sz w:val="15"/>
              </w:rPr>
              <w:t>396</w:t>
            </w:r>
          </w:p>
        </w:tc>
        <w:tc>
          <w:tcPr>
            <w:tcW w:type="dxa" w:w="3654"/>
          </w:tcPr>
          <w:p>
            <w:r/>
            <w:r>
              <w:rPr>
                <w:b w:val="0"/>
                <w:i w:val="0"/>
                <w:sz w:val="15"/>
              </w:rPr>
              <w:t>Cons.: ¥295 / ¥353 / n/a</w:t>
            </w:r>
          </w:p>
        </w:tc>
      </w:tr>
      <w:tr>
        <w:tc>
          <w:tcPr>
            <w:tcW w:type="dxa" w:w="1827"/>
            <w:shd w:val="clear" w:color="auto" w:fill="F1F3F7"/>
          </w:tcPr>
          <w:p>
            <w:r/>
            <w:r>
              <w:rPr>
                <w:b w:val="0"/>
                <w:i w:val="0"/>
                <w:sz w:val="15"/>
              </w:rPr>
              <w:t>DPS (¥)</w:t>
            </w:r>
          </w:p>
        </w:tc>
        <w:tc>
          <w:tcPr>
            <w:tcW w:type="dxa" w:w="1096"/>
            <w:shd w:val="clear" w:color="auto" w:fill="F1F3F7"/>
          </w:tcPr>
          <w:p>
            <w:r/>
            <w:r>
              <w:rPr>
                <w:b w:val="0"/>
                <w:i w:val="0"/>
                <w:sz w:val="15"/>
              </w:rPr>
              <w:t>110</w:t>
            </w:r>
          </w:p>
        </w:tc>
        <w:tc>
          <w:tcPr>
            <w:tcW w:type="dxa" w:w="1096"/>
            <w:shd w:val="clear" w:color="auto" w:fill="F1F3F7"/>
          </w:tcPr>
          <w:p>
            <w:r/>
            <w:r>
              <w:rPr>
                <w:b w:val="0"/>
                <w:i w:val="0"/>
                <w:sz w:val="15"/>
              </w:rPr>
              <w:t>120</w:t>
            </w:r>
          </w:p>
        </w:tc>
        <w:tc>
          <w:tcPr>
            <w:tcW w:type="dxa" w:w="1096"/>
            <w:shd w:val="clear" w:color="auto" w:fill="F1F3F7"/>
          </w:tcPr>
          <w:p>
            <w:r/>
            <w:r>
              <w:rPr>
                <w:b w:val="0"/>
                <w:i w:val="0"/>
                <w:sz w:val="15"/>
              </w:rPr>
              <w:t>140</w:t>
            </w:r>
          </w:p>
        </w:tc>
        <w:tc>
          <w:tcPr>
            <w:tcW w:type="dxa" w:w="1096"/>
            <w:shd w:val="clear" w:color="auto" w:fill="F1F3F7"/>
          </w:tcPr>
          <w:p>
            <w:r/>
            <w:r>
              <w:rPr>
                <w:b w:val="0"/>
                <w:i w:val="0"/>
                <w:sz w:val="15"/>
              </w:rPr>
              <w:t>160</w:t>
            </w:r>
          </w:p>
        </w:tc>
        <w:tc>
          <w:tcPr>
            <w:tcW w:type="dxa" w:w="3654"/>
            <w:shd w:val="clear" w:color="auto" w:fill="F1F3F7"/>
          </w:tcPr>
          <w:p>
            <w:r/>
            <w:r>
              <w:rPr>
                <w:b w:val="0"/>
                <w:i w:val="0"/>
                <w:sz w:val="15"/>
              </w:rPr>
              <w:t>Payout ~40–45%</w:t>
            </w:r>
          </w:p>
        </w:tc>
      </w:tr>
    </w:tbl>
    <w:p>
      <w:r>
        <w:rPr>
          <w:b w:val="0"/>
          <w:i/>
          <w:color w:val="5E6878"/>
          <w:sz w:val="14"/>
        </w:rPr>
        <w:t>Our estimates. Financing costs negligible (net cash). Biggest swing factor: ceramics sales — each ±10% = ±~¥3.5bn OP (±~¥15/share).</w:t>
      </w:r>
    </w:p>
    <w:p>
      <w:pPr>
        <w:pStyle w:val="ListBullet"/>
        <w:spacing w:after="20"/>
      </w:pPr>
      <w:r>
        <w:rPr>
          <w:b/>
          <w:i w:val="0"/>
        </w:rPr>
        <w:t>Industry growth:</w:t>
      </w:r>
      <w:r>
        <w:rPr>
          <w:b w:val="0"/>
          <w:i w:val="0"/>
        </w:rPr>
        <w:t xml:space="preserve"> Japan housing equipment market flat to -1% real; Americas +5–7%; NAND etch equipment +20–30% p.a. 2026–28.</w:t>
      </w:r>
    </w:p>
    <w:p>
      <w:pPr>
        <w:pStyle w:val="ListBullet"/>
        <w:spacing w:after="20"/>
      </w:pPr>
      <w:r>
        <w:rPr>
          <w:b/>
          <w:i w:val="0"/>
        </w:rPr>
        <w:t>Market share:</w:t>
      </w:r>
      <w:r>
        <w:rPr>
          <w:b w:val="0"/>
          <w:i w:val="0"/>
        </w:rPr>
        <w:t xml:space="preserve"> stable in Japan; small gains in US; ceramics share held (risk: TEL cryo-etch).</w:t>
      </w:r>
    </w:p>
    <w:p>
      <w:pPr>
        <w:pStyle w:val="ListBullet"/>
        <w:spacing w:after="20"/>
      </w:pPr>
      <w:r>
        <w:rPr>
          <w:b/>
          <w:i w:val="0"/>
        </w:rPr>
        <w:t>Price/cost:</w:t>
      </w:r>
      <w:r>
        <w:rPr>
          <w:b w:val="0"/>
          <w:i w:val="0"/>
        </w:rPr>
        <w:t xml:space="preserve"> Dec-26 price rise worth ~¥25–35bn annualised gross; ~60% offset by cost inflation/volume.</w:t>
      </w:r>
    </w:p>
    <w:p>
      <w:pPr>
        <w:pStyle w:val="ListBullet"/>
        <w:spacing w:after="20"/>
      </w:pPr>
      <w:r>
        <w:rPr>
          <w:b/>
          <w:i w:val="0"/>
        </w:rPr>
        <w:t>Operating leverage:</w:t>
      </w:r>
      <w:r>
        <w:rPr>
          <w:b w:val="0"/>
          <w:i w:val="0"/>
        </w:rPr>
        <w:t xml:space="preserve"> ceramics incremental margin ~40%; housing incremental ~25% on price-led growth.</w:t>
      </w:r>
    </w:p>
    <w:p>
      <w:pPr>
        <w:pStyle w:val="ListBullet"/>
        <w:spacing w:after="20"/>
      </w:pPr>
      <w:r>
        <w:rPr>
          <w:b/>
          <w:i w:val="0"/>
        </w:rPr>
        <w:t>Dilution:</w:t>
      </w:r>
      <w:r>
        <w:rPr>
          <w:b w:val="0"/>
          <w:i w:val="0"/>
        </w:rPr>
        <w:t xml:space="preserve"> none (no converts/meaningful SBC); buybacks reduce share count ~1% p.a.</w:t>
      </w:r>
    </w:p>
    <w:p>
      <w:pPr>
        <w:pStyle w:val="Heading1"/>
      </w:pPr>
      <w:r>
        <w:t>11. Capital Structure, Debt and Liquidity</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3045"/>
            <w:shd w:val="clear" w:color="auto" w:fill="16243D"/>
          </w:tcPr>
          <w:p>
            <w:r/>
            <w:r>
              <w:rPr>
                <w:b/>
                <w:i w:val="0"/>
                <w:color w:val="FFFFFF"/>
                <w:sz w:val="15"/>
              </w:rPr>
              <w:t>Item (Mar 2026)</w:t>
            </w:r>
          </w:p>
        </w:tc>
        <w:tc>
          <w:tcPr>
            <w:tcW w:type="dxa" w:w="1949"/>
            <w:shd w:val="clear" w:color="auto" w:fill="16243D"/>
          </w:tcPr>
          <w:p>
            <w:r/>
            <w:r>
              <w:rPr>
                <w:b/>
                <w:i w:val="0"/>
                <w:color w:val="FFFFFF"/>
                <w:sz w:val="15"/>
              </w:rPr>
              <w:t>Value</w:t>
            </w:r>
          </w:p>
        </w:tc>
        <w:tc>
          <w:tcPr>
            <w:tcW w:type="dxa" w:w="4871"/>
            <w:shd w:val="clear" w:color="auto" w:fill="16243D"/>
          </w:tcPr>
          <w:p>
            <w:r/>
            <w:r>
              <w:rPr>
                <w:b/>
                <w:i w:val="0"/>
                <w:color w:val="FFFFFF"/>
                <w:sz w:val="15"/>
              </w:rPr>
              <w:t>Comment</w:t>
            </w:r>
          </w:p>
        </w:tc>
      </w:tr>
      <w:tr>
        <w:tc>
          <w:tcPr>
            <w:tcW w:type="dxa" w:w="3045"/>
          </w:tcPr>
          <w:p>
            <w:r/>
            <w:r>
              <w:rPr>
                <w:b w:val="0"/>
                <w:i w:val="0"/>
                <w:sz w:val="15"/>
              </w:rPr>
              <w:t>Equity ratio</w:t>
            </w:r>
          </w:p>
        </w:tc>
        <w:tc>
          <w:tcPr>
            <w:tcW w:type="dxa" w:w="1949"/>
          </w:tcPr>
          <w:p>
            <w:r/>
            <w:r>
              <w:rPr>
                <w:b w:val="0"/>
                <w:i w:val="0"/>
                <w:sz w:val="15"/>
              </w:rPr>
              <w:t>63.8%</w:t>
            </w:r>
          </w:p>
        </w:tc>
        <w:tc>
          <w:tcPr>
            <w:tcW w:type="dxa" w:w="4871"/>
          </w:tcPr>
          <w:p>
            <w:r/>
            <w:r>
              <w:rPr>
                <w:b w:val="0"/>
                <w:i w:val="0"/>
                <w:sz w:val="15"/>
              </w:rPr>
              <w:t>Reported — very conservative</w:t>
            </w:r>
          </w:p>
        </w:tc>
      </w:tr>
      <w:tr>
        <w:tc>
          <w:tcPr>
            <w:tcW w:type="dxa" w:w="3045"/>
            <w:shd w:val="clear" w:color="auto" w:fill="F1F3F7"/>
          </w:tcPr>
          <w:p>
            <w:r/>
            <w:r>
              <w:rPr>
                <w:b w:val="0"/>
                <w:i w:val="0"/>
                <w:sz w:val="15"/>
              </w:rPr>
              <w:t>Total equity (e)</w:t>
            </w:r>
          </w:p>
        </w:tc>
        <w:tc>
          <w:tcPr>
            <w:tcW w:type="dxa" w:w="1949"/>
            <w:shd w:val="clear" w:color="auto" w:fill="F1F3F7"/>
          </w:tcPr>
          <w:p>
            <w:r/>
            <w:r>
              <w:rPr>
                <w:b w:val="0"/>
                <w:i w:val="0"/>
                <w:sz w:val="15"/>
              </w:rPr>
              <w:t>~¥530bn</w:t>
            </w:r>
          </w:p>
        </w:tc>
        <w:tc>
          <w:tcPr>
            <w:tcW w:type="dxa" w:w="4871"/>
            <w:shd w:val="clear" w:color="auto" w:fill="F1F3F7"/>
          </w:tcPr>
          <w:p>
            <w:r/>
            <w:r>
              <w:rPr>
                <w:b w:val="0"/>
                <w:i w:val="0"/>
                <w:sz w:val="15"/>
              </w:rPr>
              <w:t>Implied from ROE 7.67% and NI ¥40.3bn</w:t>
            </w:r>
          </w:p>
        </w:tc>
      </w:tr>
      <w:tr>
        <w:tc>
          <w:tcPr>
            <w:tcW w:type="dxa" w:w="3045"/>
          </w:tcPr>
          <w:p>
            <w:r/>
            <w:r>
              <w:rPr>
                <w:b w:val="0"/>
                <w:i w:val="0"/>
                <w:sz w:val="15"/>
              </w:rPr>
              <w:t>Total assets (e)</w:t>
            </w:r>
          </w:p>
        </w:tc>
        <w:tc>
          <w:tcPr>
            <w:tcW w:type="dxa" w:w="1949"/>
          </w:tcPr>
          <w:p>
            <w:r/>
            <w:r>
              <w:rPr>
                <w:b w:val="0"/>
                <w:i w:val="0"/>
                <w:sz w:val="15"/>
              </w:rPr>
              <w:t>~¥830bn</w:t>
            </w:r>
          </w:p>
        </w:tc>
        <w:tc>
          <w:tcPr>
            <w:tcW w:type="dxa" w:w="4871"/>
          </w:tcPr>
          <w:p>
            <w:r/>
            <w:r>
              <w:rPr>
                <w:b w:val="0"/>
                <w:i w:val="0"/>
                <w:sz w:val="15"/>
              </w:rPr>
              <w:t>Implied from equity ratio</w:t>
            </w:r>
          </w:p>
        </w:tc>
      </w:tr>
      <w:tr>
        <w:tc>
          <w:tcPr>
            <w:tcW w:type="dxa" w:w="3045"/>
            <w:shd w:val="clear" w:color="auto" w:fill="F1F3F7"/>
          </w:tcPr>
          <w:p>
            <w:r/>
            <w:r>
              <w:rPr>
                <w:b w:val="0"/>
                <w:i w:val="0"/>
                <w:sz w:val="15"/>
              </w:rPr>
              <w:t>Cash &amp; equivalents (e)</w:t>
            </w:r>
          </w:p>
        </w:tc>
        <w:tc>
          <w:tcPr>
            <w:tcW w:type="dxa" w:w="1949"/>
            <w:shd w:val="clear" w:color="auto" w:fill="F1F3F7"/>
          </w:tcPr>
          <w:p>
            <w:r/>
            <w:r>
              <w:rPr>
                <w:b w:val="0"/>
                <w:i w:val="0"/>
                <w:sz w:val="15"/>
              </w:rPr>
              <w:t>~¥110bn</w:t>
            </w:r>
          </w:p>
        </w:tc>
        <w:tc>
          <w:tcPr>
            <w:tcW w:type="dxa" w:w="4871"/>
            <w:shd w:val="clear" w:color="auto" w:fill="F1F3F7"/>
          </w:tcPr>
          <w:p>
            <w:r/>
            <w:r>
              <w:rPr>
                <w:b w:val="0"/>
                <w:i w:val="0"/>
                <w:sz w:val="15"/>
              </w:rPr>
              <w:t>Palliser cites ~¥76bn "excess cash"</w:t>
            </w:r>
          </w:p>
        </w:tc>
      </w:tr>
      <w:tr>
        <w:tc>
          <w:tcPr>
            <w:tcW w:type="dxa" w:w="3045"/>
          </w:tcPr>
          <w:p>
            <w:r/>
            <w:r>
              <w:rPr>
                <w:b w:val="0"/>
                <w:i w:val="0"/>
                <w:sz w:val="15"/>
              </w:rPr>
              <w:t>Interest-bearing debt incl. leases (e)</w:t>
            </w:r>
          </w:p>
        </w:tc>
        <w:tc>
          <w:tcPr>
            <w:tcW w:type="dxa" w:w="1949"/>
          </w:tcPr>
          <w:p>
            <w:r/>
            <w:r>
              <w:rPr>
                <w:b w:val="0"/>
                <w:i w:val="0"/>
                <w:sz w:val="15"/>
              </w:rPr>
              <w:t>~¥45bn</w:t>
            </w:r>
          </w:p>
        </w:tc>
        <w:tc>
          <w:tcPr>
            <w:tcW w:type="dxa" w:w="4871"/>
          </w:tcPr>
          <w:p>
            <w:r/>
            <w:r>
              <w:rPr>
                <w:b w:val="0"/>
                <w:i w:val="0"/>
                <w:sz w:val="15"/>
              </w:rPr>
              <w:t>Mostly local borrowings/leases; no material bond maturities identified</w:t>
            </w:r>
          </w:p>
        </w:tc>
      </w:tr>
      <w:tr>
        <w:tc>
          <w:tcPr>
            <w:tcW w:type="dxa" w:w="3045"/>
            <w:shd w:val="clear" w:color="auto" w:fill="F1F3F7"/>
          </w:tcPr>
          <w:p>
            <w:r/>
            <w:r>
              <w:rPr>
                <w:b w:val="0"/>
                <w:i w:val="0"/>
                <w:sz w:val="15"/>
              </w:rPr>
              <w:t>Net cash (e)</w:t>
            </w:r>
          </w:p>
        </w:tc>
        <w:tc>
          <w:tcPr>
            <w:tcW w:type="dxa" w:w="1949"/>
            <w:shd w:val="clear" w:color="auto" w:fill="F1F3F7"/>
          </w:tcPr>
          <w:p>
            <w:r/>
            <w:r>
              <w:rPr>
                <w:b w:val="0"/>
                <w:i w:val="0"/>
                <w:sz w:val="15"/>
              </w:rPr>
              <w:t>~¥65bn</w:t>
            </w:r>
          </w:p>
        </w:tc>
        <w:tc>
          <w:tcPr>
            <w:tcW w:type="dxa" w:w="4871"/>
            <w:shd w:val="clear" w:color="auto" w:fill="F1F3F7"/>
          </w:tcPr>
          <w:p>
            <w:r/>
            <w:r>
              <w:rPr>
                <w:b w:val="0"/>
                <w:i w:val="0"/>
                <w:sz w:val="15"/>
              </w:rPr>
              <w:t>Net debt/EBITDA ≈ -0.7x</w:t>
            </w:r>
          </w:p>
        </w:tc>
      </w:tr>
      <w:tr>
        <w:tc>
          <w:tcPr>
            <w:tcW w:type="dxa" w:w="3045"/>
          </w:tcPr>
          <w:p>
            <w:r/>
            <w:r>
              <w:rPr>
                <w:b w:val="0"/>
                <w:i w:val="0"/>
                <w:sz w:val="15"/>
              </w:rPr>
              <w:t>Investment securities / cross-holdings (e)</w:t>
            </w:r>
          </w:p>
        </w:tc>
        <w:tc>
          <w:tcPr>
            <w:tcW w:type="dxa" w:w="1949"/>
          </w:tcPr>
          <w:p>
            <w:r/>
            <w:r>
              <w:rPr>
                <w:b w:val="0"/>
                <w:i w:val="0"/>
                <w:sz w:val="15"/>
              </w:rPr>
              <w:t>~¥60–76bn</w:t>
            </w:r>
          </w:p>
        </w:tc>
        <w:tc>
          <w:tcPr>
            <w:tcW w:type="dxa" w:w="4871"/>
          </w:tcPr>
          <w:p>
            <w:r/>
            <w:r>
              <w:rPr>
                <w:b w:val="0"/>
                <w:i w:val="0"/>
                <w:sz w:val="15"/>
              </w:rPr>
              <w:t>~11% of net assets FY24; target &lt;10% FY25, &lt;5% by FY30</w:t>
            </w:r>
          </w:p>
        </w:tc>
      </w:tr>
      <w:tr>
        <w:tc>
          <w:tcPr>
            <w:tcW w:type="dxa" w:w="3045"/>
            <w:shd w:val="clear" w:color="auto" w:fill="F1F3F7"/>
          </w:tcPr>
          <w:p>
            <w:r/>
            <w:r>
              <w:rPr>
                <w:b w:val="0"/>
                <w:i w:val="0"/>
                <w:sz w:val="15"/>
              </w:rPr>
              <w:t>Interest cost</w:t>
            </w:r>
          </w:p>
        </w:tc>
        <w:tc>
          <w:tcPr>
            <w:tcW w:type="dxa" w:w="1949"/>
            <w:shd w:val="clear" w:color="auto" w:fill="F1F3F7"/>
          </w:tcPr>
          <w:p>
            <w:r/>
            <w:r>
              <w:rPr>
                <w:b w:val="0"/>
                <w:i w:val="0"/>
                <w:sz w:val="15"/>
              </w:rPr>
              <w:t>&lt;¥1bn</w:t>
            </w:r>
          </w:p>
        </w:tc>
        <w:tc>
          <w:tcPr>
            <w:tcW w:type="dxa" w:w="4871"/>
            <w:shd w:val="clear" w:color="auto" w:fill="F1F3F7"/>
          </w:tcPr>
          <w:p>
            <w:r/>
            <w:r>
              <w:rPr>
                <w:b w:val="0"/>
                <w:i w:val="0"/>
                <w:sz w:val="15"/>
              </w:rPr>
              <w:t>Interest cover &gt;50x</w:t>
            </w:r>
          </w:p>
        </w:tc>
      </w:tr>
      <w:tr>
        <w:tc>
          <w:tcPr>
            <w:tcW w:type="dxa" w:w="3045"/>
          </w:tcPr>
          <w:p>
            <w:r/>
            <w:r>
              <w:rPr>
                <w:b w:val="0"/>
                <w:i w:val="0"/>
                <w:sz w:val="15"/>
              </w:rPr>
              <w:t>Credit rating</w:t>
            </w:r>
          </w:p>
        </w:tc>
        <w:tc>
          <w:tcPr>
            <w:tcW w:type="dxa" w:w="1949"/>
          </w:tcPr>
          <w:p>
            <w:r/>
            <w:r>
              <w:rPr>
                <w:b w:val="0"/>
                <w:i w:val="0"/>
                <w:sz w:val="15"/>
              </w:rPr>
              <w:t>R&amp;I: A+ area (to verify)</w:t>
            </w:r>
          </w:p>
        </w:tc>
        <w:tc>
          <w:tcPr>
            <w:tcW w:type="dxa" w:w="4871"/>
          </w:tcPr>
          <w:p>
            <w:r/>
            <w:r>
              <w:rPr>
                <w:b w:val="0"/>
                <w:i w:val="0"/>
                <w:sz w:val="15"/>
              </w:rPr>
              <w:t>No covenants of note expected</w:t>
            </w:r>
          </w:p>
        </w:tc>
      </w:tr>
      <w:tr>
        <w:tc>
          <w:tcPr>
            <w:tcW w:type="dxa" w:w="3045"/>
            <w:shd w:val="clear" w:color="auto" w:fill="F1F3F7"/>
          </w:tcPr>
          <w:p>
            <w:r/>
            <w:r>
              <w:rPr>
                <w:b w:val="0"/>
                <w:i w:val="0"/>
                <w:sz w:val="15"/>
              </w:rPr>
              <w:t>Seasonal working capital</w:t>
            </w:r>
          </w:p>
        </w:tc>
        <w:tc>
          <w:tcPr>
            <w:tcW w:type="dxa" w:w="1949"/>
            <w:shd w:val="clear" w:color="auto" w:fill="F1F3F7"/>
          </w:tcPr>
          <w:p>
            <w:r/>
            <w:r>
              <w:rPr>
                <w:b w:val="0"/>
                <w:i w:val="0"/>
                <w:sz w:val="15"/>
              </w:rPr>
              <w:t>Moderate</w:t>
            </w:r>
          </w:p>
        </w:tc>
        <w:tc>
          <w:tcPr>
            <w:tcW w:type="dxa" w:w="4871"/>
            <w:shd w:val="clear" w:color="auto" w:fill="F1F3F7"/>
          </w:tcPr>
          <w:p>
            <w:r/>
            <w:r>
              <w:rPr>
                <w:b w:val="0"/>
                <w:i w:val="0"/>
                <w:sz w:val="15"/>
              </w:rPr>
              <w:t>Q3 build ahead of Dec price rise</w:t>
            </w:r>
          </w:p>
        </w:tc>
      </w:tr>
    </w:tbl>
    <w:p>
      <w:r>
        <w:rPr>
          <w:b w:val="0"/>
          <w:i/>
          <w:color w:val="5E6878"/>
          <w:sz w:val="14"/>
        </w:rPr>
        <w:t>Balance-sheet line items could not be retrieved directly from the FY3/26 filing in this research environment; (e) items are estimates derived from reported ratios and third-party commentary and should be verified. Conclusions (net cash, under-levered) are robust to the uncertainty.</w:t>
      </w:r>
    </w:p>
    <w:p>
      <w:pPr>
        <w:spacing w:after="80"/>
      </w:pPr>
      <w:r>
        <w:rPr>
          <w:b/>
          <w:i w:val="0"/>
        </w:rPr>
        <w:t>Assessment:</w:t>
      </w:r>
      <w:r>
        <w:rPr>
          <w:b w:val="0"/>
          <w:i w:val="0"/>
        </w:rPr>
        <w:t xml:space="preserve"> TOTO is materially under-levered. A move to an equity ratio of ~50% (still conservative) would free ~¥110bn of capacity; together with cross-holdings (~¥60–76bn) and excess cash, TOTO could return ~¥200bn (~20% of market cap) over 3–4 years without impairing its rating or ceramics capex. This is the core of the "round two" activist agenda.</w:t>
      </w:r>
    </w:p>
    <w:p>
      <w:pPr>
        <w:pStyle w:val="Heading1"/>
      </w:pPr>
      <w:r>
        <w:t>12. Valuation: Peers, History and Regression</w:t>
      </w:r>
    </w:p>
    <w:p>
      <w:pPr>
        <w:pStyle w:val="Heading2"/>
      </w:pPr>
      <w:r>
        <w:t>12.1 Peer comparison</w:t>
      </w:r>
    </w:p>
    <w:tbl>
      <w:tblPr>
        <w:tblStyle w:val="TableGrid"/>
        <w:tblW w:type="auto" w:w="0"/>
        <w:jc w:val="center"/>
        <w:tblLayout w:type="fixed"/>
        <w:tblLook w:firstColumn="1" w:firstRow="1" w:lastColumn="0" w:lastRow="0" w:noHBand="0" w:noVBand="1" w:val="04A0"/>
      </w:tblPr>
      <w:tblGrid>
        <w:gridCol w:w="822"/>
        <w:gridCol w:w="822"/>
        <w:gridCol w:w="822"/>
        <w:gridCol w:w="822"/>
        <w:gridCol w:w="822"/>
        <w:gridCol w:w="822"/>
        <w:gridCol w:w="822"/>
        <w:gridCol w:w="822"/>
        <w:gridCol w:w="822"/>
        <w:gridCol w:w="822"/>
        <w:gridCol w:w="822"/>
        <w:gridCol w:w="822"/>
      </w:tblGrid>
      <w:tr>
        <w:tc>
          <w:tcPr>
            <w:tcW w:type="dxa" w:w="1682"/>
            <w:shd w:val="clear" w:color="auto" w:fill="16243D"/>
          </w:tcPr>
          <w:p>
            <w:r/>
            <w:r>
              <w:rPr>
                <w:b/>
                <w:i w:val="0"/>
                <w:color w:val="FFFFFF"/>
                <w:sz w:val="15"/>
              </w:rPr>
              <w:t>Company</w:t>
            </w:r>
          </w:p>
        </w:tc>
        <w:tc>
          <w:tcPr>
            <w:tcW w:type="dxa" w:w="994"/>
            <w:shd w:val="clear" w:color="auto" w:fill="16243D"/>
          </w:tcPr>
          <w:p>
            <w:r/>
            <w:r>
              <w:rPr>
                <w:b/>
                <w:i w:val="0"/>
                <w:color w:val="FFFFFF"/>
                <w:sz w:val="15"/>
              </w:rPr>
              <w:t>Ticker</w:t>
            </w:r>
          </w:p>
        </w:tc>
        <w:tc>
          <w:tcPr>
            <w:tcW w:type="dxa" w:w="765"/>
            <w:shd w:val="clear" w:color="auto" w:fill="16243D"/>
          </w:tcPr>
          <w:p>
            <w:r/>
            <w:r>
              <w:rPr>
                <w:b/>
                <w:i w:val="0"/>
                <w:color w:val="FFFFFF"/>
                <w:sz w:val="15"/>
              </w:rPr>
              <w:t>Listed</w:t>
            </w:r>
          </w:p>
        </w:tc>
        <w:tc>
          <w:tcPr>
            <w:tcW w:type="dxa" w:w="765"/>
            <w:shd w:val="clear" w:color="auto" w:fill="16243D"/>
          </w:tcPr>
          <w:p>
            <w:r/>
            <w:r>
              <w:rPr>
                <w:b/>
                <w:i w:val="0"/>
                <w:color w:val="FFFFFF"/>
                <w:sz w:val="15"/>
              </w:rPr>
              <w:t>Mkt cap (US$bn)</w:t>
            </w:r>
          </w:p>
        </w:tc>
        <w:tc>
          <w:tcPr>
            <w:tcW w:type="dxa" w:w="688"/>
            <w:shd w:val="clear" w:color="auto" w:fill="16243D"/>
          </w:tcPr>
          <w:p>
            <w:r/>
            <w:r>
              <w:rPr>
                <w:b/>
                <w:i w:val="0"/>
                <w:color w:val="FFFFFF"/>
                <w:sz w:val="15"/>
              </w:rPr>
              <w:t>EV/Sales</w:t>
            </w:r>
          </w:p>
        </w:tc>
        <w:tc>
          <w:tcPr>
            <w:tcW w:type="dxa" w:w="765"/>
            <w:shd w:val="clear" w:color="auto" w:fill="16243D"/>
          </w:tcPr>
          <w:p>
            <w:r/>
            <w:r>
              <w:rPr>
                <w:b/>
                <w:i w:val="0"/>
                <w:color w:val="FFFFFF"/>
                <w:sz w:val="15"/>
              </w:rPr>
              <w:t>EV/EBITDA</w:t>
            </w:r>
          </w:p>
        </w:tc>
        <w:tc>
          <w:tcPr>
            <w:tcW w:type="dxa" w:w="765"/>
            <w:shd w:val="clear" w:color="auto" w:fill="16243D"/>
          </w:tcPr>
          <w:p>
            <w:r/>
            <w:r>
              <w:rPr>
                <w:b/>
                <w:i w:val="0"/>
                <w:color w:val="FFFFFF"/>
                <w:sz w:val="15"/>
              </w:rPr>
              <w:t>EV/EBIT</w:t>
            </w:r>
          </w:p>
        </w:tc>
        <w:tc>
          <w:tcPr>
            <w:tcW w:type="dxa" w:w="765"/>
            <w:shd w:val="clear" w:color="auto" w:fill="16243D"/>
          </w:tcPr>
          <w:p>
            <w:r/>
            <w:r>
              <w:rPr>
                <w:b/>
                <w:i w:val="0"/>
                <w:color w:val="FFFFFF"/>
                <w:sz w:val="15"/>
              </w:rPr>
              <w:t>P/E (fwd)</w:t>
            </w:r>
          </w:p>
        </w:tc>
        <w:tc>
          <w:tcPr>
            <w:tcW w:type="dxa" w:w="688"/>
            <w:shd w:val="clear" w:color="auto" w:fill="16243D"/>
          </w:tcPr>
          <w:p>
            <w:r/>
            <w:r>
              <w:rPr>
                <w:b/>
                <w:i w:val="0"/>
                <w:color w:val="FFFFFF"/>
                <w:sz w:val="15"/>
              </w:rPr>
              <w:t>EBITDA mgn</w:t>
            </w:r>
          </w:p>
        </w:tc>
        <w:tc>
          <w:tcPr>
            <w:tcW w:type="dxa" w:w="688"/>
            <w:shd w:val="clear" w:color="auto" w:fill="16243D"/>
          </w:tcPr>
          <w:p>
            <w:r/>
            <w:r>
              <w:rPr>
                <w:b/>
                <w:i w:val="0"/>
                <w:color w:val="FFFFFF"/>
                <w:sz w:val="15"/>
              </w:rPr>
              <w:t>EBIT mgn</w:t>
            </w:r>
          </w:p>
        </w:tc>
        <w:tc>
          <w:tcPr>
            <w:tcW w:type="dxa" w:w="612"/>
            <w:shd w:val="clear" w:color="auto" w:fill="16243D"/>
          </w:tcPr>
          <w:p>
            <w:r/>
            <w:r>
              <w:rPr>
                <w:b/>
                <w:i w:val="0"/>
                <w:color w:val="FFFFFF"/>
                <w:sz w:val="15"/>
              </w:rPr>
              <w:t>Sales g</w:t>
            </w:r>
          </w:p>
        </w:tc>
        <w:tc>
          <w:tcPr>
            <w:tcW w:type="dxa" w:w="688"/>
            <w:shd w:val="clear" w:color="auto" w:fill="16243D"/>
          </w:tcPr>
          <w:p>
            <w:r/>
            <w:r>
              <w:rPr>
                <w:b/>
                <w:i w:val="0"/>
                <w:color w:val="FFFFFF"/>
                <w:sz w:val="15"/>
              </w:rPr>
              <w:t>ND/EBITDA</w:t>
            </w:r>
          </w:p>
        </w:tc>
      </w:tr>
      <w:tr>
        <w:tc>
          <w:tcPr>
            <w:tcW w:type="dxa" w:w="1682"/>
          </w:tcPr>
          <w:p>
            <w:r/>
            <w:r>
              <w:rPr>
                <w:b/>
                <w:i w:val="0"/>
                <w:sz w:val="15"/>
              </w:rPr>
              <w:t>TOTO</w:t>
            </w:r>
          </w:p>
        </w:tc>
        <w:tc>
          <w:tcPr>
            <w:tcW w:type="dxa" w:w="994"/>
          </w:tcPr>
          <w:p>
            <w:r/>
            <w:r>
              <w:rPr>
                <w:b w:val="0"/>
                <w:i w:val="0"/>
                <w:sz w:val="15"/>
              </w:rPr>
              <w:t>5332 JP</w:t>
            </w:r>
          </w:p>
        </w:tc>
        <w:tc>
          <w:tcPr>
            <w:tcW w:type="dxa" w:w="765"/>
          </w:tcPr>
          <w:p>
            <w:r/>
            <w:r>
              <w:rPr>
                <w:b w:val="0"/>
                <w:i w:val="0"/>
                <w:sz w:val="15"/>
              </w:rPr>
              <w:t>TSE</w:t>
            </w:r>
          </w:p>
        </w:tc>
        <w:tc>
          <w:tcPr>
            <w:tcW w:type="dxa" w:w="765"/>
          </w:tcPr>
          <w:p>
            <w:r/>
            <w:r>
              <w:rPr>
                <w:b w:val="0"/>
                <w:i w:val="0"/>
                <w:sz w:val="15"/>
              </w:rPr>
              <w:t>6.7</w:t>
            </w:r>
          </w:p>
        </w:tc>
        <w:tc>
          <w:tcPr>
            <w:tcW w:type="dxa" w:w="688"/>
          </w:tcPr>
          <w:p>
            <w:r/>
            <w:r>
              <w:rPr>
                <w:b/>
                <w:i w:val="0"/>
                <w:sz w:val="15"/>
              </w:rPr>
              <w:t>1.27x</w:t>
            </w:r>
          </w:p>
        </w:tc>
        <w:tc>
          <w:tcPr>
            <w:tcW w:type="dxa" w:w="765"/>
          </w:tcPr>
          <w:p>
            <w:r/>
            <w:r>
              <w:rPr>
                <w:b/>
                <w:i w:val="0"/>
                <w:sz w:val="15"/>
              </w:rPr>
              <w:t>10.6x</w:t>
            </w:r>
          </w:p>
        </w:tc>
        <w:tc>
          <w:tcPr>
            <w:tcW w:type="dxa" w:w="765"/>
          </w:tcPr>
          <w:p>
            <w:r/>
            <w:r>
              <w:rPr>
                <w:b/>
                <w:i w:val="0"/>
                <w:sz w:val="15"/>
              </w:rPr>
              <w:t>17.4x</w:t>
            </w:r>
          </w:p>
        </w:tc>
        <w:tc>
          <w:tcPr>
            <w:tcW w:type="dxa" w:w="765"/>
          </w:tcPr>
          <w:p>
            <w:r/>
            <w:r>
              <w:rPr>
                <w:b/>
                <w:i w:val="0"/>
                <w:sz w:val="15"/>
              </w:rPr>
              <w:t>21.8x</w:t>
            </w:r>
          </w:p>
        </w:tc>
        <w:tc>
          <w:tcPr>
            <w:tcW w:type="dxa" w:w="688"/>
          </w:tcPr>
          <w:p>
            <w:r/>
            <w:r>
              <w:rPr>
                <w:b w:val="0"/>
                <w:i w:val="0"/>
                <w:sz w:val="15"/>
              </w:rPr>
              <w:t>11.9%</w:t>
            </w:r>
          </w:p>
        </w:tc>
        <w:tc>
          <w:tcPr>
            <w:tcW w:type="dxa" w:w="688"/>
          </w:tcPr>
          <w:p>
            <w:r/>
            <w:r>
              <w:rPr>
                <w:b w:val="0"/>
                <w:i w:val="0"/>
                <w:sz w:val="15"/>
              </w:rPr>
              <w:t>7.3%</w:t>
            </w:r>
          </w:p>
        </w:tc>
        <w:tc>
          <w:tcPr>
            <w:tcW w:type="dxa" w:w="612"/>
          </w:tcPr>
          <w:p>
            <w:r/>
            <w:r>
              <w:rPr>
                <w:b w:val="0"/>
                <w:i w:val="0"/>
                <w:sz w:val="15"/>
              </w:rPr>
              <w:t>+1.8%</w:t>
            </w:r>
          </w:p>
        </w:tc>
        <w:tc>
          <w:tcPr>
            <w:tcW w:type="dxa" w:w="688"/>
          </w:tcPr>
          <w:p>
            <w:r/>
            <w:r>
              <w:rPr>
                <w:b w:val="0"/>
                <w:i w:val="0"/>
                <w:sz w:val="15"/>
              </w:rPr>
              <w:t>net cash</w:t>
            </w:r>
          </w:p>
        </w:tc>
      </w:tr>
      <w:tr>
        <w:tc>
          <w:tcPr>
            <w:tcW w:type="dxa" w:w="1682"/>
            <w:shd w:val="clear" w:color="auto" w:fill="F1F3F7"/>
          </w:tcPr>
          <w:p>
            <w:r/>
            <w:r>
              <w:rPr>
                <w:b w:val="0"/>
                <w:i w:val="0"/>
                <w:sz w:val="15"/>
              </w:rPr>
              <w:t>LIXIL</w:t>
            </w:r>
          </w:p>
        </w:tc>
        <w:tc>
          <w:tcPr>
            <w:tcW w:type="dxa" w:w="994"/>
            <w:shd w:val="clear" w:color="auto" w:fill="F1F3F7"/>
          </w:tcPr>
          <w:p>
            <w:r/>
            <w:r>
              <w:rPr>
                <w:b w:val="0"/>
                <w:i w:val="0"/>
                <w:sz w:val="15"/>
              </w:rPr>
              <w:t>5938 JP</w:t>
            </w:r>
          </w:p>
        </w:tc>
        <w:tc>
          <w:tcPr>
            <w:tcW w:type="dxa" w:w="765"/>
            <w:shd w:val="clear" w:color="auto" w:fill="F1F3F7"/>
          </w:tcPr>
          <w:p>
            <w:r/>
            <w:r>
              <w:rPr>
                <w:b w:val="0"/>
                <w:i w:val="0"/>
                <w:sz w:val="15"/>
              </w:rPr>
              <w:t>TSE</w:t>
            </w:r>
          </w:p>
        </w:tc>
        <w:tc>
          <w:tcPr>
            <w:tcW w:type="dxa" w:w="765"/>
            <w:shd w:val="clear" w:color="auto" w:fill="F1F3F7"/>
          </w:tcPr>
          <w:p>
            <w:r/>
            <w:r>
              <w:rPr>
                <w:b w:val="0"/>
                <w:i w:val="0"/>
                <w:sz w:val="15"/>
              </w:rPr>
              <w:t>3.1</w:t>
            </w:r>
          </w:p>
        </w:tc>
        <w:tc>
          <w:tcPr>
            <w:tcW w:type="dxa" w:w="688"/>
            <w:shd w:val="clear" w:color="auto" w:fill="F1F3F7"/>
          </w:tcPr>
          <w:p>
            <w:r/>
            <w:r>
              <w:rPr>
                <w:b w:val="0"/>
                <w:i w:val="0"/>
                <w:sz w:val="15"/>
              </w:rPr>
              <w:t>0.66x</w:t>
            </w:r>
          </w:p>
        </w:tc>
        <w:tc>
          <w:tcPr>
            <w:tcW w:type="dxa" w:w="765"/>
            <w:shd w:val="clear" w:color="auto" w:fill="F1F3F7"/>
          </w:tcPr>
          <w:p>
            <w:r/>
            <w:r>
              <w:rPr>
                <w:b w:val="0"/>
                <w:i w:val="0"/>
                <w:sz w:val="15"/>
              </w:rPr>
              <w:t>9.0x</w:t>
            </w:r>
          </w:p>
        </w:tc>
        <w:tc>
          <w:tcPr>
            <w:tcW w:type="dxa" w:w="765"/>
            <w:shd w:val="clear" w:color="auto" w:fill="F1F3F7"/>
          </w:tcPr>
          <w:p>
            <w:r/>
            <w:r>
              <w:rPr>
                <w:b w:val="0"/>
                <w:i w:val="0"/>
                <w:sz w:val="15"/>
              </w:rPr>
              <w:t>~26x</w:t>
            </w:r>
          </w:p>
        </w:tc>
        <w:tc>
          <w:tcPr>
            <w:tcW w:type="dxa" w:w="765"/>
            <w:shd w:val="clear" w:color="auto" w:fill="F1F3F7"/>
          </w:tcPr>
          <w:p>
            <w:r/>
            <w:r>
              <w:rPr>
                <w:b w:val="0"/>
                <w:i w:val="0"/>
                <w:sz w:val="15"/>
              </w:rPr>
              <w:t>57x (t)</w:t>
            </w:r>
          </w:p>
        </w:tc>
        <w:tc>
          <w:tcPr>
            <w:tcW w:type="dxa" w:w="688"/>
            <w:shd w:val="clear" w:color="auto" w:fill="F1F3F7"/>
          </w:tcPr>
          <w:p>
            <w:r/>
            <w:r>
              <w:rPr>
                <w:b w:val="0"/>
                <w:i w:val="0"/>
                <w:sz w:val="15"/>
              </w:rPr>
              <w:t>~7%</w:t>
            </w:r>
          </w:p>
        </w:tc>
        <w:tc>
          <w:tcPr>
            <w:tcW w:type="dxa" w:w="688"/>
            <w:shd w:val="clear" w:color="auto" w:fill="F1F3F7"/>
          </w:tcPr>
          <w:p>
            <w:r/>
            <w:r>
              <w:rPr>
                <w:b w:val="0"/>
                <w:i w:val="0"/>
                <w:sz w:val="15"/>
              </w:rPr>
              <w:t>2.5%</w:t>
            </w:r>
          </w:p>
        </w:tc>
        <w:tc>
          <w:tcPr>
            <w:tcW w:type="dxa" w:w="612"/>
            <w:shd w:val="clear" w:color="auto" w:fill="F1F3F7"/>
          </w:tcPr>
          <w:p>
            <w:r/>
            <w:r>
              <w:rPr>
                <w:b w:val="0"/>
                <w:i w:val="0"/>
                <w:sz w:val="15"/>
              </w:rPr>
              <w:t>+0.4%</w:t>
            </w:r>
          </w:p>
        </w:tc>
        <w:tc>
          <w:tcPr>
            <w:tcW w:type="dxa" w:w="688"/>
            <w:shd w:val="clear" w:color="auto" w:fill="F1F3F7"/>
          </w:tcPr>
          <w:p>
            <w:r/>
            <w:r>
              <w:rPr>
                <w:b w:val="0"/>
                <w:i w:val="0"/>
                <w:sz w:val="15"/>
              </w:rPr>
              <w:t>~4x</w:t>
            </w:r>
          </w:p>
        </w:tc>
      </w:tr>
      <w:tr>
        <w:tc>
          <w:tcPr>
            <w:tcW w:type="dxa" w:w="1682"/>
          </w:tcPr>
          <w:p>
            <w:r/>
            <w:r>
              <w:rPr>
                <w:b w:val="0"/>
                <w:i w:val="0"/>
                <w:sz w:val="15"/>
              </w:rPr>
              <w:t>Takara Standard</w:t>
            </w:r>
          </w:p>
        </w:tc>
        <w:tc>
          <w:tcPr>
            <w:tcW w:type="dxa" w:w="994"/>
          </w:tcPr>
          <w:p>
            <w:r/>
            <w:r>
              <w:rPr>
                <w:b w:val="0"/>
                <w:i w:val="0"/>
                <w:sz w:val="15"/>
              </w:rPr>
              <w:t>7981 JP</w:t>
            </w:r>
          </w:p>
        </w:tc>
        <w:tc>
          <w:tcPr>
            <w:tcW w:type="dxa" w:w="765"/>
          </w:tcPr>
          <w:p>
            <w:r/>
            <w:r>
              <w:rPr>
                <w:b w:val="0"/>
                <w:i w:val="0"/>
                <w:sz w:val="15"/>
              </w:rPr>
              <w:t>TSE</w:t>
            </w:r>
          </w:p>
        </w:tc>
        <w:tc>
          <w:tcPr>
            <w:tcW w:type="dxa" w:w="765"/>
          </w:tcPr>
          <w:p>
            <w:r/>
            <w:r>
              <w:rPr>
                <w:b w:val="0"/>
                <w:i w:val="0"/>
                <w:sz w:val="15"/>
              </w:rPr>
              <w:t>1.1</w:t>
            </w:r>
          </w:p>
        </w:tc>
        <w:tc>
          <w:tcPr>
            <w:tcW w:type="dxa" w:w="688"/>
          </w:tcPr>
          <w:p>
            <w:r/>
            <w:r>
              <w:rPr>
                <w:b w:val="0"/>
                <w:i w:val="0"/>
                <w:sz w:val="15"/>
              </w:rPr>
              <w:t>0.41x</w:t>
            </w:r>
          </w:p>
        </w:tc>
        <w:tc>
          <w:tcPr>
            <w:tcW w:type="dxa" w:w="765"/>
          </w:tcPr>
          <w:p>
            <w:r/>
            <w:r>
              <w:rPr>
                <w:b w:val="0"/>
                <w:i w:val="0"/>
                <w:sz w:val="15"/>
              </w:rPr>
              <w:t>n/a</w:t>
            </w:r>
          </w:p>
        </w:tc>
        <w:tc>
          <w:tcPr>
            <w:tcW w:type="dxa" w:w="765"/>
          </w:tcPr>
          <w:p>
            <w:r/>
            <w:r>
              <w:rPr>
                <w:b w:val="0"/>
                <w:i w:val="0"/>
                <w:sz w:val="15"/>
              </w:rPr>
              <w:t>5.4x</w:t>
            </w:r>
          </w:p>
        </w:tc>
        <w:tc>
          <w:tcPr>
            <w:tcW w:type="dxa" w:w="765"/>
          </w:tcPr>
          <w:p>
            <w:r/>
            <w:r>
              <w:rPr>
                <w:b w:val="0"/>
                <w:i w:val="0"/>
                <w:sz w:val="15"/>
              </w:rPr>
              <w:t>13.8x</w:t>
            </w:r>
          </w:p>
        </w:tc>
        <w:tc>
          <w:tcPr>
            <w:tcW w:type="dxa" w:w="688"/>
          </w:tcPr>
          <w:p>
            <w:r/>
            <w:r>
              <w:rPr>
                <w:b w:val="0"/>
                <w:i w:val="0"/>
                <w:sz w:val="15"/>
              </w:rPr>
              <w:t>n/a</w:t>
            </w:r>
          </w:p>
        </w:tc>
        <w:tc>
          <w:tcPr>
            <w:tcW w:type="dxa" w:w="688"/>
          </w:tcPr>
          <w:p>
            <w:r/>
            <w:r>
              <w:rPr>
                <w:b w:val="0"/>
                <w:i w:val="0"/>
                <w:sz w:val="15"/>
              </w:rPr>
              <w:t>7.5%</w:t>
            </w:r>
          </w:p>
        </w:tc>
        <w:tc>
          <w:tcPr>
            <w:tcW w:type="dxa" w:w="612"/>
          </w:tcPr>
          <w:p>
            <w:r/>
            <w:r>
              <w:rPr>
                <w:b w:val="0"/>
                <w:i w:val="0"/>
                <w:sz w:val="15"/>
              </w:rPr>
              <w:t>n/a</w:t>
            </w:r>
          </w:p>
        </w:tc>
        <w:tc>
          <w:tcPr>
            <w:tcW w:type="dxa" w:w="688"/>
          </w:tcPr>
          <w:p>
            <w:r/>
            <w:r>
              <w:rPr>
                <w:b w:val="0"/>
                <w:i w:val="0"/>
                <w:sz w:val="15"/>
              </w:rPr>
              <w:t>net cash</w:t>
            </w:r>
          </w:p>
        </w:tc>
      </w:tr>
      <w:tr>
        <w:tc>
          <w:tcPr>
            <w:tcW w:type="dxa" w:w="1682"/>
            <w:shd w:val="clear" w:color="auto" w:fill="F1F3F7"/>
          </w:tcPr>
          <w:p>
            <w:r/>
            <w:r>
              <w:rPr>
                <w:b w:val="0"/>
                <w:i w:val="0"/>
                <w:sz w:val="15"/>
              </w:rPr>
              <w:t>Cleanup</w:t>
            </w:r>
          </w:p>
        </w:tc>
        <w:tc>
          <w:tcPr>
            <w:tcW w:type="dxa" w:w="994"/>
            <w:shd w:val="clear" w:color="auto" w:fill="F1F3F7"/>
          </w:tcPr>
          <w:p>
            <w:r/>
            <w:r>
              <w:rPr>
                <w:b w:val="0"/>
                <w:i w:val="0"/>
                <w:sz w:val="15"/>
              </w:rPr>
              <w:t>7955 JP</w:t>
            </w:r>
          </w:p>
        </w:tc>
        <w:tc>
          <w:tcPr>
            <w:tcW w:type="dxa" w:w="765"/>
            <w:shd w:val="clear" w:color="auto" w:fill="F1F3F7"/>
          </w:tcPr>
          <w:p>
            <w:r/>
            <w:r>
              <w:rPr>
                <w:b w:val="0"/>
                <w:i w:val="0"/>
                <w:sz w:val="15"/>
              </w:rPr>
              <w:t>TSE</w:t>
            </w:r>
          </w:p>
        </w:tc>
        <w:tc>
          <w:tcPr>
            <w:tcW w:type="dxa" w:w="765"/>
            <w:shd w:val="clear" w:color="auto" w:fill="F1F3F7"/>
          </w:tcPr>
          <w:p>
            <w:r/>
            <w:r>
              <w:rPr>
                <w:b w:val="0"/>
                <w:i w:val="0"/>
                <w:sz w:val="15"/>
              </w:rPr>
              <w:t>0.2</w:t>
            </w:r>
          </w:p>
        </w:tc>
        <w:tc>
          <w:tcPr>
            <w:tcW w:type="dxa" w:w="688"/>
            <w:shd w:val="clear" w:color="auto" w:fill="F1F3F7"/>
          </w:tcPr>
          <w:p>
            <w:r/>
            <w:r>
              <w:rPr>
                <w:b w:val="0"/>
                <w:i w:val="0"/>
                <w:sz w:val="15"/>
              </w:rPr>
              <w:t>~0.15x</w:t>
            </w:r>
          </w:p>
        </w:tc>
        <w:tc>
          <w:tcPr>
            <w:tcW w:type="dxa" w:w="765"/>
            <w:shd w:val="clear" w:color="auto" w:fill="F1F3F7"/>
          </w:tcPr>
          <w:p>
            <w:r/>
            <w:r>
              <w:rPr>
                <w:b w:val="0"/>
                <w:i w:val="0"/>
                <w:sz w:val="15"/>
              </w:rPr>
              <w:t>n/a</w:t>
            </w:r>
          </w:p>
        </w:tc>
        <w:tc>
          <w:tcPr>
            <w:tcW w:type="dxa" w:w="765"/>
            <w:shd w:val="clear" w:color="auto" w:fill="F1F3F7"/>
          </w:tcPr>
          <w:p>
            <w:r/>
            <w:r>
              <w:rPr>
                <w:b w:val="0"/>
                <w:i w:val="0"/>
                <w:sz w:val="15"/>
              </w:rPr>
              <w:t>n/a</w:t>
            </w:r>
          </w:p>
        </w:tc>
        <w:tc>
          <w:tcPr>
            <w:tcW w:type="dxa" w:w="765"/>
            <w:shd w:val="clear" w:color="auto" w:fill="F1F3F7"/>
          </w:tcPr>
          <w:p>
            <w:r/>
            <w:r>
              <w:rPr>
                <w:b w:val="0"/>
                <w:i w:val="0"/>
                <w:sz w:val="15"/>
              </w:rPr>
              <w:t>8.7x</w:t>
            </w:r>
          </w:p>
        </w:tc>
        <w:tc>
          <w:tcPr>
            <w:tcW w:type="dxa" w:w="688"/>
            <w:shd w:val="clear" w:color="auto" w:fill="F1F3F7"/>
          </w:tcPr>
          <w:p>
            <w:r/>
            <w:r>
              <w:rPr>
                <w:b w:val="0"/>
                <w:i w:val="0"/>
                <w:sz w:val="15"/>
              </w:rPr>
              <w:t>n/a</w:t>
            </w:r>
          </w:p>
        </w:tc>
        <w:tc>
          <w:tcPr>
            <w:tcW w:type="dxa" w:w="688"/>
            <w:shd w:val="clear" w:color="auto" w:fill="F1F3F7"/>
          </w:tcPr>
          <w:p>
            <w:r/>
            <w:r>
              <w:rPr>
                <w:b w:val="0"/>
                <w:i w:val="0"/>
                <w:sz w:val="15"/>
              </w:rPr>
              <w:t>2.9%</w:t>
            </w:r>
          </w:p>
        </w:tc>
        <w:tc>
          <w:tcPr>
            <w:tcW w:type="dxa" w:w="612"/>
            <w:shd w:val="clear" w:color="auto" w:fill="F1F3F7"/>
          </w:tcPr>
          <w:p>
            <w:r/>
            <w:r>
              <w:rPr>
                <w:b w:val="0"/>
                <w:i w:val="0"/>
                <w:sz w:val="15"/>
              </w:rPr>
              <w:t>n/a</w:t>
            </w:r>
          </w:p>
        </w:tc>
        <w:tc>
          <w:tcPr>
            <w:tcW w:type="dxa" w:w="688"/>
            <w:shd w:val="clear" w:color="auto" w:fill="F1F3F7"/>
          </w:tcPr>
          <w:p>
            <w:r/>
            <w:r>
              <w:rPr>
                <w:b w:val="0"/>
                <w:i w:val="0"/>
                <w:sz w:val="15"/>
              </w:rPr>
              <w:t>net cash</w:t>
            </w:r>
          </w:p>
        </w:tc>
      </w:tr>
      <w:tr>
        <w:tc>
          <w:tcPr>
            <w:tcW w:type="dxa" w:w="1682"/>
          </w:tcPr>
          <w:p>
            <w:r/>
            <w:r>
              <w:rPr>
                <w:b w:val="0"/>
                <w:i w:val="0"/>
                <w:sz w:val="15"/>
              </w:rPr>
              <w:t>Rinnai</w:t>
            </w:r>
          </w:p>
        </w:tc>
        <w:tc>
          <w:tcPr>
            <w:tcW w:type="dxa" w:w="994"/>
          </w:tcPr>
          <w:p>
            <w:r/>
            <w:r>
              <w:rPr>
                <w:b w:val="0"/>
                <w:i w:val="0"/>
                <w:sz w:val="15"/>
              </w:rPr>
              <w:t>5947 JP</w:t>
            </w:r>
          </w:p>
        </w:tc>
        <w:tc>
          <w:tcPr>
            <w:tcW w:type="dxa" w:w="765"/>
          </w:tcPr>
          <w:p>
            <w:r/>
            <w:r>
              <w:rPr>
                <w:b w:val="0"/>
                <w:i w:val="0"/>
                <w:sz w:val="15"/>
              </w:rPr>
              <w:t>TSE</w:t>
            </w:r>
          </w:p>
        </w:tc>
        <w:tc>
          <w:tcPr>
            <w:tcW w:type="dxa" w:w="765"/>
          </w:tcPr>
          <w:p>
            <w:r/>
            <w:r>
              <w:rPr>
                <w:b w:val="0"/>
                <w:i w:val="0"/>
                <w:sz w:val="15"/>
              </w:rPr>
              <w:t>3.4</w:t>
            </w:r>
          </w:p>
        </w:tc>
        <w:tc>
          <w:tcPr>
            <w:tcW w:type="dxa" w:w="688"/>
          </w:tcPr>
          <w:p>
            <w:r/>
            <w:r>
              <w:rPr>
                <w:b w:val="0"/>
                <w:i w:val="0"/>
                <w:sz w:val="15"/>
              </w:rPr>
              <w:t>0.75x</w:t>
            </w:r>
          </w:p>
        </w:tc>
        <w:tc>
          <w:tcPr>
            <w:tcW w:type="dxa" w:w="765"/>
          </w:tcPr>
          <w:p>
            <w:r/>
            <w:r>
              <w:rPr>
                <w:b w:val="0"/>
                <w:i w:val="0"/>
                <w:sz w:val="15"/>
              </w:rPr>
              <w:t>5.3x</w:t>
            </w:r>
          </w:p>
        </w:tc>
        <w:tc>
          <w:tcPr>
            <w:tcW w:type="dxa" w:w="765"/>
          </w:tcPr>
          <w:p>
            <w:r/>
            <w:r>
              <w:rPr>
                <w:b w:val="0"/>
                <w:i w:val="0"/>
                <w:sz w:val="15"/>
              </w:rPr>
              <w:t>~7x</w:t>
            </w:r>
          </w:p>
        </w:tc>
        <w:tc>
          <w:tcPr>
            <w:tcW w:type="dxa" w:w="765"/>
          </w:tcPr>
          <w:p>
            <w:r/>
            <w:r>
              <w:rPr>
                <w:b w:val="0"/>
                <w:i w:val="0"/>
                <w:sz w:val="15"/>
              </w:rPr>
              <w:t>13.6x</w:t>
            </w:r>
          </w:p>
        </w:tc>
        <w:tc>
          <w:tcPr>
            <w:tcW w:type="dxa" w:w="688"/>
          </w:tcPr>
          <w:p>
            <w:r/>
            <w:r>
              <w:rPr>
                <w:b w:val="0"/>
                <w:i w:val="0"/>
                <w:sz w:val="15"/>
              </w:rPr>
              <w:t>14.1%</w:t>
            </w:r>
          </w:p>
        </w:tc>
        <w:tc>
          <w:tcPr>
            <w:tcW w:type="dxa" w:w="688"/>
          </w:tcPr>
          <w:p>
            <w:r/>
            <w:r>
              <w:rPr>
                <w:b w:val="0"/>
                <w:i w:val="0"/>
                <w:sz w:val="15"/>
              </w:rPr>
              <w:t>10.7%</w:t>
            </w:r>
          </w:p>
        </w:tc>
        <w:tc>
          <w:tcPr>
            <w:tcW w:type="dxa" w:w="612"/>
          </w:tcPr>
          <w:p>
            <w:r/>
            <w:r>
              <w:rPr>
                <w:b w:val="0"/>
                <w:i w:val="0"/>
                <w:sz w:val="15"/>
              </w:rPr>
              <w:t>n/a</w:t>
            </w:r>
          </w:p>
        </w:tc>
        <w:tc>
          <w:tcPr>
            <w:tcW w:type="dxa" w:w="688"/>
          </w:tcPr>
          <w:p>
            <w:r/>
            <w:r>
              <w:rPr>
                <w:b w:val="0"/>
                <w:i w:val="0"/>
                <w:sz w:val="15"/>
              </w:rPr>
              <w:t>net cash</w:t>
            </w:r>
          </w:p>
        </w:tc>
      </w:tr>
      <w:tr>
        <w:tc>
          <w:tcPr>
            <w:tcW w:type="dxa" w:w="1682"/>
            <w:shd w:val="clear" w:color="auto" w:fill="F1F3F7"/>
          </w:tcPr>
          <w:p>
            <w:r/>
            <w:r>
              <w:rPr>
                <w:b w:val="0"/>
                <w:i w:val="0"/>
                <w:sz w:val="15"/>
              </w:rPr>
              <w:t>Geberit</w:t>
            </w:r>
          </w:p>
        </w:tc>
        <w:tc>
          <w:tcPr>
            <w:tcW w:type="dxa" w:w="994"/>
            <w:shd w:val="clear" w:color="auto" w:fill="F1F3F7"/>
          </w:tcPr>
          <w:p>
            <w:r/>
            <w:r>
              <w:rPr>
                <w:b w:val="0"/>
                <w:i w:val="0"/>
                <w:sz w:val="15"/>
              </w:rPr>
              <w:t>GEBN SW</w:t>
            </w:r>
          </w:p>
        </w:tc>
        <w:tc>
          <w:tcPr>
            <w:tcW w:type="dxa" w:w="765"/>
            <w:shd w:val="clear" w:color="auto" w:fill="F1F3F7"/>
          </w:tcPr>
          <w:p>
            <w:r/>
            <w:r>
              <w:rPr>
                <w:b w:val="0"/>
                <w:i w:val="0"/>
                <w:sz w:val="15"/>
              </w:rPr>
              <w:t>SIX</w:t>
            </w:r>
          </w:p>
        </w:tc>
        <w:tc>
          <w:tcPr>
            <w:tcW w:type="dxa" w:w="765"/>
            <w:shd w:val="clear" w:color="auto" w:fill="F1F3F7"/>
          </w:tcPr>
          <w:p>
            <w:r/>
            <w:r>
              <w:rPr>
                <w:b w:val="0"/>
                <w:i w:val="0"/>
                <w:sz w:val="15"/>
              </w:rPr>
              <w:t>23</w:t>
            </w:r>
          </w:p>
        </w:tc>
        <w:tc>
          <w:tcPr>
            <w:tcW w:type="dxa" w:w="688"/>
            <w:shd w:val="clear" w:color="auto" w:fill="F1F3F7"/>
          </w:tcPr>
          <w:p>
            <w:r/>
            <w:r>
              <w:rPr>
                <w:b w:val="0"/>
                <w:i w:val="0"/>
                <w:sz w:val="15"/>
              </w:rPr>
              <w:t>6.9x</w:t>
            </w:r>
          </w:p>
        </w:tc>
        <w:tc>
          <w:tcPr>
            <w:tcW w:type="dxa" w:w="765"/>
            <w:shd w:val="clear" w:color="auto" w:fill="F1F3F7"/>
          </w:tcPr>
          <w:p>
            <w:r/>
            <w:r>
              <w:rPr>
                <w:b w:val="0"/>
                <w:i w:val="0"/>
                <w:sz w:val="15"/>
              </w:rPr>
              <w:t>23.5x</w:t>
            </w:r>
          </w:p>
        </w:tc>
        <w:tc>
          <w:tcPr>
            <w:tcW w:type="dxa" w:w="765"/>
            <w:shd w:val="clear" w:color="auto" w:fill="F1F3F7"/>
          </w:tcPr>
          <w:p>
            <w:r/>
            <w:r>
              <w:rPr>
                <w:b w:val="0"/>
                <w:i w:val="0"/>
                <w:sz w:val="15"/>
              </w:rPr>
              <w:t>~29x</w:t>
            </w:r>
          </w:p>
        </w:tc>
        <w:tc>
          <w:tcPr>
            <w:tcW w:type="dxa" w:w="765"/>
            <w:shd w:val="clear" w:color="auto" w:fill="F1F3F7"/>
          </w:tcPr>
          <w:p>
            <w:r/>
            <w:r>
              <w:rPr>
                <w:b w:val="0"/>
                <w:i w:val="0"/>
                <w:sz w:val="15"/>
              </w:rPr>
              <w:t>29.8x</w:t>
            </w:r>
          </w:p>
        </w:tc>
        <w:tc>
          <w:tcPr>
            <w:tcW w:type="dxa" w:w="688"/>
            <w:shd w:val="clear" w:color="auto" w:fill="F1F3F7"/>
          </w:tcPr>
          <w:p>
            <w:r/>
            <w:r>
              <w:rPr>
                <w:b w:val="0"/>
                <w:i w:val="0"/>
                <w:sz w:val="15"/>
              </w:rPr>
              <w:t>29.4%</w:t>
            </w:r>
          </w:p>
        </w:tc>
        <w:tc>
          <w:tcPr>
            <w:tcW w:type="dxa" w:w="688"/>
            <w:shd w:val="clear" w:color="auto" w:fill="F1F3F7"/>
          </w:tcPr>
          <w:p>
            <w:r/>
            <w:r>
              <w:rPr>
                <w:b w:val="0"/>
                <w:i w:val="0"/>
                <w:sz w:val="15"/>
              </w:rPr>
              <w:t>~24%</w:t>
            </w:r>
          </w:p>
        </w:tc>
        <w:tc>
          <w:tcPr>
            <w:tcW w:type="dxa" w:w="612"/>
            <w:shd w:val="clear" w:color="auto" w:fill="F1F3F7"/>
          </w:tcPr>
          <w:p>
            <w:r/>
            <w:r>
              <w:rPr>
                <w:b w:val="0"/>
                <w:i w:val="0"/>
                <w:sz w:val="15"/>
              </w:rPr>
              <w:t>+2.5%</w:t>
            </w:r>
          </w:p>
        </w:tc>
        <w:tc>
          <w:tcPr>
            <w:tcW w:type="dxa" w:w="688"/>
            <w:shd w:val="clear" w:color="auto" w:fill="F1F3F7"/>
          </w:tcPr>
          <w:p>
            <w:r/>
            <w:r>
              <w:rPr>
                <w:b w:val="0"/>
                <w:i w:val="0"/>
                <w:sz w:val="15"/>
              </w:rPr>
              <w:t>~1.0x</w:t>
            </w:r>
          </w:p>
        </w:tc>
      </w:tr>
      <w:tr>
        <w:tc>
          <w:tcPr>
            <w:tcW w:type="dxa" w:w="1682"/>
          </w:tcPr>
          <w:p>
            <w:r/>
            <w:r>
              <w:rPr>
                <w:b w:val="0"/>
                <w:i w:val="0"/>
                <w:sz w:val="15"/>
              </w:rPr>
              <w:t>Masco</w:t>
            </w:r>
          </w:p>
        </w:tc>
        <w:tc>
          <w:tcPr>
            <w:tcW w:type="dxa" w:w="994"/>
          </w:tcPr>
          <w:p>
            <w:r/>
            <w:r>
              <w:rPr>
                <w:b w:val="0"/>
                <w:i w:val="0"/>
                <w:sz w:val="15"/>
              </w:rPr>
              <w:t>MAS US</w:t>
            </w:r>
          </w:p>
        </w:tc>
        <w:tc>
          <w:tcPr>
            <w:tcW w:type="dxa" w:w="765"/>
          </w:tcPr>
          <w:p>
            <w:r/>
            <w:r>
              <w:rPr>
                <w:b w:val="0"/>
                <w:i w:val="0"/>
                <w:sz w:val="15"/>
              </w:rPr>
              <w:t>NYSE</w:t>
            </w:r>
          </w:p>
        </w:tc>
        <w:tc>
          <w:tcPr>
            <w:tcW w:type="dxa" w:w="765"/>
          </w:tcPr>
          <w:p>
            <w:r/>
            <w:r>
              <w:rPr>
                <w:b w:val="0"/>
                <w:i w:val="0"/>
                <w:sz w:val="15"/>
              </w:rPr>
              <w:t>13.4</w:t>
            </w:r>
          </w:p>
        </w:tc>
        <w:tc>
          <w:tcPr>
            <w:tcW w:type="dxa" w:w="688"/>
          </w:tcPr>
          <w:p>
            <w:r/>
            <w:r>
              <w:rPr>
                <w:b w:val="0"/>
                <w:i w:val="0"/>
                <w:sz w:val="15"/>
              </w:rPr>
              <w:t>2.1x</w:t>
            </w:r>
          </w:p>
        </w:tc>
        <w:tc>
          <w:tcPr>
            <w:tcW w:type="dxa" w:w="765"/>
          </w:tcPr>
          <w:p>
            <w:r/>
            <w:r>
              <w:rPr>
                <w:b w:val="0"/>
                <w:i w:val="0"/>
                <w:sz w:val="15"/>
              </w:rPr>
              <w:t>11.6x</w:t>
            </w:r>
          </w:p>
        </w:tc>
        <w:tc>
          <w:tcPr>
            <w:tcW w:type="dxa" w:w="765"/>
          </w:tcPr>
          <w:p>
            <w:r/>
            <w:r>
              <w:rPr>
                <w:b w:val="0"/>
                <w:i w:val="0"/>
                <w:sz w:val="15"/>
              </w:rPr>
              <w:t>~12.5x</w:t>
            </w:r>
          </w:p>
        </w:tc>
        <w:tc>
          <w:tcPr>
            <w:tcW w:type="dxa" w:w="765"/>
          </w:tcPr>
          <w:p>
            <w:r/>
            <w:r>
              <w:rPr>
                <w:b w:val="0"/>
                <w:i w:val="0"/>
                <w:sz w:val="15"/>
              </w:rPr>
              <w:t>14.6x</w:t>
            </w:r>
          </w:p>
        </w:tc>
        <w:tc>
          <w:tcPr>
            <w:tcW w:type="dxa" w:w="688"/>
          </w:tcPr>
          <w:p>
            <w:r/>
            <w:r>
              <w:rPr>
                <w:b w:val="0"/>
                <w:i w:val="0"/>
                <w:sz w:val="15"/>
              </w:rPr>
              <w:t>~19%</w:t>
            </w:r>
          </w:p>
        </w:tc>
        <w:tc>
          <w:tcPr>
            <w:tcW w:type="dxa" w:w="688"/>
          </w:tcPr>
          <w:p>
            <w:r/>
            <w:r>
              <w:rPr>
                <w:b w:val="0"/>
                <w:i w:val="0"/>
                <w:sz w:val="15"/>
              </w:rPr>
              <w:t>16.8%</w:t>
            </w:r>
          </w:p>
        </w:tc>
        <w:tc>
          <w:tcPr>
            <w:tcW w:type="dxa" w:w="612"/>
          </w:tcPr>
          <w:p>
            <w:r/>
            <w:r>
              <w:rPr>
                <w:b w:val="0"/>
                <w:i w:val="0"/>
                <w:sz w:val="15"/>
              </w:rPr>
              <w:t>-3%</w:t>
            </w:r>
          </w:p>
        </w:tc>
        <w:tc>
          <w:tcPr>
            <w:tcW w:type="dxa" w:w="688"/>
          </w:tcPr>
          <w:p>
            <w:r/>
            <w:r>
              <w:rPr>
                <w:b w:val="0"/>
                <w:i w:val="0"/>
                <w:sz w:val="15"/>
              </w:rPr>
              <w:t>~1.9x</w:t>
            </w:r>
          </w:p>
        </w:tc>
      </w:tr>
      <w:tr>
        <w:tc>
          <w:tcPr>
            <w:tcW w:type="dxa" w:w="1682"/>
            <w:shd w:val="clear" w:color="auto" w:fill="F1F3F7"/>
          </w:tcPr>
          <w:p>
            <w:r/>
            <w:r>
              <w:rPr>
                <w:b w:val="0"/>
                <w:i w:val="0"/>
                <w:sz w:val="15"/>
              </w:rPr>
              <w:t>Fortune Brands Innov.</w:t>
            </w:r>
          </w:p>
        </w:tc>
        <w:tc>
          <w:tcPr>
            <w:tcW w:type="dxa" w:w="994"/>
            <w:shd w:val="clear" w:color="auto" w:fill="F1F3F7"/>
          </w:tcPr>
          <w:p>
            <w:r/>
            <w:r>
              <w:rPr>
                <w:b w:val="0"/>
                <w:i w:val="0"/>
                <w:sz w:val="15"/>
              </w:rPr>
              <w:t>FBIN US</w:t>
            </w:r>
          </w:p>
        </w:tc>
        <w:tc>
          <w:tcPr>
            <w:tcW w:type="dxa" w:w="765"/>
            <w:shd w:val="clear" w:color="auto" w:fill="F1F3F7"/>
          </w:tcPr>
          <w:p>
            <w:r/>
            <w:r>
              <w:rPr>
                <w:b w:val="0"/>
                <w:i w:val="0"/>
                <w:sz w:val="15"/>
              </w:rPr>
              <w:t>NYSE</w:t>
            </w:r>
          </w:p>
        </w:tc>
        <w:tc>
          <w:tcPr>
            <w:tcW w:type="dxa" w:w="765"/>
            <w:shd w:val="clear" w:color="auto" w:fill="F1F3F7"/>
          </w:tcPr>
          <w:p>
            <w:r/>
            <w:r>
              <w:rPr>
                <w:b w:val="0"/>
                <w:i w:val="0"/>
                <w:sz w:val="15"/>
              </w:rPr>
              <w:t>4.9</w:t>
            </w:r>
          </w:p>
        </w:tc>
        <w:tc>
          <w:tcPr>
            <w:tcW w:type="dxa" w:w="688"/>
            <w:shd w:val="clear" w:color="auto" w:fill="F1F3F7"/>
          </w:tcPr>
          <w:p>
            <w:r/>
            <w:r>
              <w:rPr>
                <w:b w:val="0"/>
                <w:i w:val="0"/>
                <w:sz w:val="15"/>
              </w:rPr>
              <w:t>1.71x</w:t>
            </w:r>
          </w:p>
        </w:tc>
        <w:tc>
          <w:tcPr>
            <w:tcW w:type="dxa" w:w="765"/>
            <w:shd w:val="clear" w:color="auto" w:fill="F1F3F7"/>
          </w:tcPr>
          <w:p>
            <w:r/>
            <w:r>
              <w:rPr>
                <w:b w:val="0"/>
                <w:i w:val="0"/>
                <w:sz w:val="15"/>
              </w:rPr>
              <w:t>16.2x</w:t>
            </w:r>
          </w:p>
        </w:tc>
        <w:tc>
          <w:tcPr>
            <w:tcW w:type="dxa" w:w="765"/>
            <w:shd w:val="clear" w:color="auto" w:fill="F1F3F7"/>
          </w:tcPr>
          <w:p>
            <w:r/>
            <w:r>
              <w:rPr>
                <w:b w:val="0"/>
                <w:i w:val="0"/>
                <w:sz w:val="15"/>
              </w:rPr>
              <w:t>10.9x adj</w:t>
            </w:r>
          </w:p>
        </w:tc>
        <w:tc>
          <w:tcPr>
            <w:tcW w:type="dxa" w:w="765"/>
            <w:shd w:val="clear" w:color="auto" w:fill="F1F3F7"/>
          </w:tcPr>
          <w:p>
            <w:r/>
            <w:r>
              <w:rPr>
                <w:b w:val="0"/>
                <w:i w:val="0"/>
                <w:sz w:val="15"/>
              </w:rPr>
              <w:t>12.7x</w:t>
            </w:r>
          </w:p>
        </w:tc>
        <w:tc>
          <w:tcPr>
            <w:tcW w:type="dxa" w:w="688"/>
            <w:shd w:val="clear" w:color="auto" w:fill="F1F3F7"/>
          </w:tcPr>
          <w:p>
            <w:r/>
            <w:r>
              <w:rPr>
                <w:b w:val="0"/>
                <w:i w:val="0"/>
                <w:sz w:val="15"/>
              </w:rPr>
              <w:t>~19%</w:t>
            </w:r>
          </w:p>
        </w:tc>
        <w:tc>
          <w:tcPr>
            <w:tcW w:type="dxa" w:w="688"/>
            <w:shd w:val="clear" w:color="auto" w:fill="F1F3F7"/>
          </w:tcPr>
          <w:p>
            <w:r/>
            <w:r>
              <w:rPr>
                <w:b w:val="0"/>
                <w:i w:val="0"/>
                <w:sz w:val="15"/>
              </w:rPr>
              <w:t>15.7% adj</w:t>
            </w:r>
          </w:p>
        </w:tc>
        <w:tc>
          <w:tcPr>
            <w:tcW w:type="dxa" w:w="612"/>
            <w:shd w:val="clear" w:color="auto" w:fill="F1F3F7"/>
          </w:tcPr>
          <w:p>
            <w:r/>
            <w:r>
              <w:rPr>
                <w:b w:val="0"/>
                <w:i w:val="0"/>
                <w:sz w:val="15"/>
              </w:rPr>
              <w:t>-3.2%</w:t>
            </w:r>
          </w:p>
        </w:tc>
        <w:tc>
          <w:tcPr>
            <w:tcW w:type="dxa" w:w="688"/>
            <w:shd w:val="clear" w:color="auto" w:fill="F1F3F7"/>
          </w:tcPr>
          <w:p>
            <w:r/>
            <w:r>
              <w:rPr>
                <w:b w:val="0"/>
                <w:i w:val="0"/>
                <w:sz w:val="15"/>
              </w:rPr>
              <w:t>2.9x</w:t>
            </w:r>
          </w:p>
        </w:tc>
      </w:tr>
      <w:tr>
        <w:tc>
          <w:tcPr>
            <w:tcW w:type="dxa" w:w="1682"/>
          </w:tcPr>
          <w:p>
            <w:r/>
            <w:r>
              <w:rPr>
                <w:b w:val="0"/>
                <w:i w:val="0"/>
                <w:sz w:val="15"/>
              </w:rPr>
              <w:t>Villeroy &amp; Boch</w:t>
            </w:r>
          </w:p>
        </w:tc>
        <w:tc>
          <w:tcPr>
            <w:tcW w:type="dxa" w:w="994"/>
          </w:tcPr>
          <w:p>
            <w:r/>
            <w:r>
              <w:rPr>
                <w:b w:val="0"/>
                <w:i w:val="0"/>
                <w:sz w:val="15"/>
              </w:rPr>
              <w:t>VIB3 GY</w:t>
            </w:r>
          </w:p>
        </w:tc>
        <w:tc>
          <w:tcPr>
            <w:tcW w:type="dxa" w:w="765"/>
          </w:tcPr>
          <w:p>
            <w:r/>
            <w:r>
              <w:rPr>
                <w:b w:val="0"/>
                <w:i w:val="0"/>
                <w:sz w:val="15"/>
              </w:rPr>
              <w:t>XETRA</w:t>
            </w:r>
          </w:p>
        </w:tc>
        <w:tc>
          <w:tcPr>
            <w:tcW w:type="dxa" w:w="765"/>
          </w:tcPr>
          <w:p>
            <w:r/>
            <w:r>
              <w:rPr>
                <w:b w:val="0"/>
                <w:i w:val="0"/>
                <w:sz w:val="15"/>
              </w:rPr>
              <w:t>0.6</w:t>
            </w:r>
          </w:p>
        </w:tc>
        <w:tc>
          <w:tcPr>
            <w:tcW w:type="dxa" w:w="688"/>
          </w:tcPr>
          <w:p>
            <w:r/>
            <w:r>
              <w:rPr>
                <w:b w:val="0"/>
                <w:i w:val="0"/>
                <w:sz w:val="15"/>
              </w:rPr>
              <w:t>0.47x</w:t>
            </w:r>
          </w:p>
        </w:tc>
        <w:tc>
          <w:tcPr>
            <w:tcW w:type="dxa" w:w="765"/>
          </w:tcPr>
          <w:p>
            <w:r/>
            <w:r>
              <w:rPr>
                <w:b w:val="0"/>
                <w:i w:val="0"/>
                <w:sz w:val="15"/>
              </w:rPr>
              <w:t>4.4x</w:t>
            </w:r>
          </w:p>
        </w:tc>
        <w:tc>
          <w:tcPr>
            <w:tcW w:type="dxa" w:w="765"/>
          </w:tcPr>
          <w:p>
            <w:r/>
            <w:r>
              <w:rPr>
                <w:b w:val="0"/>
                <w:i w:val="0"/>
                <w:sz w:val="15"/>
              </w:rPr>
              <w:t>~7x</w:t>
            </w:r>
          </w:p>
        </w:tc>
        <w:tc>
          <w:tcPr>
            <w:tcW w:type="dxa" w:w="765"/>
          </w:tcPr>
          <w:p>
            <w:r/>
            <w:r>
              <w:rPr>
                <w:b w:val="0"/>
                <w:i w:val="0"/>
                <w:sz w:val="15"/>
              </w:rPr>
              <w:t>n/m</w:t>
            </w:r>
          </w:p>
        </w:tc>
        <w:tc>
          <w:tcPr>
            <w:tcW w:type="dxa" w:w="688"/>
          </w:tcPr>
          <w:p>
            <w:r/>
            <w:r>
              <w:rPr>
                <w:b w:val="0"/>
                <w:i w:val="0"/>
                <w:sz w:val="15"/>
              </w:rPr>
              <w:t>~11%</w:t>
            </w:r>
          </w:p>
        </w:tc>
        <w:tc>
          <w:tcPr>
            <w:tcW w:type="dxa" w:w="688"/>
          </w:tcPr>
          <w:p>
            <w:r/>
            <w:r>
              <w:rPr>
                <w:b w:val="0"/>
                <w:i w:val="0"/>
                <w:sz w:val="15"/>
              </w:rPr>
              <w:t>6.8%</w:t>
            </w:r>
          </w:p>
        </w:tc>
        <w:tc>
          <w:tcPr>
            <w:tcW w:type="dxa" w:w="612"/>
          </w:tcPr>
          <w:p>
            <w:r/>
            <w:r>
              <w:rPr>
                <w:b w:val="0"/>
                <w:i w:val="0"/>
                <w:sz w:val="15"/>
              </w:rPr>
              <w:t>+1.8%</w:t>
            </w:r>
          </w:p>
        </w:tc>
        <w:tc>
          <w:tcPr>
            <w:tcW w:type="dxa" w:w="688"/>
          </w:tcPr>
          <w:p>
            <w:r/>
            <w:r>
              <w:rPr>
                <w:b w:val="0"/>
                <w:i w:val="0"/>
                <w:sz w:val="15"/>
              </w:rPr>
              <w:t>~1x</w:t>
            </w:r>
          </w:p>
        </w:tc>
      </w:tr>
      <w:tr>
        <w:tc>
          <w:tcPr>
            <w:tcW w:type="dxa" w:w="1682"/>
            <w:shd w:val="clear" w:color="auto" w:fill="F1F3F7"/>
          </w:tcPr>
          <w:p>
            <w:r/>
            <w:r>
              <w:rPr>
                <w:b w:val="0"/>
                <w:i w:val="0"/>
                <w:sz w:val="15"/>
              </w:rPr>
              <w:t>Arrow Home</w:t>
            </w:r>
          </w:p>
        </w:tc>
        <w:tc>
          <w:tcPr>
            <w:tcW w:type="dxa" w:w="994"/>
            <w:shd w:val="clear" w:color="auto" w:fill="F1F3F7"/>
          </w:tcPr>
          <w:p>
            <w:r/>
            <w:r>
              <w:rPr>
                <w:b w:val="0"/>
                <w:i w:val="0"/>
                <w:sz w:val="15"/>
              </w:rPr>
              <w:t>001322 CH</w:t>
            </w:r>
          </w:p>
        </w:tc>
        <w:tc>
          <w:tcPr>
            <w:tcW w:type="dxa" w:w="765"/>
            <w:shd w:val="clear" w:color="auto" w:fill="F1F3F7"/>
          </w:tcPr>
          <w:p>
            <w:r/>
            <w:r>
              <w:rPr>
                <w:b w:val="0"/>
                <w:i w:val="0"/>
                <w:sz w:val="15"/>
              </w:rPr>
              <w:t>SZSE</w:t>
            </w:r>
          </w:p>
        </w:tc>
        <w:tc>
          <w:tcPr>
            <w:tcW w:type="dxa" w:w="765"/>
            <w:shd w:val="clear" w:color="auto" w:fill="F1F3F7"/>
          </w:tcPr>
          <w:p>
            <w:r/>
            <w:r>
              <w:rPr>
                <w:b w:val="0"/>
                <w:i w:val="0"/>
                <w:sz w:val="15"/>
              </w:rPr>
              <w:t>0.9</w:t>
            </w:r>
          </w:p>
        </w:tc>
        <w:tc>
          <w:tcPr>
            <w:tcW w:type="dxa" w:w="688"/>
            <w:shd w:val="clear" w:color="auto" w:fill="F1F3F7"/>
          </w:tcPr>
          <w:p>
            <w:r/>
            <w:r>
              <w:rPr>
                <w:b w:val="0"/>
                <w:i w:val="0"/>
                <w:sz w:val="15"/>
              </w:rPr>
              <w:t>n/a</w:t>
            </w:r>
          </w:p>
        </w:tc>
        <w:tc>
          <w:tcPr>
            <w:tcW w:type="dxa" w:w="765"/>
            <w:shd w:val="clear" w:color="auto" w:fill="F1F3F7"/>
          </w:tcPr>
          <w:p>
            <w:r/>
            <w:r>
              <w:rPr>
                <w:b w:val="0"/>
                <w:i w:val="0"/>
                <w:sz w:val="15"/>
              </w:rPr>
              <w:t>n/a</w:t>
            </w:r>
          </w:p>
        </w:tc>
        <w:tc>
          <w:tcPr>
            <w:tcW w:type="dxa" w:w="765"/>
            <w:shd w:val="clear" w:color="auto" w:fill="F1F3F7"/>
          </w:tcPr>
          <w:p>
            <w:r/>
            <w:r>
              <w:rPr>
                <w:b w:val="0"/>
                <w:i w:val="0"/>
                <w:sz w:val="15"/>
              </w:rPr>
              <w:t>n/a</w:t>
            </w:r>
          </w:p>
        </w:tc>
        <w:tc>
          <w:tcPr>
            <w:tcW w:type="dxa" w:w="765"/>
            <w:shd w:val="clear" w:color="auto" w:fill="F1F3F7"/>
          </w:tcPr>
          <w:p>
            <w:r/>
            <w:r>
              <w:rPr>
                <w:b w:val="0"/>
                <w:i w:val="0"/>
                <w:sz w:val="15"/>
              </w:rPr>
              <w:t>~136x (t)</w:t>
            </w:r>
          </w:p>
        </w:tc>
        <w:tc>
          <w:tcPr>
            <w:tcW w:type="dxa" w:w="688"/>
            <w:shd w:val="clear" w:color="auto" w:fill="F1F3F7"/>
          </w:tcPr>
          <w:p>
            <w:r/>
            <w:r>
              <w:rPr>
                <w:b w:val="0"/>
                <w:i w:val="0"/>
                <w:sz w:val="15"/>
              </w:rPr>
              <w:t>n/a</w:t>
            </w:r>
          </w:p>
        </w:tc>
        <w:tc>
          <w:tcPr>
            <w:tcW w:type="dxa" w:w="688"/>
            <w:shd w:val="clear" w:color="auto" w:fill="F1F3F7"/>
          </w:tcPr>
          <w:p>
            <w:r/>
            <w:r>
              <w:rPr>
                <w:b w:val="0"/>
                <w:i w:val="0"/>
                <w:sz w:val="15"/>
              </w:rPr>
              <w:t>~1%</w:t>
            </w:r>
          </w:p>
        </w:tc>
        <w:tc>
          <w:tcPr>
            <w:tcW w:type="dxa" w:w="612"/>
            <w:shd w:val="clear" w:color="auto" w:fill="F1F3F7"/>
          </w:tcPr>
          <w:p>
            <w:r/>
            <w:r>
              <w:rPr>
                <w:b w:val="0"/>
                <w:i w:val="0"/>
                <w:sz w:val="15"/>
              </w:rPr>
              <w:t>-9.2%</w:t>
            </w:r>
          </w:p>
        </w:tc>
        <w:tc>
          <w:tcPr>
            <w:tcW w:type="dxa" w:w="688"/>
            <w:shd w:val="clear" w:color="auto" w:fill="F1F3F7"/>
          </w:tcPr>
          <w:p>
            <w:r/>
            <w:r>
              <w:rPr>
                <w:b w:val="0"/>
                <w:i w:val="0"/>
                <w:sz w:val="15"/>
              </w:rPr>
              <w:t>n/a</w:t>
            </w:r>
          </w:p>
        </w:tc>
      </w:tr>
      <w:tr>
        <w:tc>
          <w:tcPr>
            <w:tcW w:type="dxa" w:w="1682"/>
          </w:tcPr>
          <w:p>
            <w:r/>
            <w:r>
              <w:rPr>
                <w:b w:val="0"/>
                <w:i w:val="0"/>
                <w:sz w:val="15"/>
              </w:rPr>
              <w:t>Huida Sanitary</w:t>
            </w:r>
          </w:p>
        </w:tc>
        <w:tc>
          <w:tcPr>
            <w:tcW w:type="dxa" w:w="994"/>
          </w:tcPr>
          <w:p>
            <w:r/>
            <w:r>
              <w:rPr>
                <w:b w:val="0"/>
                <w:i w:val="0"/>
                <w:sz w:val="15"/>
              </w:rPr>
              <w:t>603385 CH</w:t>
            </w:r>
          </w:p>
        </w:tc>
        <w:tc>
          <w:tcPr>
            <w:tcW w:type="dxa" w:w="765"/>
          </w:tcPr>
          <w:p>
            <w:r/>
            <w:r>
              <w:rPr>
                <w:b w:val="0"/>
                <w:i w:val="0"/>
                <w:sz w:val="15"/>
              </w:rPr>
              <w:t>SSE</w:t>
            </w:r>
          </w:p>
        </w:tc>
        <w:tc>
          <w:tcPr>
            <w:tcW w:type="dxa" w:w="765"/>
          </w:tcPr>
          <w:p>
            <w:r/>
            <w:r>
              <w:rPr>
                <w:b w:val="0"/>
                <w:i w:val="0"/>
                <w:sz w:val="15"/>
              </w:rPr>
              <w:t>0.3</w:t>
            </w:r>
          </w:p>
        </w:tc>
        <w:tc>
          <w:tcPr>
            <w:tcW w:type="dxa" w:w="688"/>
          </w:tcPr>
          <w:p>
            <w:r/>
            <w:r>
              <w:rPr>
                <w:b w:val="0"/>
                <w:i w:val="0"/>
                <w:sz w:val="15"/>
              </w:rPr>
              <w:t>n/a</w:t>
            </w:r>
          </w:p>
        </w:tc>
        <w:tc>
          <w:tcPr>
            <w:tcW w:type="dxa" w:w="765"/>
          </w:tcPr>
          <w:p>
            <w:r/>
            <w:r>
              <w:rPr>
                <w:b w:val="0"/>
                <w:i w:val="0"/>
                <w:sz w:val="15"/>
              </w:rPr>
              <w:t>n/a</w:t>
            </w:r>
          </w:p>
        </w:tc>
        <w:tc>
          <w:tcPr>
            <w:tcW w:type="dxa" w:w="765"/>
          </w:tcPr>
          <w:p>
            <w:r/>
            <w:r>
              <w:rPr>
                <w:b w:val="0"/>
                <w:i w:val="0"/>
                <w:sz w:val="15"/>
              </w:rPr>
              <w:t>loss</w:t>
            </w:r>
          </w:p>
        </w:tc>
        <w:tc>
          <w:tcPr>
            <w:tcW w:type="dxa" w:w="765"/>
          </w:tcPr>
          <w:p>
            <w:r/>
            <w:r>
              <w:rPr>
                <w:b w:val="0"/>
                <w:i w:val="0"/>
                <w:sz w:val="15"/>
              </w:rPr>
              <w:t>n/m</w:t>
            </w:r>
          </w:p>
        </w:tc>
        <w:tc>
          <w:tcPr>
            <w:tcW w:type="dxa" w:w="688"/>
          </w:tcPr>
          <w:p>
            <w:r/>
            <w:r>
              <w:rPr>
                <w:b w:val="0"/>
                <w:i w:val="0"/>
                <w:sz w:val="15"/>
              </w:rPr>
              <w:t>n/a</w:t>
            </w:r>
          </w:p>
        </w:tc>
        <w:tc>
          <w:tcPr>
            <w:tcW w:type="dxa" w:w="688"/>
          </w:tcPr>
          <w:p>
            <w:r/>
            <w:r>
              <w:rPr>
                <w:b w:val="0"/>
                <w:i w:val="0"/>
                <w:sz w:val="15"/>
              </w:rPr>
              <w:t>-6.4%</w:t>
            </w:r>
          </w:p>
        </w:tc>
        <w:tc>
          <w:tcPr>
            <w:tcW w:type="dxa" w:w="612"/>
          </w:tcPr>
          <w:p>
            <w:r/>
            <w:r>
              <w:rPr>
                <w:b w:val="0"/>
                <w:i w:val="0"/>
                <w:sz w:val="15"/>
              </w:rPr>
              <w:t>-15%</w:t>
            </w:r>
          </w:p>
        </w:tc>
        <w:tc>
          <w:tcPr>
            <w:tcW w:type="dxa" w:w="688"/>
          </w:tcPr>
          <w:p>
            <w:r/>
            <w:r>
              <w:rPr>
                <w:b w:val="0"/>
                <w:i w:val="0"/>
                <w:sz w:val="15"/>
              </w:rPr>
              <w:t>n/a</w:t>
            </w:r>
          </w:p>
        </w:tc>
      </w:tr>
      <w:tr>
        <w:tc>
          <w:tcPr>
            <w:tcW w:type="dxa" w:w="1682"/>
            <w:shd w:val="clear" w:color="auto" w:fill="F1F3F7"/>
          </w:tcPr>
          <w:p>
            <w:r/>
            <w:r>
              <w:rPr>
                <w:b w:val="0"/>
                <w:i w:val="0"/>
                <w:sz w:val="15"/>
              </w:rPr>
              <w:t>NGK Insulators</w:t>
            </w:r>
          </w:p>
        </w:tc>
        <w:tc>
          <w:tcPr>
            <w:tcW w:type="dxa" w:w="994"/>
            <w:shd w:val="clear" w:color="auto" w:fill="F1F3F7"/>
          </w:tcPr>
          <w:p>
            <w:r/>
            <w:r>
              <w:rPr>
                <w:b w:val="0"/>
                <w:i w:val="0"/>
                <w:sz w:val="15"/>
              </w:rPr>
              <w:t>5333 JP</w:t>
            </w:r>
          </w:p>
        </w:tc>
        <w:tc>
          <w:tcPr>
            <w:tcW w:type="dxa" w:w="765"/>
            <w:shd w:val="clear" w:color="auto" w:fill="F1F3F7"/>
          </w:tcPr>
          <w:p>
            <w:r/>
            <w:r>
              <w:rPr>
                <w:b w:val="0"/>
                <w:i w:val="0"/>
                <w:sz w:val="15"/>
              </w:rPr>
              <w:t>TSE</w:t>
            </w:r>
          </w:p>
        </w:tc>
        <w:tc>
          <w:tcPr>
            <w:tcW w:type="dxa" w:w="765"/>
            <w:shd w:val="clear" w:color="auto" w:fill="F1F3F7"/>
          </w:tcPr>
          <w:p>
            <w:r/>
            <w:r>
              <w:rPr>
                <w:b w:val="0"/>
                <w:i w:val="0"/>
                <w:sz w:val="15"/>
              </w:rPr>
              <w:t>11</w:t>
            </w:r>
          </w:p>
        </w:tc>
        <w:tc>
          <w:tcPr>
            <w:tcW w:type="dxa" w:w="688"/>
            <w:shd w:val="clear" w:color="auto" w:fill="F1F3F7"/>
          </w:tcPr>
          <w:p>
            <w:r/>
            <w:r>
              <w:rPr>
                <w:b w:val="0"/>
                <w:i w:val="0"/>
                <w:sz w:val="15"/>
              </w:rPr>
              <w:t>~2.5x</w:t>
            </w:r>
          </w:p>
        </w:tc>
        <w:tc>
          <w:tcPr>
            <w:tcW w:type="dxa" w:w="765"/>
            <w:shd w:val="clear" w:color="auto" w:fill="F1F3F7"/>
          </w:tcPr>
          <w:p>
            <w:r/>
            <w:r>
              <w:rPr>
                <w:b w:val="0"/>
                <w:i w:val="0"/>
                <w:sz w:val="15"/>
              </w:rPr>
              <w:t>12.0x</w:t>
            </w:r>
          </w:p>
        </w:tc>
        <w:tc>
          <w:tcPr>
            <w:tcW w:type="dxa" w:w="765"/>
            <w:shd w:val="clear" w:color="auto" w:fill="F1F3F7"/>
          </w:tcPr>
          <w:p>
            <w:r/>
            <w:r>
              <w:rPr>
                <w:b w:val="0"/>
                <w:i w:val="0"/>
                <w:sz w:val="15"/>
              </w:rPr>
              <w:t>~17x</w:t>
            </w:r>
          </w:p>
        </w:tc>
        <w:tc>
          <w:tcPr>
            <w:tcW w:type="dxa" w:w="765"/>
            <w:shd w:val="clear" w:color="auto" w:fill="F1F3F7"/>
          </w:tcPr>
          <w:p>
            <w:r/>
            <w:r>
              <w:rPr>
                <w:b w:val="0"/>
                <w:i w:val="0"/>
                <w:sz w:val="15"/>
              </w:rPr>
              <w:t>22.3x</w:t>
            </w:r>
          </w:p>
        </w:tc>
        <w:tc>
          <w:tcPr>
            <w:tcW w:type="dxa" w:w="688"/>
            <w:shd w:val="clear" w:color="auto" w:fill="F1F3F7"/>
          </w:tcPr>
          <w:p>
            <w:r/>
            <w:r>
              <w:rPr>
                <w:b w:val="0"/>
                <w:i w:val="0"/>
                <w:sz w:val="15"/>
              </w:rPr>
              <w:t>~21%</w:t>
            </w:r>
          </w:p>
        </w:tc>
        <w:tc>
          <w:tcPr>
            <w:tcW w:type="dxa" w:w="688"/>
            <w:shd w:val="clear" w:color="auto" w:fill="F1F3F7"/>
          </w:tcPr>
          <w:p>
            <w:r/>
            <w:r>
              <w:rPr>
                <w:b w:val="0"/>
                <w:i w:val="0"/>
                <w:sz w:val="15"/>
              </w:rPr>
              <w:t>14.2%</w:t>
            </w:r>
          </w:p>
        </w:tc>
        <w:tc>
          <w:tcPr>
            <w:tcW w:type="dxa" w:w="612"/>
            <w:shd w:val="clear" w:color="auto" w:fill="F1F3F7"/>
          </w:tcPr>
          <w:p>
            <w:r/>
            <w:r>
              <w:rPr>
                <w:b w:val="0"/>
                <w:i w:val="0"/>
                <w:sz w:val="15"/>
              </w:rPr>
              <w:t>n/a</w:t>
            </w:r>
          </w:p>
        </w:tc>
        <w:tc>
          <w:tcPr>
            <w:tcW w:type="dxa" w:w="688"/>
            <w:shd w:val="clear" w:color="auto" w:fill="F1F3F7"/>
          </w:tcPr>
          <w:p>
            <w:r/>
            <w:r>
              <w:rPr>
                <w:b w:val="0"/>
                <w:i w:val="0"/>
                <w:sz w:val="15"/>
              </w:rPr>
              <w:t>low</w:t>
            </w:r>
          </w:p>
        </w:tc>
      </w:tr>
      <w:tr>
        <w:tc>
          <w:tcPr>
            <w:tcW w:type="dxa" w:w="1682"/>
          </w:tcPr>
          <w:p>
            <w:r/>
            <w:r>
              <w:rPr>
                <w:b w:val="0"/>
                <w:i w:val="0"/>
                <w:sz w:val="15"/>
              </w:rPr>
              <w:t>Kyocera</w:t>
            </w:r>
          </w:p>
        </w:tc>
        <w:tc>
          <w:tcPr>
            <w:tcW w:type="dxa" w:w="994"/>
          </w:tcPr>
          <w:p>
            <w:r/>
            <w:r>
              <w:rPr>
                <w:b w:val="0"/>
                <w:i w:val="0"/>
                <w:sz w:val="15"/>
              </w:rPr>
              <w:t>6971 JP</w:t>
            </w:r>
          </w:p>
        </w:tc>
        <w:tc>
          <w:tcPr>
            <w:tcW w:type="dxa" w:w="765"/>
          </w:tcPr>
          <w:p>
            <w:r/>
            <w:r>
              <w:rPr>
                <w:b w:val="0"/>
                <w:i w:val="0"/>
                <w:sz w:val="15"/>
              </w:rPr>
              <w:t>TSE</w:t>
            </w:r>
          </w:p>
        </w:tc>
        <w:tc>
          <w:tcPr>
            <w:tcW w:type="dxa" w:w="765"/>
          </w:tcPr>
          <w:p>
            <w:r/>
            <w:r>
              <w:rPr>
                <w:b w:val="0"/>
                <w:i w:val="0"/>
                <w:sz w:val="15"/>
              </w:rPr>
              <w:t>30–34</w:t>
            </w:r>
          </w:p>
        </w:tc>
        <w:tc>
          <w:tcPr>
            <w:tcW w:type="dxa" w:w="688"/>
          </w:tcPr>
          <w:p>
            <w:r/>
            <w:r>
              <w:rPr>
                <w:b w:val="0"/>
                <w:i w:val="0"/>
                <w:sz w:val="15"/>
              </w:rPr>
              <w:t>~1.1x</w:t>
            </w:r>
          </w:p>
        </w:tc>
        <w:tc>
          <w:tcPr>
            <w:tcW w:type="dxa" w:w="765"/>
          </w:tcPr>
          <w:p>
            <w:r/>
            <w:r>
              <w:rPr>
                <w:b w:val="0"/>
                <w:i w:val="0"/>
                <w:sz w:val="15"/>
              </w:rPr>
              <w:t>7.8x</w:t>
            </w:r>
          </w:p>
        </w:tc>
        <w:tc>
          <w:tcPr>
            <w:tcW w:type="dxa" w:w="765"/>
          </w:tcPr>
          <w:p>
            <w:r/>
            <w:r>
              <w:rPr>
                <w:b w:val="0"/>
                <w:i w:val="0"/>
                <w:sz w:val="15"/>
              </w:rPr>
              <w:t>~20x</w:t>
            </w:r>
          </w:p>
        </w:tc>
        <w:tc>
          <w:tcPr>
            <w:tcW w:type="dxa" w:w="765"/>
          </w:tcPr>
          <w:p>
            <w:r/>
            <w:r>
              <w:rPr>
                <w:b w:val="0"/>
                <w:i w:val="0"/>
                <w:sz w:val="15"/>
              </w:rPr>
              <w:t>16.7x</w:t>
            </w:r>
          </w:p>
        </w:tc>
        <w:tc>
          <w:tcPr>
            <w:tcW w:type="dxa" w:w="688"/>
          </w:tcPr>
          <w:p>
            <w:r/>
            <w:r>
              <w:rPr>
                <w:b w:val="0"/>
                <w:i w:val="0"/>
                <w:sz w:val="15"/>
              </w:rPr>
              <w:t>~13%</w:t>
            </w:r>
          </w:p>
        </w:tc>
        <w:tc>
          <w:tcPr>
            <w:tcW w:type="dxa" w:w="688"/>
          </w:tcPr>
          <w:p>
            <w:r/>
            <w:r>
              <w:rPr>
                <w:b w:val="0"/>
                <w:i w:val="0"/>
                <w:sz w:val="15"/>
              </w:rPr>
              <w:t>5.2%</w:t>
            </w:r>
          </w:p>
        </w:tc>
        <w:tc>
          <w:tcPr>
            <w:tcW w:type="dxa" w:w="612"/>
          </w:tcPr>
          <w:p>
            <w:r/>
            <w:r>
              <w:rPr>
                <w:b w:val="0"/>
                <w:i w:val="0"/>
                <w:sz w:val="15"/>
              </w:rPr>
              <w:t>+2.8%</w:t>
            </w:r>
          </w:p>
        </w:tc>
        <w:tc>
          <w:tcPr>
            <w:tcW w:type="dxa" w:w="688"/>
          </w:tcPr>
          <w:p>
            <w:r/>
            <w:r>
              <w:rPr>
                <w:b w:val="0"/>
                <w:i w:val="0"/>
                <w:sz w:val="15"/>
              </w:rPr>
              <w:t>net cash</w:t>
            </w:r>
          </w:p>
        </w:tc>
      </w:tr>
      <w:tr>
        <w:tc>
          <w:tcPr>
            <w:tcW w:type="dxa" w:w="1682"/>
            <w:shd w:val="clear" w:color="auto" w:fill="F1F3F7"/>
          </w:tcPr>
          <w:p>
            <w:r/>
            <w:r>
              <w:rPr>
                <w:b w:val="0"/>
                <w:i w:val="0"/>
                <w:sz w:val="15"/>
              </w:rPr>
              <w:t>Niterra</w:t>
            </w:r>
          </w:p>
        </w:tc>
        <w:tc>
          <w:tcPr>
            <w:tcW w:type="dxa" w:w="994"/>
            <w:shd w:val="clear" w:color="auto" w:fill="F1F3F7"/>
          </w:tcPr>
          <w:p>
            <w:r/>
            <w:r>
              <w:rPr>
                <w:b w:val="0"/>
                <w:i w:val="0"/>
                <w:sz w:val="15"/>
              </w:rPr>
              <w:t>5334 JP</w:t>
            </w:r>
          </w:p>
        </w:tc>
        <w:tc>
          <w:tcPr>
            <w:tcW w:type="dxa" w:w="765"/>
            <w:shd w:val="clear" w:color="auto" w:fill="F1F3F7"/>
          </w:tcPr>
          <w:p>
            <w:r/>
            <w:r>
              <w:rPr>
                <w:b w:val="0"/>
                <w:i w:val="0"/>
                <w:sz w:val="15"/>
              </w:rPr>
              <w:t>TSE</w:t>
            </w:r>
          </w:p>
        </w:tc>
        <w:tc>
          <w:tcPr>
            <w:tcW w:type="dxa" w:w="765"/>
            <w:shd w:val="clear" w:color="auto" w:fill="F1F3F7"/>
          </w:tcPr>
          <w:p>
            <w:r/>
            <w:r>
              <w:rPr>
                <w:b w:val="0"/>
                <w:i w:val="0"/>
                <w:sz w:val="15"/>
              </w:rPr>
              <w:t>12.5</w:t>
            </w:r>
          </w:p>
        </w:tc>
        <w:tc>
          <w:tcPr>
            <w:tcW w:type="dxa" w:w="688"/>
            <w:shd w:val="clear" w:color="auto" w:fill="F1F3F7"/>
          </w:tcPr>
          <w:p>
            <w:r/>
            <w:r>
              <w:rPr>
                <w:b w:val="0"/>
                <w:i w:val="0"/>
                <w:sz w:val="15"/>
              </w:rPr>
              <w:t>~2.3x</w:t>
            </w:r>
          </w:p>
        </w:tc>
        <w:tc>
          <w:tcPr>
            <w:tcW w:type="dxa" w:w="765"/>
            <w:shd w:val="clear" w:color="auto" w:fill="F1F3F7"/>
          </w:tcPr>
          <w:p>
            <w:r/>
            <w:r>
              <w:rPr>
                <w:b w:val="0"/>
                <w:i w:val="0"/>
                <w:sz w:val="15"/>
              </w:rPr>
              <w:t>9.5x</w:t>
            </w:r>
          </w:p>
        </w:tc>
        <w:tc>
          <w:tcPr>
            <w:tcW w:type="dxa" w:w="765"/>
            <w:shd w:val="clear" w:color="auto" w:fill="F1F3F7"/>
          </w:tcPr>
          <w:p>
            <w:r/>
            <w:r>
              <w:rPr>
                <w:b w:val="0"/>
                <w:i w:val="0"/>
                <w:sz w:val="15"/>
              </w:rPr>
              <w:t>~12x</w:t>
            </w:r>
          </w:p>
        </w:tc>
        <w:tc>
          <w:tcPr>
            <w:tcW w:type="dxa" w:w="765"/>
            <w:shd w:val="clear" w:color="auto" w:fill="F1F3F7"/>
          </w:tcPr>
          <w:p>
            <w:r/>
            <w:r>
              <w:rPr>
                <w:b w:val="0"/>
                <w:i w:val="0"/>
                <w:sz w:val="15"/>
              </w:rPr>
              <w:t>~16x</w:t>
            </w:r>
          </w:p>
        </w:tc>
        <w:tc>
          <w:tcPr>
            <w:tcW w:type="dxa" w:w="688"/>
            <w:shd w:val="clear" w:color="auto" w:fill="F1F3F7"/>
          </w:tcPr>
          <w:p>
            <w:r/>
            <w:r>
              <w:rPr>
                <w:b w:val="0"/>
                <w:i w:val="0"/>
                <w:sz w:val="15"/>
              </w:rPr>
              <w:t>~24%</w:t>
            </w:r>
          </w:p>
        </w:tc>
        <w:tc>
          <w:tcPr>
            <w:tcW w:type="dxa" w:w="688"/>
            <w:shd w:val="clear" w:color="auto" w:fill="F1F3F7"/>
          </w:tcPr>
          <w:p>
            <w:r/>
            <w:r>
              <w:rPr>
                <w:b w:val="0"/>
                <w:i w:val="0"/>
                <w:sz w:val="15"/>
              </w:rPr>
              <w:t>18.9%</w:t>
            </w:r>
          </w:p>
        </w:tc>
        <w:tc>
          <w:tcPr>
            <w:tcW w:type="dxa" w:w="612"/>
            <w:shd w:val="clear" w:color="auto" w:fill="F1F3F7"/>
          </w:tcPr>
          <w:p>
            <w:r/>
            <w:r>
              <w:rPr>
                <w:b w:val="0"/>
                <w:i w:val="0"/>
                <w:sz w:val="15"/>
              </w:rPr>
              <w:t>n/a</w:t>
            </w:r>
          </w:p>
        </w:tc>
        <w:tc>
          <w:tcPr>
            <w:tcW w:type="dxa" w:w="688"/>
            <w:shd w:val="clear" w:color="auto" w:fill="F1F3F7"/>
          </w:tcPr>
          <w:p>
            <w:r/>
            <w:r>
              <w:rPr>
                <w:b w:val="0"/>
                <w:i w:val="0"/>
                <w:sz w:val="15"/>
              </w:rPr>
              <w:t>net cash</w:t>
            </w:r>
          </w:p>
        </w:tc>
      </w:tr>
      <w:tr>
        <w:tc>
          <w:tcPr>
            <w:tcW w:type="dxa" w:w="1682"/>
          </w:tcPr>
          <w:p>
            <w:r/>
            <w:r>
              <w:rPr>
                <w:b w:val="0"/>
                <w:i w:val="0"/>
                <w:sz w:val="15"/>
              </w:rPr>
              <w:t>Ferrotec</w:t>
            </w:r>
          </w:p>
        </w:tc>
        <w:tc>
          <w:tcPr>
            <w:tcW w:type="dxa" w:w="994"/>
          </w:tcPr>
          <w:p>
            <w:r/>
            <w:r>
              <w:rPr>
                <w:b w:val="0"/>
                <w:i w:val="0"/>
                <w:sz w:val="15"/>
              </w:rPr>
              <w:t>6890 JP</w:t>
            </w:r>
          </w:p>
        </w:tc>
        <w:tc>
          <w:tcPr>
            <w:tcW w:type="dxa" w:w="765"/>
          </w:tcPr>
          <w:p>
            <w:r/>
            <w:r>
              <w:rPr>
                <w:b w:val="0"/>
                <w:i w:val="0"/>
                <w:sz w:val="15"/>
              </w:rPr>
              <w:t>TSE</w:t>
            </w:r>
          </w:p>
        </w:tc>
        <w:tc>
          <w:tcPr>
            <w:tcW w:type="dxa" w:w="765"/>
          </w:tcPr>
          <w:p>
            <w:r/>
            <w:r>
              <w:rPr>
                <w:b w:val="0"/>
                <w:i w:val="0"/>
                <w:sz w:val="15"/>
              </w:rPr>
              <w:t>~1.0</w:t>
            </w:r>
          </w:p>
        </w:tc>
        <w:tc>
          <w:tcPr>
            <w:tcW w:type="dxa" w:w="688"/>
          </w:tcPr>
          <w:p>
            <w:r/>
            <w:r>
              <w:rPr>
                <w:b w:val="0"/>
                <w:i w:val="0"/>
                <w:sz w:val="15"/>
              </w:rPr>
              <w:t>~1.15x</w:t>
            </w:r>
          </w:p>
        </w:tc>
        <w:tc>
          <w:tcPr>
            <w:tcW w:type="dxa" w:w="765"/>
          </w:tcPr>
          <w:p>
            <w:r/>
            <w:r>
              <w:rPr>
                <w:b w:val="0"/>
                <w:i w:val="0"/>
                <w:sz w:val="15"/>
              </w:rPr>
              <w:t>7.0x</w:t>
            </w:r>
          </w:p>
        </w:tc>
        <w:tc>
          <w:tcPr>
            <w:tcW w:type="dxa" w:w="765"/>
          </w:tcPr>
          <w:p>
            <w:r/>
            <w:r>
              <w:rPr>
                <w:b w:val="0"/>
                <w:i w:val="0"/>
                <w:sz w:val="15"/>
              </w:rPr>
              <w:t>~13x</w:t>
            </w:r>
          </w:p>
        </w:tc>
        <w:tc>
          <w:tcPr>
            <w:tcW w:type="dxa" w:w="765"/>
          </w:tcPr>
          <w:p>
            <w:r/>
            <w:r>
              <w:rPr>
                <w:b w:val="0"/>
                <w:i w:val="0"/>
                <w:sz w:val="15"/>
              </w:rPr>
              <w:t>9.1x</w:t>
            </w:r>
          </w:p>
        </w:tc>
        <w:tc>
          <w:tcPr>
            <w:tcW w:type="dxa" w:w="688"/>
          </w:tcPr>
          <w:p>
            <w:r/>
            <w:r>
              <w:rPr>
                <w:b w:val="0"/>
                <w:i w:val="0"/>
                <w:sz w:val="15"/>
              </w:rPr>
              <w:t>~16%</w:t>
            </w:r>
          </w:p>
        </w:tc>
        <w:tc>
          <w:tcPr>
            <w:tcW w:type="dxa" w:w="688"/>
          </w:tcPr>
          <w:p>
            <w:r/>
            <w:r>
              <w:rPr>
                <w:b w:val="0"/>
                <w:i w:val="0"/>
                <w:sz w:val="15"/>
              </w:rPr>
              <w:t>8.8%</w:t>
            </w:r>
          </w:p>
        </w:tc>
        <w:tc>
          <w:tcPr>
            <w:tcW w:type="dxa" w:w="612"/>
          </w:tcPr>
          <w:p>
            <w:r/>
            <w:r>
              <w:rPr>
                <w:b w:val="0"/>
                <w:i w:val="0"/>
                <w:sz w:val="15"/>
              </w:rPr>
              <w:t>+4%</w:t>
            </w:r>
          </w:p>
        </w:tc>
        <w:tc>
          <w:tcPr>
            <w:tcW w:type="dxa" w:w="688"/>
          </w:tcPr>
          <w:p>
            <w:r/>
            <w:r>
              <w:rPr>
                <w:b w:val="0"/>
                <w:i w:val="0"/>
                <w:sz w:val="15"/>
              </w:rPr>
              <w:t>~1x</w:t>
            </w:r>
          </w:p>
        </w:tc>
      </w:tr>
      <w:tr>
        <w:tc>
          <w:tcPr>
            <w:tcW w:type="dxa" w:w="1682"/>
            <w:shd w:val="clear" w:color="auto" w:fill="F1F3F7"/>
          </w:tcPr>
          <w:p>
            <w:r/>
            <w:r>
              <w:rPr>
                <w:b w:val="0"/>
                <w:i w:val="0"/>
                <w:sz w:val="15"/>
              </w:rPr>
              <w:t>MiCo</w:t>
            </w:r>
          </w:p>
        </w:tc>
        <w:tc>
          <w:tcPr>
            <w:tcW w:type="dxa" w:w="994"/>
            <w:shd w:val="clear" w:color="auto" w:fill="F1F3F7"/>
          </w:tcPr>
          <w:p>
            <w:r/>
            <w:r>
              <w:rPr>
                <w:b w:val="0"/>
                <w:i w:val="0"/>
                <w:sz w:val="15"/>
              </w:rPr>
              <w:t>059090 KS</w:t>
            </w:r>
          </w:p>
        </w:tc>
        <w:tc>
          <w:tcPr>
            <w:tcW w:type="dxa" w:w="765"/>
            <w:shd w:val="clear" w:color="auto" w:fill="F1F3F7"/>
          </w:tcPr>
          <w:p>
            <w:r/>
            <w:r>
              <w:rPr>
                <w:b w:val="0"/>
                <w:i w:val="0"/>
                <w:sz w:val="15"/>
              </w:rPr>
              <w:t>KOSDAQ</w:t>
            </w:r>
          </w:p>
        </w:tc>
        <w:tc>
          <w:tcPr>
            <w:tcW w:type="dxa" w:w="765"/>
            <w:shd w:val="clear" w:color="auto" w:fill="F1F3F7"/>
          </w:tcPr>
          <w:p>
            <w:r/>
            <w:r>
              <w:rPr>
                <w:b w:val="0"/>
                <w:i w:val="0"/>
                <w:sz w:val="15"/>
              </w:rPr>
              <w:t>0.35</w:t>
            </w:r>
          </w:p>
        </w:tc>
        <w:tc>
          <w:tcPr>
            <w:tcW w:type="dxa" w:w="688"/>
            <w:shd w:val="clear" w:color="auto" w:fill="F1F3F7"/>
          </w:tcPr>
          <w:p>
            <w:r/>
            <w:r>
              <w:rPr>
                <w:b w:val="0"/>
                <w:i w:val="0"/>
                <w:sz w:val="15"/>
              </w:rPr>
              <w:t>n/a</w:t>
            </w:r>
          </w:p>
        </w:tc>
        <w:tc>
          <w:tcPr>
            <w:tcW w:type="dxa" w:w="765"/>
            <w:shd w:val="clear" w:color="auto" w:fill="F1F3F7"/>
          </w:tcPr>
          <w:p>
            <w:r/>
            <w:r>
              <w:rPr>
                <w:b w:val="0"/>
                <w:i w:val="0"/>
                <w:sz w:val="15"/>
              </w:rPr>
              <w:t>n/a</w:t>
            </w:r>
          </w:p>
        </w:tc>
        <w:tc>
          <w:tcPr>
            <w:tcW w:type="dxa" w:w="765"/>
            <w:shd w:val="clear" w:color="auto" w:fill="F1F3F7"/>
          </w:tcPr>
          <w:p>
            <w:r/>
            <w:r>
              <w:rPr>
                <w:b w:val="0"/>
                <w:i w:val="0"/>
                <w:sz w:val="15"/>
              </w:rPr>
              <w:t>n/a</w:t>
            </w:r>
          </w:p>
        </w:tc>
        <w:tc>
          <w:tcPr>
            <w:tcW w:type="dxa" w:w="765"/>
            <w:shd w:val="clear" w:color="auto" w:fill="F1F3F7"/>
          </w:tcPr>
          <w:p>
            <w:r/>
            <w:r>
              <w:rPr>
                <w:b w:val="0"/>
                <w:i w:val="0"/>
                <w:sz w:val="15"/>
              </w:rPr>
              <w:t>~16–18x</w:t>
            </w:r>
          </w:p>
        </w:tc>
        <w:tc>
          <w:tcPr>
            <w:tcW w:type="dxa" w:w="688"/>
            <w:shd w:val="clear" w:color="auto" w:fill="F1F3F7"/>
          </w:tcPr>
          <w:p>
            <w:r/>
            <w:r>
              <w:rPr>
                <w:b w:val="0"/>
                <w:i w:val="0"/>
                <w:sz w:val="15"/>
              </w:rPr>
              <w:t>n/a</w:t>
            </w:r>
          </w:p>
        </w:tc>
        <w:tc>
          <w:tcPr>
            <w:tcW w:type="dxa" w:w="688"/>
            <w:shd w:val="clear" w:color="auto" w:fill="F1F3F7"/>
          </w:tcPr>
          <w:p>
            <w:r/>
            <w:r>
              <w:rPr>
                <w:b w:val="0"/>
                <w:i w:val="0"/>
                <w:sz w:val="15"/>
              </w:rPr>
              <w:t>~10%</w:t>
            </w:r>
          </w:p>
        </w:tc>
        <w:tc>
          <w:tcPr>
            <w:tcW w:type="dxa" w:w="612"/>
            <w:shd w:val="clear" w:color="auto" w:fill="F1F3F7"/>
          </w:tcPr>
          <w:p>
            <w:r/>
            <w:r>
              <w:rPr>
                <w:b w:val="0"/>
                <w:i w:val="0"/>
                <w:sz w:val="15"/>
              </w:rPr>
              <w:t>n/a</w:t>
            </w:r>
          </w:p>
        </w:tc>
        <w:tc>
          <w:tcPr>
            <w:tcW w:type="dxa" w:w="688"/>
            <w:shd w:val="clear" w:color="auto" w:fill="F1F3F7"/>
          </w:tcPr>
          <w:p>
            <w:r/>
            <w:r>
              <w:rPr>
                <w:b w:val="0"/>
                <w:i w:val="0"/>
                <w:sz w:val="15"/>
              </w:rPr>
              <w:t>n/a</w:t>
            </w:r>
          </w:p>
        </w:tc>
      </w:tr>
      <w:tr>
        <w:tc>
          <w:tcPr>
            <w:tcW w:type="dxa" w:w="1682"/>
          </w:tcPr>
          <w:p>
            <w:r/>
            <w:r>
              <w:rPr>
                <w:b w:val="0"/>
                <w:i w:val="0"/>
                <w:sz w:val="15"/>
              </w:rPr>
              <w:t>Kohler</w:t>
            </w:r>
          </w:p>
        </w:tc>
        <w:tc>
          <w:tcPr>
            <w:tcW w:type="dxa" w:w="994"/>
          </w:tcPr>
          <w:p>
            <w:r/>
            <w:r>
              <w:rPr>
                <w:b w:val="0"/>
                <w:i w:val="0"/>
                <w:sz w:val="15"/>
              </w:rPr>
              <w:t>—</w:t>
            </w:r>
          </w:p>
        </w:tc>
        <w:tc>
          <w:tcPr>
            <w:tcW w:type="dxa" w:w="765"/>
          </w:tcPr>
          <w:p>
            <w:r/>
            <w:r>
              <w:rPr>
                <w:b w:val="0"/>
                <w:i w:val="0"/>
                <w:sz w:val="15"/>
              </w:rPr>
              <w:t>Private</w:t>
            </w:r>
          </w:p>
        </w:tc>
        <w:tc>
          <w:tcPr>
            <w:tcW w:type="dxa" w:w="765"/>
          </w:tcPr>
          <w:p>
            <w:r/>
            <w:r>
              <w:rPr>
                <w:b w:val="0"/>
                <w:i w:val="0"/>
                <w:sz w:val="15"/>
              </w:rPr>
              <w:t>—</w:t>
            </w:r>
          </w:p>
        </w:tc>
        <w:tc>
          <w:tcPr>
            <w:tcW w:type="dxa" w:w="688"/>
          </w:tcPr>
          <w:p>
            <w:r/>
          </w:p>
        </w:tc>
        <w:tc>
          <w:tcPr>
            <w:tcW w:type="dxa" w:w="765"/>
          </w:tcPr>
          <w:p>
            <w:r/>
          </w:p>
        </w:tc>
        <w:tc>
          <w:tcPr>
            <w:tcW w:type="dxa" w:w="765"/>
          </w:tcPr>
          <w:p>
            <w:r/>
          </w:p>
        </w:tc>
        <w:tc>
          <w:tcPr>
            <w:tcW w:type="dxa" w:w="765"/>
          </w:tcPr>
          <w:p>
            <w:r/>
          </w:p>
        </w:tc>
        <w:tc>
          <w:tcPr>
            <w:tcW w:type="dxa" w:w="688"/>
          </w:tcPr>
          <w:p>
            <w:r/>
          </w:p>
        </w:tc>
        <w:tc>
          <w:tcPr>
            <w:tcW w:type="dxa" w:w="688"/>
          </w:tcPr>
          <w:p>
            <w:r/>
          </w:p>
        </w:tc>
        <w:tc>
          <w:tcPr>
            <w:tcW w:type="dxa" w:w="612"/>
          </w:tcPr>
          <w:p>
            <w:r/>
          </w:p>
        </w:tc>
        <w:tc>
          <w:tcPr>
            <w:tcW w:type="dxa" w:w="688"/>
          </w:tcPr>
          <w:p>
            <w:r/>
          </w:p>
        </w:tc>
      </w:tr>
      <w:tr>
        <w:tc>
          <w:tcPr>
            <w:tcW w:type="dxa" w:w="1682"/>
            <w:shd w:val="clear" w:color="auto" w:fill="F1F3F7"/>
          </w:tcPr>
          <w:p>
            <w:r/>
            <w:r>
              <w:rPr>
                <w:b w:val="0"/>
                <w:i w:val="0"/>
                <w:sz w:val="15"/>
              </w:rPr>
              <w:t>Roca (incl. Laufen)</w:t>
            </w:r>
          </w:p>
        </w:tc>
        <w:tc>
          <w:tcPr>
            <w:tcW w:type="dxa" w:w="994"/>
            <w:shd w:val="clear" w:color="auto" w:fill="F1F3F7"/>
          </w:tcPr>
          <w:p>
            <w:r/>
            <w:r>
              <w:rPr>
                <w:b w:val="0"/>
                <w:i w:val="0"/>
                <w:sz w:val="15"/>
              </w:rPr>
              <w:t>—</w:t>
            </w:r>
          </w:p>
        </w:tc>
        <w:tc>
          <w:tcPr>
            <w:tcW w:type="dxa" w:w="765"/>
            <w:shd w:val="clear" w:color="auto" w:fill="F1F3F7"/>
          </w:tcPr>
          <w:p>
            <w:r/>
            <w:r>
              <w:rPr>
                <w:b w:val="0"/>
                <w:i w:val="0"/>
                <w:sz w:val="15"/>
              </w:rPr>
              <w:t>Private</w:t>
            </w:r>
          </w:p>
        </w:tc>
        <w:tc>
          <w:tcPr>
            <w:tcW w:type="dxa" w:w="765"/>
            <w:shd w:val="clear" w:color="auto" w:fill="F1F3F7"/>
          </w:tcPr>
          <w:p>
            <w:r/>
            <w:r>
              <w:rPr>
                <w:b w:val="0"/>
                <w:i w:val="0"/>
                <w:sz w:val="15"/>
              </w:rPr>
              <w:t>—</w:t>
            </w:r>
          </w:p>
        </w:tc>
        <w:tc>
          <w:tcPr>
            <w:tcW w:type="dxa" w:w="688"/>
            <w:shd w:val="clear" w:color="auto" w:fill="F1F3F7"/>
          </w:tcPr>
          <w:p>
            <w:r/>
          </w:p>
        </w:tc>
        <w:tc>
          <w:tcPr>
            <w:tcW w:type="dxa" w:w="765"/>
            <w:shd w:val="clear" w:color="auto" w:fill="F1F3F7"/>
          </w:tcPr>
          <w:p>
            <w:r/>
          </w:p>
        </w:tc>
        <w:tc>
          <w:tcPr>
            <w:tcW w:type="dxa" w:w="765"/>
            <w:shd w:val="clear" w:color="auto" w:fill="F1F3F7"/>
          </w:tcPr>
          <w:p>
            <w:r/>
          </w:p>
        </w:tc>
        <w:tc>
          <w:tcPr>
            <w:tcW w:type="dxa" w:w="765"/>
            <w:shd w:val="clear" w:color="auto" w:fill="F1F3F7"/>
          </w:tcPr>
          <w:p>
            <w:r/>
          </w:p>
        </w:tc>
        <w:tc>
          <w:tcPr>
            <w:tcW w:type="dxa" w:w="688"/>
            <w:shd w:val="clear" w:color="auto" w:fill="F1F3F7"/>
          </w:tcPr>
          <w:p>
            <w:r/>
          </w:p>
        </w:tc>
        <w:tc>
          <w:tcPr>
            <w:tcW w:type="dxa" w:w="688"/>
            <w:shd w:val="clear" w:color="auto" w:fill="F1F3F7"/>
          </w:tcPr>
          <w:p>
            <w:r/>
          </w:p>
        </w:tc>
        <w:tc>
          <w:tcPr>
            <w:tcW w:type="dxa" w:w="612"/>
            <w:shd w:val="clear" w:color="auto" w:fill="F1F3F7"/>
          </w:tcPr>
          <w:p>
            <w:r/>
          </w:p>
        </w:tc>
        <w:tc>
          <w:tcPr>
            <w:tcW w:type="dxa" w:w="688"/>
            <w:shd w:val="clear" w:color="auto" w:fill="F1F3F7"/>
          </w:tcPr>
          <w:p>
            <w:r/>
          </w:p>
        </w:tc>
      </w:tr>
      <w:tr>
        <w:tc>
          <w:tcPr>
            <w:tcW w:type="dxa" w:w="1682"/>
          </w:tcPr>
          <w:p>
            <w:r/>
            <w:r>
              <w:rPr>
                <w:b w:val="0"/>
                <w:i w:val="0"/>
                <w:sz w:val="15"/>
              </w:rPr>
              <w:t>Duravit</w:t>
            </w:r>
          </w:p>
        </w:tc>
        <w:tc>
          <w:tcPr>
            <w:tcW w:type="dxa" w:w="994"/>
          </w:tcPr>
          <w:p>
            <w:r/>
            <w:r>
              <w:rPr>
                <w:b w:val="0"/>
                <w:i w:val="0"/>
                <w:sz w:val="15"/>
              </w:rPr>
              <w:t>—</w:t>
            </w:r>
          </w:p>
        </w:tc>
        <w:tc>
          <w:tcPr>
            <w:tcW w:type="dxa" w:w="765"/>
          </w:tcPr>
          <w:p>
            <w:r/>
            <w:r>
              <w:rPr>
                <w:b w:val="0"/>
                <w:i w:val="0"/>
                <w:sz w:val="15"/>
              </w:rPr>
              <w:t>Private</w:t>
            </w:r>
          </w:p>
        </w:tc>
        <w:tc>
          <w:tcPr>
            <w:tcW w:type="dxa" w:w="765"/>
          </w:tcPr>
          <w:p>
            <w:r/>
            <w:r>
              <w:rPr>
                <w:b w:val="0"/>
                <w:i w:val="0"/>
                <w:sz w:val="15"/>
              </w:rPr>
              <w:t>—</w:t>
            </w:r>
          </w:p>
        </w:tc>
        <w:tc>
          <w:tcPr>
            <w:tcW w:type="dxa" w:w="688"/>
          </w:tcPr>
          <w:p>
            <w:r/>
          </w:p>
        </w:tc>
        <w:tc>
          <w:tcPr>
            <w:tcW w:type="dxa" w:w="765"/>
          </w:tcPr>
          <w:p>
            <w:r/>
          </w:p>
        </w:tc>
        <w:tc>
          <w:tcPr>
            <w:tcW w:type="dxa" w:w="765"/>
          </w:tcPr>
          <w:p>
            <w:r/>
          </w:p>
        </w:tc>
        <w:tc>
          <w:tcPr>
            <w:tcW w:type="dxa" w:w="765"/>
          </w:tcPr>
          <w:p>
            <w:r/>
          </w:p>
        </w:tc>
        <w:tc>
          <w:tcPr>
            <w:tcW w:type="dxa" w:w="688"/>
          </w:tcPr>
          <w:p>
            <w:r/>
          </w:p>
        </w:tc>
        <w:tc>
          <w:tcPr>
            <w:tcW w:type="dxa" w:w="688"/>
          </w:tcPr>
          <w:p>
            <w:r/>
          </w:p>
        </w:tc>
        <w:tc>
          <w:tcPr>
            <w:tcW w:type="dxa" w:w="612"/>
          </w:tcPr>
          <w:p>
            <w:r/>
          </w:p>
        </w:tc>
        <w:tc>
          <w:tcPr>
            <w:tcW w:type="dxa" w:w="688"/>
          </w:tcPr>
          <w:p>
            <w:r/>
          </w:p>
        </w:tc>
      </w:tr>
      <w:tr>
        <w:tc>
          <w:tcPr>
            <w:tcW w:type="dxa" w:w="1682"/>
            <w:shd w:val="clear" w:color="auto" w:fill="F1F3F7"/>
          </w:tcPr>
          <w:p>
            <w:r/>
            <w:r>
              <w:rPr>
                <w:b w:val="0"/>
                <w:i w:val="0"/>
                <w:sz w:val="15"/>
              </w:rPr>
              <w:t>Jomoo / Hegii</w:t>
            </w:r>
          </w:p>
        </w:tc>
        <w:tc>
          <w:tcPr>
            <w:tcW w:type="dxa" w:w="994"/>
            <w:shd w:val="clear" w:color="auto" w:fill="F1F3F7"/>
          </w:tcPr>
          <w:p>
            <w:r/>
            <w:r>
              <w:rPr>
                <w:b w:val="0"/>
                <w:i w:val="0"/>
                <w:sz w:val="15"/>
              </w:rPr>
              <w:t>—</w:t>
            </w:r>
          </w:p>
        </w:tc>
        <w:tc>
          <w:tcPr>
            <w:tcW w:type="dxa" w:w="765"/>
            <w:shd w:val="clear" w:color="auto" w:fill="F1F3F7"/>
          </w:tcPr>
          <w:p>
            <w:r/>
            <w:r>
              <w:rPr>
                <w:b w:val="0"/>
                <w:i w:val="0"/>
                <w:sz w:val="15"/>
              </w:rPr>
              <w:t>Private</w:t>
            </w:r>
          </w:p>
        </w:tc>
        <w:tc>
          <w:tcPr>
            <w:tcW w:type="dxa" w:w="765"/>
            <w:shd w:val="clear" w:color="auto" w:fill="F1F3F7"/>
          </w:tcPr>
          <w:p>
            <w:r/>
            <w:r>
              <w:rPr>
                <w:b w:val="0"/>
                <w:i w:val="0"/>
                <w:sz w:val="15"/>
              </w:rPr>
              <w:t>—</w:t>
            </w:r>
          </w:p>
        </w:tc>
        <w:tc>
          <w:tcPr>
            <w:tcW w:type="dxa" w:w="688"/>
            <w:shd w:val="clear" w:color="auto" w:fill="F1F3F7"/>
          </w:tcPr>
          <w:p>
            <w:r/>
          </w:p>
        </w:tc>
        <w:tc>
          <w:tcPr>
            <w:tcW w:type="dxa" w:w="765"/>
            <w:shd w:val="clear" w:color="auto" w:fill="F1F3F7"/>
          </w:tcPr>
          <w:p>
            <w:r/>
          </w:p>
        </w:tc>
        <w:tc>
          <w:tcPr>
            <w:tcW w:type="dxa" w:w="765"/>
            <w:shd w:val="clear" w:color="auto" w:fill="F1F3F7"/>
          </w:tcPr>
          <w:p>
            <w:r/>
          </w:p>
        </w:tc>
        <w:tc>
          <w:tcPr>
            <w:tcW w:type="dxa" w:w="765"/>
            <w:shd w:val="clear" w:color="auto" w:fill="F1F3F7"/>
          </w:tcPr>
          <w:p>
            <w:r/>
          </w:p>
        </w:tc>
        <w:tc>
          <w:tcPr>
            <w:tcW w:type="dxa" w:w="688"/>
            <w:shd w:val="clear" w:color="auto" w:fill="F1F3F7"/>
          </w:tcPr>
          <w:p>
            <w:r/>
          </w:p>
        </w:tc>
        <w:tc>
          <w:tcPr>
            <w:tcW w:type="dxa" w:w="688"/>
            <w:shd w:val="clear" w:color="auto" w:fill="F1F3F7"/>
          </w:tcPr>
          <w:p>
            <w:r/>
          </w:p>
        </w:tc>
        <w:tc>
          <w:tcPr>
            <w:tcW w:type="dxa" w:w="612"/>
            <w:shd w:val="clear" w:color="auto" w:fill="F1F3F7"/>
          </w:tcPr>
          <w:p>
            <w:r/>
          </w:p>
        </w:tc>
        <w:tc>
          <w:tcPr>
            <w:tcW w:type="dxa" w:w="688"/>
            <w:shd w:val="clear" w:color="auto" w:fill="F1F3F7"/>
          </w:tcPr>
          <w:p>
            <w:r/>
          </w:p>
        </w:tc>
      </w:tr>
      <w:tr>
        <w:tc>
          <w:tcPr>
            <w:tcW w:type="dxa" w:w="1682"/>
          </w:tcPr>
          <w:p>
            <w:r/>
            <w:r>
              <w:rPr>
                <w:b w:val="0"/>
                <w:i w:val="0"/>
                <w:sz w:val="15"/>
              </w:rPr>
              <w:t>Panasonic Housing Solutions</w:t>
            </w:r>
          </w:p>
        </w:tc>
        <w:tc>
          <w:tcPr>
            <w:tcW w:type="dxa" w:w="994"/>
          </w:tcPr>
          <w:p>
            <w:r/>
            <w:r>
              <w:rPr>
                <w:b w:val="0"/>
                <w:i w:val="0"/>
                <w:sz w:val="15"/>
              </w:rPr>
              <w:t>(6752 JP parent)</w:t>
            </w:r>
          </w:p>
        </w:tc>
        <w:tc>
          <w:tcPr>
            <w:tcW w:type="dxa" w:w="765"/>
          </w:tcPr>
          <w:p>
            <w:r/>
            <w:r>
              <w:rPr>
                <w:b w:val="0"/>
                <w:i w:val="0"/>
                <w:sz w:val="15"/>
              </w:rPr>
              <w:t>Subsidiary</w:t>
            </w:r>
          </w:p>
        </w:tc>
        <w:tc>
          <w:tcPr>
            <w:tcW w:type="dxa" w:w="765"/>
          </w:tcPr>
          <w:p>
            <w:r/>
            <w:r>
              <w:rPr>
                <w:b w:val="0"/>
                <w:i w:val="0"/>
                <w:sz w:val="15"/>
              </w:rPr>
              <w:t>—</w:t>
            </w:r>
          </w:p>
        </w:tc>
        <w:tc>
          <w:tcPr>
            <w:tcW w:type="dxa" w:w="688"/>
          </w:tcPr>
          <w:p>
            <w:r/>
          </w:p>
        </w:tc>
        <w:tc>
          <w:tcPr>
            <w:tcW w:type="dxa" w:w="765"/>
          </w:tcPr>
          <w:p>
            <w:r/>
          </w:p>
        </w:tc>
        <w:tc>
          <w:tcPr>
            <w:tcW w:type="dxa" w:w="765"/>
          </w:tcPr>
          <w:p>
            <w:r/>
          </w:p>
        </w:tc>
        <w:tc>
          <w:tcPr>
            <w:tcW w:type="dxa" w:w="765"/>
          </w:tcPr>
          <w:p>
            <w:r/>
          </w:p>
        </w:tc>
        <w:tc>
          <w:tcPr>
            <w:tcW w:type="dxa" w:w="688"/>
          </w:tcPr>
          <w:p>
            <w:r/>
          </w:p>
        </w:tc>
        <w:tc>
          <w:tcPr>
            <w:tcW w:type="dxa" w:w="688"/>
          </w:tcPr>
          <w:p>
            <w:r/>
          </w:p>
        </w:tc>
        <w:tc>
          <w:tcPr>
            <w:tcW w:type="dxa" w:w="612"/>
          </w:tcPr>
          <w:p>
            <w:r/>
          </w:p>
        </w:tc>
        <w:tc>
          <w:tcPr>
            <w:tcW w:type="dxa" w:w="688"/>
          </w:tcPr>
          <w:p>
            <w:r/>
          </w:p>
        </w:tc>
      </w:tr>
      <w:tr>
        <w:tc>
          <w:tcPr>
            <w:tcW w:type="dxa" w:w="1682"/>
            <w:shd w:val="clear" w:color="auto" w:fill="F1F3F7"/>
          </w:tcPr>
          <w:p>
            <w:r/>
            <w:r>
              <w:rPr>
                <w:b w:val="0"/>
                <w:i w:val="0"/>
                <w:sz w:val="15"/>
              </w:rPr>
              <w:t>Shinko Electric (ESC)</w:t>
            </w:r>
          </w:p>
        </w:tc>
        <w:tc>
          <w:tcPr>
            <w:tcW w:type="dxa" w:w="994"/>
            <w:shd w:val="clear" w:color="auto" w:fill="F1F3F7"/>
          </w:tcPr>
          <w:p>
            <w:r/>
            <w:r>
              <w:rPr>
                <w:b w:val="0"/>
                <w:i w:val="0"/>
                <w:sz w:val="15"/>
              </w:rPr>
              <w:t>(delisted 2025)</w:t>
            </w:r>
          </w:p>
        </w:tc>
        <w:tc>
          <w:tcPr>
            <w:tcW w:type="dxa" w:w="765"/>
            <w:shd w:val="clear" w:color="auto" w:fill="F1F3F7"/>
          </w:tcPr>
          <w:p>
            <w:r/>
            <w:r>
              <w:rPr>
                <w:b w:val="0"/>
                <w:i w:val="0"/>
                <w:sz w:val="15"/>
              </w:rPr>
              <w:t>Private (JIC)</w:t>
            </w:r>
          </w:p>
        </w:tc>
        <w:tc>
          <w:tcPr>
            <w:tcW w:type="dxa" w:w="765"/>
            <w:shd w:val="clear" w:color="auto" w:fill="F1F3F7"/>
          </w:tcPr>
          <w:p>
            <w:r/>
            <w:r>
              <w:rPr>
                <w:b w:val="0"/>
                <w:i w:val="0"/>
                <w:sz w:val="15"/>
              </w:rPr>
              <w:t>—</w:t>
            </w:r>
          </w:p>
        </w:tc>
        <w:tc>
          <w:tcPr>
            <w:tcW w:type="dxa" w:w="688"/>
            <w:shd w:val="clear" w:color="auto" w:fill="F1F3F7"/>
          </w:tcPr>
          <w:p>
            <w:r/>
          </w:p>
        </w:tc>
        <w:tc>
          <w:tcPr>
            <w:tcW w:type="dxa" w:w="765"/>
            <w:shd w:val="clear" w:color="auto" w:fill="F1F3F7"/>
          </w:tcPr>
          <w:p>
            <w:r/>
          </w:p>
        </w:tc>
        <w:tc>
          <w:tcPr>
            <w:tcW w:type="dxa" w:w="765"/>
            <w:shd w:val="clear" w:color="auto" w:fill="F1F3F7"/>
          </w:tcPr>
          <w:p>
            <w:r/>
          </w:p>
        </w:tc>
        <w:tc>
          <w:tcPr>
            <w:tcW w:type="dxa" w:w="765"/>
            <w:shd w:val="clear" w:color="auto" w:fill="F1F3F7"/>
          </w:tcPr>
          <w:p>
            <w:r/>
          </w:p>
        </w:tc>
        <w:tc>
          <w:tcPr>
            <w:tcW w:type="dxa" w:w="688"/>
            <w:shd w:val="clear" w:color="auto" w:fill="F1F3F7"/>
          </w:tcPr>
          <w:p>
            <w:r/>
          </w:p>
        </w:tc>
        <w:tc>
          <w:tcPr>
            <w:tcW w:type="dxa" w:w="688"/>
            <w:shd w:val="clear" w:color="auto" w:fill="F1F3F7"/>
          </w:tcPr>
          <w:p>
            <w:r/>
          </w:p>
        </w:tc>
        <w:tc>
          <w:tcPr>
            <w:tcW w:type="dxa" w:w="612"/>
            <w:shd w:val="clear" w:color="auto" w:fill="F1F3F7"/>
          </w:tcPr>
          <w:p>
            <w:r/>
          </w:p>
        </w:tc>
        <w:tc>
          <w:tcPr>
            <w:tcW w:type="dxa" w:w="688"/>
            <w:shd w:val="clear" w:color="auto" w:fill="F1F3F7"/>
          </w:tcPr>
          <w:p>
            <w:r/>
          </w:p>
        </w:tc>
      </w:tr>
      <w:tr>
        <w:tc>
          <w:tcPr>
            <w:tcW w:type="dxa" w:w="1682"/>
          </w:tcPr>
          <w:p>
            <w:r/>
            <w:r>
              <w:rPr>
                <w:b w:val="0"/>
                <w:i w:val="0"/>
                <w:sz w:val="15"/>
              </w:rPr>
              <w:t>CoorsTek</w:t>
            </w:r>
          </w:p>
        </w:tc>
        <w:tc>
          <w:tcPr>
            <w:tcW w:type="dxa" w:w="994"/>
          </w:tcPr>
          <w:p>
            <w:r/>
            <w:r>
              <w:rPr>
                <w:b w:val="0"/>
                <w:i w:val="0"/>
                <w:sz w:val="15"/>
              </w:rPr>
              <w:t>—</w:t>
            </w:r>
          </w:p>
        </w:tc>
        <w:tc>
          <w:tcPr>
            <w:tcW w:type="dxa" w:w="765"/>
          </w:tcPr>
          <w:p>
            <w:r/>
            <w:r>
              <w:rPr>
                <w:b w:val="0"/>
                <w:i w:val="0"/>
                <w:sz w:val="15"/>
              </w:rPr>
              <w:t>Private</w:t>
            </w:r>
          </w:p>
        </w:tc>
        <w:tc>
          <w:tcPr>
            <w:tcW w:type="dxa" w:w="765"/>
          </w:tcPr>
          <w:p>
            <w:r/>
            <w:r>
              <w:rPr>
                <w:b w:val="0"/>
                <w:i w:val="0"/>
                <w:sz w:val="15"/>
              </w:rPr>
              <w:t>—</w:t>
            </w:r>
          </w:p>
        </w:tc>
        <w:tc>
          <w:tcPr>
            <w:tcW w:type="dxa" w:w="688"/>
          </w:tcPr>
          <w:p>
            <w:r/>
          </w:p>
        </w:tc>
        <w:tc>
          <w:tcPr>
            <w:tcW w:type="dxa" w:w="765"/>
          </w:tcPr>
          <w:p>
            <w:r/>
          </w:p>
        </w:tc>
        <w:tc>
          <w:tcPr>
            <w:tcW w:type="dxa" w:w="765"/>
          </w:tcPr>
          <w:p>
            <w:r/>
          </w:p>
        </w:tc>
        <w:tc>
          <w:tcPr>
            <w:tcW w:type="dxa" w:w="765"/>
          </w:tcPr>
          <w:p>
            <w:r/>
          </w:p>
        </w:tc>
        <w:tc>
          <w:tcPr>
            <w:tcW w:type="dxa" w:w="688"/>
          </w:tcPr>
          <w:p>
            <w:r/>
          </w:p>
        </w:tc>
        <w:tc>
          <w:tcPr>
            <w:tcW w:type="dxa" w:w="688"/>
          </w:tcPr>
          <w:p>
            <w:r/>
          </w:p>
        </w:tc>
        <w:tc>
          <w:tcPr>
            <w:tcW w:type="dxa" w:w="612"/>
          </w:tcPr>
          <w:p>
            <w:r/>
          </w:p>
        </w:tc>
        <w:tc>
          <w:tcPr>
            <w:tcW w:type="dxa" w:w="688"/>
          </w:tcPr>
          <w:p>
            <w:r/>
          </w:p>
        </w:tc>
      </w:tr>
    </w:tbl>
    <w:p>
      <w:r>
        <w:rPr>
          <w:b w:val="0"/>
          <w:i/>
          <w:color w:val="5E6878"/>
          <w:sz w:val="14"/>
        </w:rPr>
        <w:t>Peer data from company releases and data aggregators (Jul–Sep 2026; mixed dates); several EV/EBITDA and margin figures derived (~). TOTO EV/EBITDA on FY3/26A; P/E on our FY3/27E. Treat peer figures as indicative.</w:t>
      </w:r>
    </w:p>
    <w:p>
      <w:pPr>
        <w:pStyle w:val="Heading2"/>
      </w:pPr>
      <w:r>
        <w:t>12.2 TOTO versus its own history</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c>
          <w:tcPr>
            <w:tcW w:type="dxa" w:w="1644"/>
            <w:shd w:val="clear" w:color="auto" w:fill="16243D"/>
          </w:tcPr>
          <w:p>
            <w:r/>
            <w:r>
              <w:rPr>
                <w:b/>
                <w:i w:val="0"/>
                <w:color w:val="FFFFFF"/>
                <w:sz w:val="15"/>
              </w:rPr>
              <w:t>Metric</w:t>
            </w:r>
          </w:p>
        </w:tc>
        <w:tc>
          <w:tcPr>
            <w:tcW w:type="dxa" w:w="1754"/>
            <w:shd w:val="clear" w:color="auto" w:fill="16243D"/>
          </w:tcPr>
          <w:p>
            <w:r/>
            <w:r>
              <w:rPr>
                <w:b/>
                <w:i w:val="0"/>
                <w:color w:val="FFFFFF"/>
                <w:sz w:val="15"/>
              </w:rPr>
              <w:t>5-/10-yr low</w:t>
            </w:r>
          </w:p>
        </w:tc>
        <w:tc>
          <w:tcPr>
            <w:tcW w:type="dxa" w:w="2192"/>
            <w:shd w:val="clear" w:color="auto" w:fill="16243D"/>
          </w:tcPr>
          <w:p>
            <w:r/>
            <w:r>
              <w:rPr>
                <w:b/>
                <w:i w:val="0"/>
                <w:color w:val="FFFFFF"/>
                <w:sz w:val="15"/>
              </w:rPr>
              <w:t>5-/10-yr high</w:t>
            </w:r>
          </w:p>
        </w:tc>
        <w:tc>
          <w:tcPr>
            <w:tcW w:type="dxa" w:w="1863"/>
            <w:shd w:val="clear" w:color="auto" w:fill="16243D"/>
          </w:tcPr>
          <w:p>
            <w:r/>
            <w:r>
              <w:rPr>
                <w:b/>
                <w:i w:val="0"/>
                <w:color w:val="FFFFFF"/>
                <w:sz w:val="15"/>
              </w:rPr>
              <w:t>Median / average</w:t>
            </w:r>
          </w:p>
        </w:tc>
        <w:tc>
          <w:tcPr>
            <w:tcW w:type="dxa" w:w="1096"/>
            <w:shd w:val="clear" w:color="auto" w:fill="16243D"/>
          </w:tcPr>
          <w:p>
            <w:r/>
            <w:r>
              <w:rPr>
                <w:b/>
                <w:i w:val="0"/>
                <w:color w:val="FFFFFF"/>
                <w:sz w:val="15"/>
              </w:rPr>
              <w:t>Current</w:t>
            </w:r>
          </w:p>
        </w:tc>
        <w:tc>
          <w:tcPr>
            <w:tcW w:type="dxa" w:w="1315"/>
            <w:shd w:val="clear" w:color="auto" w:fill="16243D"/>
          </w:tcPr>
          <w:p>
            <w:r/>
            <w:r>
              <w:rPr>
                <w:b/>
                <w:i w:val="0"/>
                <w:color w:val="FFFFFF"/>
                <w:sz w:val="15"/>
              </w:rPr>
              <w:t>Read</w:t>
            </w:r>
          </w:p>
        </w:tc>
      </w:tr>
      <w:tr>
        <w:tc>
          <w:tcPr>
            <w:tcW w:type="dxa" w:w="1644"/>
          </w:tcPr>
          <w:p>
            <w:r/>
            <w:r>
              <w:rPr>
                <w:b w:val="0"/>
                <w:i w:val="0"/>
                <w:sz w:val="15"/>
              </w:rPr>
              <w:t>P/E (trailing)</w:t>
            </w:r>
          </w:p>
        </w:tc>
        <w:tc>
          <w:tcPr>
            <w:tcW w:type="dxa" w:w="1754"/>
          </w:tcPr>
          <w:p>
            <w:r/>
            <w:r>
              <w:rPr>
                <w:b w:val="0"/>
                <w:i w:val="0"/>
                <w:sz w:val="15"/>
              </w:rPr>
              <w:t>14.0x (Mar 2025)</w:t>
            </w:r>
          </w:p>
        </w:tc>
        <w:tc>
          <w:tcPr>
            <w:tcW w:type="dxa" w:w="2192"/>
          </w:tcPr>
          <w:p>
            <w:r/>
            <w:r>
              <w:rPr>
                <w:b w:val="0"/>
                <w:i w:val="0"/>
                <w:sz w:val="15"/>
              </w:rPr>
              <w:t>54x (2025, impairment-distorted)</w:t>
            </w:r>
          </w:p>
        </w:tc>
        <w:tc>
          <w:tcPr>
            <w:tcW w:type="dxa" w:w="1863"/>
          </w:tcPr>
          <w:p>
            <w:r/>
            <w:r>
              <w:rPr>
                <w:b w:val="0"/>
                <w:i w:val="0"/>
                <w:sz w:val="15"/>
              </w:rPr>
              <w:t>~28x (5-yr avg)</w:t>
            </w:r>
          </w:p>
        </w:tc>
        <w:tc>
          <w:tcPr>
            <w:tcW w:type="dxa" w:w="1096"/>
          </w:tcPr>
          <w:p>
            <w:r/>
            <w:r>
              <w:rPr>
                <w:b w:val="0"/>
                <w:i w:val="0"/>
                <w:sz w:val="15"/>
              </w:rPr>
              <w:t>25.1x</w:t>
            </w:r>
          </w:p>
        </w:tc>
        <w:tc>
          <w:tcPr>
            <w:tcW w:type="dxa" w:w="1315"/>
          </w:tcPr>
          <w:p>
            <w:r/>
            <w:r>
              <w:rPr>
                <w:b w:val="0"/>
                <w:i w:val="0"/>
                <w:sz w:val="15"/>
              </w:rPr>
              <w:t>Fair</w:t>
            </w:r>
          </w:p>
        </w:tc>
      </w:tr>
      <w:tr>
        <w:tc>
          <w:tcPr>
            <w:tcW w:type="dxa" w:w="1644"/>
            <w:shd w:val="clear" w:color="auto" w:fill="F1F3F7"/>
          </w:tcPr>
          <w:p>
            <w:r/>
            <w:r>
              <w:rPr>
                <w:b w:val="0"/>
                <w:i w:val="0"/>
                <w:sz w:val="15"/>
              </w:rPr>
              <w:t>P/E (forward)</w:t>
            </w:r>
          </w:p>
        </w:tc>
        <w:tc>
          <w:tcPr>
            <w:tcW w:type="dxa" w:w="1754"/>
            <w:shd w:val="clear" w:color="auto" w:fill="F1F3F7"/>
          </w:tcPr>
          <w:p>
            <w:r/>
            <w:r>
              <w:rPr>
                <w:b w:val="0"/>
                <w:i w:val="0"/>
                <w:sz w:val="15"/>
              </w:rPr>
              <w:t>~16x</w:t>
            </w:r>
          </w:p>
        </w:tc>
        <w:tc>
          <w:tcPr>
            <w:tcW w:type="dxa" w:w="2192"/>
            <w:shd w:val="clear" w:color="auto" w:fill="F1F3F7"/>
          </w:tcPr>
          <w:p>
            <w:r/>
            <w:r>
              <w:rPr>
                <w:b w:val="0"/>
                <w:i w:val="0"/>
                <w:sz w:val="15"/>
              </w:rPr>
              <w:t>~35x</w:t>
            </w:r>
          </w:p>
        </w:tc>
        <w:tc>
          <w:tcPr>
            <w:tcW w:type="dxa" w:w="1863"/>
            <w:shd w:val="clear" w:color="auto" w:fill="F1F3F7"/>
          </w:tcPr>
          <w:p>
            <w:r/>
            <w:r>
              <w:rPr>
                <w:b w:val="0"/>
                <w:i w:val="0"/>
                <w:sz w:val="15"/>
              </w:rPr>
              <w:t>~22x</w:t>
            </w:r>
          </w:p>
        </w:tc>
        <w:tc>
          <w:tcPr>
            <w:tcW w:type="dxa" w:w="1096"/>
            <w:shd w:val="clear" w:color="auto" w:fill="F1F3F7"/>
          </w:tcPr>
          <w:p>
            <w:r/>
            <w:r>
              <w:rPr>
                <w:b w:val="0"/>
                <w:i w:val="0"/>
                <w:sz w:val="15"/>
              </w:rPr>
              <w:t>21.8x</w:t>
            </w:r>
          </w:p>
        </w:tc>
        <w:tc>
          <w:tcPr>
            <w:tcW w:type="dxa" w:w="1315"/>
            <w:shd w:val="clear" w:color="auto" w:fill="F1F3F7"/>
          </w:tcPr>
          <w:p>
            <w:r/>
            <w:r>
              <w:rPr>
                <w:b w:val="0"/>
                <w:i w:val="0"/>
                <w:sz w:val="15"/>
              </w:rPr>
              <w:t>Fair</w:t>
            </w:r>
          </w:p>
        </w:tc>
      </w:tr>
      <w:tr>
        <w:tc>
          <w:tcPr>
            <w:tcW w:type="dxa" w:w="1644"/>
          </w:tcPr>
          <w:p>
            <w:r/>
            <w:r>
              <w:rPr>
                <w:b w:val="0"/>
                <w:i w:val="0"/>
                <w:sz w:val="15"/>
              </w:rPr>
              <w:t>EV/EBITDA</w:t>
            </w:r>
          </w:p>
        </w:tc>
        <w:tc>
          <w:tcPr>
            <w:tcW w:type="dxa" w:w="1754"/>
          </w:tcPr>
          <w:p>
            <w:r/>
            <w:r>
              <w:rPr>
                <w:b w:val="0"/>
                <w:i w:val="0"/>
                <w:sz w:val="15"/>
              </w:rPr>
              <w:t>6.1x (Dec 2024)</w:t>
            </w:r>
          </w:p>
        </w:tc>
        <w:tc>
          <w:tcPr>
            <w:tcW w:type="dxa" w:w="2192"/>
          </w:tcPr>
          <w:p>
            <w:r/>
            <w:r>
              <w:rPr>
                <w:b w:val="0"/>
                <w:i w:val="0"/>
                <w:sz w:val="15"/>
              </w:rPr>
              <w:t>42x (10-yr)</w:t>
            </w:r>
          </w:p>
        </w:tc>
        <w:tc>
          <w:tcPr>
            <w:tcW w:type="dxa" w:w="1863"/>
          </w:tcPr>
          <w:p>
            <w:r/>
            <w:r>
              <w:rPr>
                <w:b w:val="0"/>
                <w:i w:val="0"/>
                <w:sz w:val="15"/>
              </w:rPr>
              <w:t>13.7x (10-yr median)</w:t>
            </w:r>
          </w:p>
        </w:tc>
        <w:tc>
          <w:tcPr>
            <w:tcW w:type="dxa" w:w="1096"/>
          </w:tcPr>
          <w:p>
            <w:r/>
            <w:r>
              <w:rPr>
                <w:b w:val="0"/>
                <w:i w:val="0"/>
                <w:sz w:val="15"/>
              </w:rPr>
              <w:t>10.6x</w:t>
            </w:r>
          </w:p>
        </w:tc>
        <w:tc>
          <w:tcPr>
            <w:tcW w:type="dxa" w:w="1315"/>
          </w:tcPr>
          <w:p>
            <w:r/>
            <w:r>
              <w:rPr>
                <w:b w:val="0"/>
                <w:i w:val="0"/>
                <w:sz w:val="15"/>
              </w:rPr>
              <w:t>Cheap vs history</w:t>
            </w:r>
          </w:p>
        </w:tc>
      </w:tr>
      <w:tr>
        <w:tc>
          <w:tcPr>
            <w:tcW w:type="dxa" w:w="1644"/>
            <w:shd w:val="clear" w:color="auto" w:fill="F1F3F7"/>
          </w:tcPr>
          <w:p>
            <w:r/>
            <w:r>
              <w:rPr>
                <w:b w:val="0"/>
                <w:i w:val="0"/>
                <w:sz w:val="15"/>
              </w:rPr>
              <w:t>P/B</w:t>
            </w:r>
          </w:p>
        </w:tc>
        <w:tc>
          <w:tcPr>
            <w:tcW w:type="dxa" w:w="1754"/>
            <w:shd w:val="clear" w:color="auto" w:fill="F1F3F7"/>
          </w:tcPr>
          <w:p>
            <w:r/>
            <w:r>
              <w:rPr>
                <w:b w:val="0"/>
                <w:i w:val="0"/>
                <w:sz w:val="15"/>
              </w:rPr>
              <w:t>1.36x (Dec 2023)</w:t>
            </w:r>
          </w:p>
        </w:tc>
        <w:tc>
          <w:tcPr>
            <w:tcW w:type="dxa" w:w="2192"/>
            <w:shd w:val="clear" w:color="auto" w:fill="F1F3F7"/>
          </w:tcPr>
          <w:p>
            <w:r/>
            <w:r>
              <w:rPr>
                <w:b w:val="0"/>
                <w:i w:val="0"/>
                <w:sz w:val="15"/>
              </w:rPr>
              <w:t>~3.0x (2021)</w:t>
            </w:r>
          </w:p>
        </w:tc>
        <w:tc>
          <w:tcPr>
            <w:tcW w:type="dxa" w:w="1863"/>
            <w:shd w:val="clear" w:color="auto" w:fill="F1F3F7"/>
          </w:tcPr>
          <w:p>
            <w:r/>
            <w:r>
              <w:rPr>
                <w:b w:val="0"/>
                <w:i w:val="0"/>
                <w:sz w:val="15"/>
              </w:rPr>
              <w:t>~2.0x</w:t>
            </w:r>
          </w:p>
        </w:tc>
        <w:tc>
          <w:tcPr>
            <w:tcW w:type="dxa" w:w="1096"/>
            <w:shd w:val="clear" w:color="auto" w:fill="F1F3F7"/>
          </w:tcPr>
          <w:p>
            <w:r/>
            <w:r>
              <w:rPr>
                <w:b w:val="0"/>
                <w:i w:val="0"/>
                <w:sz w:val="15"/>
              </w:rPr>
              <w:t>~1.9–2.0x</w:t>
            </w:r>
          </w:p>
        </w:tc>
        <w:tc>
          <w:tcPr>
            <w:tcW w:type="dxa" w:w="1315"/>
            <w:shd w:val="clear" w:color="auto" w:fill="F1F3F7"/>
          </w:tcPr>
          <w:p>
            <w:r/>
            <w:r>
              <w:rPr>
                <w:b w:val="0"/>
                <w:i w:val="0"/>
                <w:sz w:val="15"/>
              </w:rPr>
              <w:t>Fair</w:t>
            </w:r>
          </w:p>
        </w:tc>
      </w:tr>
      <w:tr>
        <w:tc>
          <w:tcPr>
            <w:tcW w:type="dxa" w:w="1644"/>
          </w:tcPr>
          <w:p>
            <w:r/>
            <w:r>
              <w:rPr>
                <w:b w:val="0"/>
                <w:i w:val="0"/>
                <w:sz w:val="15"/>
              </w:rPr>
              <w:t>Dividend yield</w:t>
            </w:r>
          </w:p>
        </w:tc>
        <w:tc>
          <w:tcPr>
            <w:tcW w:type="dxa" w:w="1754"/>
          </w:tcPr>
          <w:p>
            <w:r/>
            <w:r>
              <w:rPr>
                <w:b w:val="0"/>
                <w:i w:val="0"/>
                <w:sz w:val="15"/>
              </w:rPr>
              <w:t>~1.3%</w:t>
            </w:r>
          </w:p>
        </w:tc>
        <w:tc>
          <w:tcPr>
            <w:tcW w:type="dxa" w:w="2192"/>
          </w:tcPr>
          <w:p>
            <w:r/>
            <w:r>
              <w:rPr>
                <w:b w:val="0"/>
                <w:i w:val="0"/>
                <w:sz w:val="15"/>
              </w:rPr>
              <w:t>~2.9%</w:t>
            </w:r>
          </w:p>
        </w:tc>
        <w:tc>
          <w:tcPr>
            <w:tcW w:type="dxa" w:w="1863"/>
          </w:tcPr>
          <w:p>
            <w:r/>
            <w:r>
              <w:rPr>
                <w:b w:val="0"/>
                <w:i w:val="0"/>
                <w:sz w:val="15"/>
              </w:rPr>
              <w:t>~2.0%</w:t>
            </w:r>
          </w:p>
        </w:tc>
        <w:tc>
          <w:tcPr>
            <w:tcW w:type="dxa" w:w="1096"/>
          </w:tcPr>
          <w:p>
            <w:r/>
            <w:r>
              <w:rPr>
                <w:b w:val="0"/>
                <w:i w:val="0"/>
                <w:sz w:val="15"/>
              </w:rPr>
              <w:t>2.0%</w:t>
            </w:r>
          </w:p>
        </w:tc>
        <w:tc>
          <w:tcPr>
            <w:tcW w:type="dxa" w:w="1315"/>
          </w:tcPr>
          <w:p>
            <w:r/>
            <w:r>
              <w:rPr>
                <w:b w:val="0"/>
                <w:i w:val="0"/>
                <w:sz w:val="15"/>
              </w:rPr>
              <w:t>Fair</w:t>
            </w:r>
          </w:p>
        </w:tc>
      </w:tr>
    </w:tbl>
    <w:p>
      <w:r>
        <w:rPr>
          <w:b w:val="0"/>
          <w:i/>
          <w:color w:val="5E6878"/>
          <w:sz w:val="14"/>
        </w:rPr>
        <w:t>Sources: companiesmarketcap, GuruFocus (TOTDY), YCharts; our calculations.</w:t>
      </w:r>
    </w:p>
    <w:p>
      <w:pPr>
        <w:pStyle w:val="Heading2"/>
      </w:pPr>
      <w:r>
        <w:t>12.3 Regression: EV/Sales vs EBIT margin</w:t>
      </w:r>
    </w:p>
    <w:p>
      <w:r>
        <w:drawing>
          <wp:inline xmlns:a="http://schemas.openxmlformats.org/drawingml/2006/main" xmlns:pic="http://schemas.openxmlformats.org/drawingml/2006/picture">
            <wp:extent cx="5950799" cy="2902829"/>
            <wp:docPr id="5" name="Picture 5"/>
            <wp:cNvGraphicFramePr>
              <a:graphicFrameLocks noChangeAspect="1"/>
            </wp:cNvGraphicFramePr>
            <a:graphic>
              <a:graphicData uri="http://schemas.openxmlformats.org/drawingml/2006/picture">
                <pic:pic>
                  <pic:nvPicPr>
                    <pic:cNvPr id="0" name="regression.png"/>
                    <pic:cNvPicPr/>
                  </pic:nvPicPr>
                  <pic:blipFill>
                    <a:blip r:embed="rId14"/>
                    <a:stretch>
                      <a:fillRect/>
                    </a:stretch>
                  </pic:blipFill>
                  <pic:spPr>
                    <a:xfrm>
                      <a:off x="0" y="0"/>
                      <a:ext cx="5950799" cy="2902829"/>
                    </a:xfrm>
                    <a:prstGeom prst="rect"/>
                  </pic:spPr>
                </pic:pic>
              </a:graphicData>
            </a:graphic>
          </wp:inline>
        </w:drawing>
      </w:r>
    </w:p>
    <w:p>
      <w:r>
        <w:rPr>
          <w:b w:val="0"/>
          <w:i/>
          <w:color w:val="5E6878"/>
          <w:sz w:val="14"/>
        </w:rPr>
        <w:t>EV/Sales vs latest-FY EBIT margin for 12 listed peers (building products and technical ceramics). Dashed = all peers; dotted = ex-Geberit.</w:t>
      </w:r>
    </w:p>
    <w:p>
      <w:pPr>
        <w:spacing w:after="80"/>
      </w:pPr>
      <w:r>
        <w:rPr>
          <w:b/>
          <w:i w:val="0"/>
        </w:rPr>
        <w:t>Result.</w:t>
      </w:r>
      <w:r>
        <w:rPr>
          <w:b w:val="0"/>
          <w:i w:val="0"/>
        </w:rPr>
        <w:t xml:space="preserve"> Across 12 listed peers EV/Sales = 0.225 × EBIT margin – 0.84 (R² 0.70); excluding the Geberit outlier EV/Sales = 0.124 × margin – 0.04 (R² 0.75). At TOTO's consolidated 7.3% margin the regressions imply 0.81x–0.87x EV/Sales versus an actual 1.27x: on a consolidated basis TOTO screens </w:t>
      </w:r>
      <w:r>
        <w:rPr>
          <w:b/>
          <w:i w:val="0"/>
        </w:rPr>
        <w:t>~45–55% expensive</w:t>
      </w:r>
      <w:r>
        <w:rPr>
          <w:b w:val="0"/>
          <w:i w:val="0"/>
        </w:rPr>
        <w:t>.</w:t>
      </w:r>
    </w:p>
    <w:p>
      <w:pPr>
        <w:spacing w:after="80"/>
      </w:pPr>
      <w:r>
        <w:rPr>
          <w:b/>
          <w:i w:val="0"/>
        </w:rPr>
        <w:t>Why the consolidated read is misleading — the SOTP regression.</w:t>
      </w:r>
      <w:r>
        <w:rPr>
          <w:b w:val="0"/>
          <w:i w:val="0"/>
        </w:rPr>
        <w:t xml:space="preserve"> Valuing the housing segment alone on the ex-Geberit line (4.2% margin → 0.48x sales → ~¥320bn EV) leaves ~¥615bn of EV for ceramics: ~9x ceramics sales, ~21x FY3/26 EBIT, ~19x FY3/27E and ~15x FY3/28E EBIT. For a 43%-margin, high-switching-cost consumable growing 15–25% p.a., that is reasonable against NGK (~17x EBIT, 14% margin) and Niterra (~12x, 19% margin). </w:t>
      </w:r>
      <w:r>
        <w:rPr>
          <w:b/>
          <w:i w:val="0"/>
        </w:rPr>
        <w:t>Verdict: expensive as a housing company, fair-to-cheap as a SOTP.</w:t>
      </w:r>
      <w:r>
        <w:rPr>
          <w:b w:val="0"/>
          <w:i w:val="0"/>
        </w:rPr>
        <w:t xml:space="preserve"> The re-rating thesis therefore depends on investors continuing to capitalise ceramics separately — which better disclosure (Palliser's ask) supports.</w:t>
      </w:r>
    </w:p>
    <w:p>
      <w:pPr>
        <w:pStyle w:val="Heading2"/>
      </w:pPr>
      <w:r>
        <w:t>12.4 Sum-of-the-parts (12-month target derivation)</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c>
          <w:tcPr>
            <w:tcW w:type="dxa" w:w="1973"/>
            <w:shd w:val="clear" w:color="auto" w:fill="16243D"/>
          </w:tcPr>
          <w:p>
            <w:r/>
            <w:r>
              <w:rPr>
                <w:b/>
                <w:i w:val="0"/>
                <w:color w:val="FFFFFF"/>
                <w:sz w:val="15"/>
              </w:rPr>
              <w:t>Component</w:t>
            </w:r>
          </w:p>
        </w:tc>
        <w:tc>
          <w:tcPr>
            <w:tcW w:type="dxa" w:w="1776"/>
            <w:shd w:val="clear" w:color="auto" w:fill="16243D"/>
          </w:tcPr>
          <w:p>
            <w:r/>
            <w:r>
              <w:rPr>
                <w:b/>
                <w:i w:val="0"/>
                <w:color w:val="FFFFFF"/>
                <w:sz w:val="15"/>
              </w:rPr>
              <w:t>Metric</w:t>
            </w:r>
          </w:p>
        </w:tc>
        <w:tc>
          <w:tcPr>
            <w:tcW w:type="dxa" w:w="1184"/>
            <w:shd w:val="clear" w:color="auto" w:fill="16243D"/>
          </w:tcPr>
          <w:p>
            <w:r/>
            <w:r>
              <w:rPr>
                <w:b/>
                <w:i w:val="0"/>
                <w:color w:val="FFFFFF"/>
                <w:sz w:val="15"/>
              </w:rPr>
              <w:t>Multiple</w:t>
            </w:r>
          </w:p>
        </w:tc>
        <w:tc>
          <w:tcPr>
            <w:tcW w:type="dxa" w:w="986"/>
            <w:shd w:val="clear" w:color="auto" w:fill="16243D"/>
          </w:tcPr>
          <w:p>
            <w:r/>
            <w:r>
              <w:rPr>
                <w:b/>
                <w:i w:val="0"/>
                <w:color w:val="FFFFFF"/>
                <w:sz w:val="15"/>
              </w:rPr>
              <w:t>Value (¥bn)</w:t>
            </w:r>
          </w:p>
        </w:tc>
        <w:tc>
          <w:tcPr>
            <w:tcW w:type="dxa" w:w="986"/>
            <w:shd w:val="clear" w:color="auto" w:fill="16243D"/>
          </w:tcPr>
          <w:p>
            <w:r/>
            <w:r>
              <w:rPr>
                <w:b/>
                <w:i w:val="0"/>
                <w:color w:val="FFFFFF"/>
                <w:sz w:val="15"/>
              </w:rPr>
              <w:t>¥/share</w:t>
            </w:r>
          </w:p>
        </w:tc>
        <w:tc>
          <w:tcPr>
            <w:tcW w:type="dxa" w:w="2959"/>
            <w:shd w:val="clear" w:color="auto" w:fill="16243D"/>
          </w:tcPr>
          <w:p>
            <w:r/>
            <w:r>
              <w:rPr>
                <w:b/>
                <w:i w:val="0"/>
                <w:color w:val="FFFFFF"/>
                <w:sz w:val="15"/>
              </w:rPr>
              <w:t>Rationale</w:t>
            </w:r>
          </w:p>
        </w:tc>
      </w:tr>
      <w:tr>
        <w:tc>
          <w:tcPr>
            <w:tcW w:type="dxa" w:w="1973"/>
          </w:tcPr>
          <w:p>
            <w:r/>
            <w:r>
              <w:rPr>
                <w:b w:val="0"/>
                <w:i w:val="0"/>
                <w:sz w:val="15"/>
              </w:rPr>
              <w:t>Advanced Ceramics</w:t>
            </w:r>
          </w:p>
        </w:tc>
        <w:tc>
          <w:tcPr>
            <w:tcW w:type="dxa" w:w="1776"/>
          </w:tcPr>
          <w:p>
            <w:r/>
            <w:r>
              <w:rPr>
                <w:b w:val="0"/>
                <w:i w:val="0"/>
                <w:sz w:val="15"/>
              </w:rPr>
              <w:t>FY3/28E EBIT ¥40.4bn</w:t>
            </w:r>
          </w:p>
        </w:tc>
        <w:tc>
          <w:tcPr>
            <w:tcW w:type="dxa" w:w="1184"/>
          </w:tcPr>
          <w:p>
            <w:r/>
            <w:r>
              <w:rPr>
                <w:b w:val="0"/>
                <w:i w:val="0"/>
                <w:sz w:val="15"/>
              </w:rPr>
              <w:t>18x EV/EBIT</w:t>
            </w:r>
          </w:p>
        </w:tc>
        <w:tc>
          <w:tcPr>
            <w:tcW w:type="dxa" w:w="986"/>
          </w:tcPr>
          <w:p>
            <w:r/>
            <w:r>
              <w:rPr>
                <w:b w:val="0"/>
                <w:i w:val="0"/>
                <w:sz w:val="15"/>
              </w:rPr>
              <w:t>727</w:t>
            </w:r>
          </w:p>
        </w:tc>
        <w:tc>
          <w:tcPr>
            <w:tcW w:type="dxa" w:w="986"/>
          </w:tcPr>
          <w:p>
            <w:r/>
            <w:r>
              <w:rPr>
                <w:b w:val="0"/>
                <w:i w:val="0"/>
                <w:sz w:val="15"/>
              </w:rPr>
              <w:t>4,460</w:t>
            </w:r>
          </w:p>
        </w:tc>
        <w:tc>
          <w:tcPr>
            <w:tcW w:type="dxa" w:w="2959"/>
          </w:tcPr>
          <w:p>
            <w:r/>
            <w:r>
              <w:rPr>
                <w:b w:val="0"/>
                <w:i w:val="0"/>
                <w:sz w:val="15"/>
              </w:rPr>
              <w:t>Discount to NGK on concentration; premium on margin/growth</w:t>
            </w:r>
          </w:p>
        </w:tc>
      </w:tr>
      <w:tr>
        <w:tc>
          <w:tcPr>
            <w:tcW w:type="dxa" w:w="1973"/>
            <w:shd w:val="clear" w:color="auto" w:fill="F1F3F7"/>
          </w:tcPr>
          <w:p>
            <w:r/>
            <w:r>
              <w:rPr>
                <w:b w:val="0"/>
                <w:i w:val="0"/>
                <w:sz w:val="15"/>
              </w:rPr>
              <w:t>Housing equipment</w:t>
            </w:r>
          </w:p>
        </w:tc>
        <w:tc>
          <w:tcPr>
            <w:tcW w:type="dxa" w:w="1776"/>
            <w:shd w:val="clear" w:color="auto" w:fill="F1F3F7"/>
          </w:tcPr>
          <w:p>
            <w:r/>
            <w:r>
              <w:rPr>
                <w:b w:val="0"/>
                <w:i w:val="0"/>
                <w:sz w:val="15"/>
              </w:rPr>
              <w:t>FY3/28E EBIT ¥41.0bn</w:t>
            </w:r>
          </w:p>
        </w:tc>
        <w:tc>
          <w:tcPr>
            <w:tcW w:type="dxa" w:w="1184"/>
            <w:shd w:val="clear" w:color="auto" w:fill="F1F3F7"/>
          </w:tcPr>
          <w:p>
            <w:r/>
            <w:r>
              <w:rPr>
                <w:b w:val="0"/>
                <w:i w:val="0"/>
                <w:sz w:val="15"/>
              </w:rPr>
              <w:t>9x EV/EBIT</w:t>
            </w:r>
          </w:p>
        </w:tc>
        <w:tc>
          <w:tcPr>
            <w:tcW w:type="dxa" w:w="986"/>
            <w:shd w:val="clear" w:color="auto" w:fill="F1F3F7"/>
          </w:tcPr>
          <w:p>
            <w:r/>
            <w:r>
              <w:rPr>
                <w:b w:val="0"/>
                <w:i w:val="0"/>
                <w:sz w:val="15"/>
              </w:rPr>
              <w:t>369</w:t>
            </w:r>
          </w:p>
        </w:tc>
        <w:tc>
          <w:tcPr>
            <w:tcW w:type="dxa" w:w="986"/>
            <w:shd w:val="clear" w:color="auto" w:fill="F1F3F7"/>
          </w:tcPr>
          <w:p>
            <w:r/>
            <w:r>
              <w:rPr>
                <w:b w:val="0"/>
                <w:i w:val="0"/>
                <w:sz w:val="15"/>
              </w:rPr>
              <w:t>2,264</w:t>
            </w:r>
          </w:p>
        </w:tc>
        <w:tc>
          <w:tcPr>
            <w:tcW w:type="dxa" w:w="2959"/>
            <w:shd w:val="clear" w:color="auto" w:fill="F1F3F7"/>
          </w:tcPr>
          <w:p>
            <w:r/>
            <w:r>
              <w:rPr>
                <w:b w:val="0"/>
                <w:i w:val="0"/>
                <w:sz w:val="15"/>
              </w:rPr>
              <w:t>In line with Rinnai/Masco-ex-premium; China drag</w:t>
            </w:r>
          </w:p>
        </w:tc>
      </w:tr>
      <w:tr>
        <w:tc>
          <w:tcPr>
            <w:tcW w:type="dxa" w:w="1973"/>
          </w:tcPr>
          <w:p>
            <w:r/>
            <w:r>
              <w:rPr>
                <w:b w:val="0"/>
                <w:i w:val="0"/>
                <w:sz w:val="15"/>
              </w:rPr>
              <w:t>Corporate costs</w:t>
            </w:r>
          </w:p>
        </w:tc>
        <w:tc>
          <w:tcPr>
            <w:tcW w:type="dxa" w:w="1776"/>
          </w:tcPr>
          <w:p>
            <w:r/>
            <w:r>
              <w:rPr>
                <w:b w:val="0"/>
                <w:i w:val="0"/>
                <w:sz w:val="15"/>
              </w:rPr>
              <w:t>-¥4.0bn</w:t>
            </w:r>
          </w:p>
        </w:tc>
        <w:tc>
          <w:tcPr>
            <w:tcW w:type="dxa" w:w="1184"/>
          </w:tcPr>
          <w:p>
            <w:r/>
            <w:r>
              <w:rPr>
                <w:b w:val="0"/>
                <w:i w:val="0"/>
                <w:sz w:val="15"/>
              </w:rPr>
              <w:t>9x</w:t>
            </w:r>
          </w:p>
        </w:tc>
        <w:tc>
          <w:tcPr>
            <w:tcW w:type="dxa" w:w="986"/>
          </w:tcPr>
          <w:p>
            <w:r/>
            <w:r>
              <w:rPr>
                <w:b w:val="0"/>
                <w:i w:val="0"/>
                <w:sz w:val="15"/>
              </w:rPr>
              <w:t>-36</w:t>
            </w:r>
          </w:p>
        </w:tc>
        <w:tc>
          <w:tcPr>
            <w:tcW w:type="dxa" w:w="986"/>
          </w:tcPr>
          <w:p>
            <w:r/>
            <w:r>
              <w:rPr>
                <w:b w:val="0"/>
                <w:i w:val="0"/>
                <w:sz w:val="15"/>
              </w:rPr>
              <w:t>-221</w:t>
            </w:r>
          </w:p>
        </w:tc>
        <w:tc>
          <w:tcPr>
            <w:tcW w:type="dxa" w:w="2959"/>
          </w:tcPr>
          <w:p>
            <w:r/>
          </w:p>
        </w:tc>
      </w:tr>
      <w:tr>
        <w:tc>
          <w:tcPr>
            <w:tcW w:type="dxa" w:w="1973"/>
            <w:shd w:val="clear" w:color="auto" w:fill="F1F3F7"/>
          </w:tcPr>
          <w:p>
            <w:r/>
            <w:r>
              <w:rPr>
                <w:b w:val="0"/>
                <w:i w:val="0"/>
                <w:sz w:val="15"/>
              </w:rPr>
              <w:t>Net cash (e)</w:t>
            </w:r>
          </w:p>
        </w:tc>
        <w:tc>
          <w:tcPr>
            <w:tcW w:type="dxa" w:w="1776"/>
            <w:shd w:val="clear" w:color="auto" w:fill="F1F3F7"/>
          </w:tcPr>
          <w:p>
            <w:r/>
          </w:p>
        </w:tc>
        <w:tc>
          <w:tcPr>
            <w:tcW w:type="dxa" w:w="1184"/>
            <w:shd w:val="clear" w:color="auto" w:fill="F1F3F7"/>
          </w:tcPr>
          <w:p>
            <w:r/>
          </w:p>
        </w:tc>
        <w:tc>
          <w:tcPr>
            <w:tcW w:type="dxa" w:w="986"/>
            <w:shd w:val="clear" w:color="auto" w:fill="F1F3F7"/>
          </w:tcPr>
          <w:p>
            <w:r/>
            <w:r>
              <w:rPr>
                <w:b w:val="0"/>
                <w:i w:val="0"/>
                <w:sz w:val="15"/>
              </w:rPr>
              <w:t>65</w:t>
            </w:r>
          </w:p>
        </w:tc>
        <w:tc>
          <w:tcPr>
            <w:tcW w:type="dxa" w:w="986"/>
            <w:shd w:val="clear" w:color="auto" w:fill="F1F3F7"/>
          </w:tcPr>
          <w:p>
            <w:r/>
            <w:r>
              <w:rPr>
                <w:b w:val="0"/>
                <w:i w:val="0"/>
                <w:sz w:val="15"/>
              </w:rPr>
              <w:t>399</w:t>
            </w:r>
          </w:p>
        </w:tc>
        <w:tc>
          <w:tcPr>
            <w:tcW w:type="dxa" w:w="2959"/>
            <w:shd w:val="clear" w:color="auto" w:fill="F1F3F7"/>
          </w:tcPr>
          <w:p>
            <w:r/>
          </w:p>
        </w:tc>
      </w:tr>
      <w:tr>
        <w:tc>
          <w:tcPr>
            <w:tcW w:type="dxa" w:w="1973"/>
          </w:tcPr>
          <w:p>
            <w:r/>
            <w:r>
              <w:rPr>
                <w:b w:val="0"/>
                <w:i w:val="0"/>
                <w:sz w:val="15"/>
              </w:rPr>
              <w:t>Cross-holdings, after tax (e)</w:t>
            </w:r>
          </w:p>
        </w:tc>
        <w:tc>
          <w:tcPr>
            <w:tcW w:type="dxa" w:w="1776"/>
          </w:tcPr>
          <w:p>
            <w:r/>
          </w:p>
        </w:tc>
        <w:tc>
          <w:tcPr>
            <w:tcW w:type="dxa" w:w="1184"/>
          </w:tcPr>
          <w:p>
            <w:r/>
          </w:p>
        </w:tc>
        <w:tc>
          <w:tcPr>
            <w:tcW w:type="dxa" w:w="986"/>
          </w:tcPr>
          <w:p>
            <w:r/>
            <w:r>
              <w:rPr>
                <w:b w:val="0"/>
                <w:i w:val="0"/>
                <w:sz w:val="15"/>
              </w:rPr>
              <w:t>45</w:t>
            </w:r>
          </w:p>
        </w:tc>
        <w:tc>
          <w:tcPr>
            <w:tcW w:type="dxa" w:w="986"/>
          </w:tcPr>
          <w:p>
            <w:r/>
            <w:r>
              <w:rPr>
                <w:b w:val="0"/>
                <w:i w:val="0"/>
                <w:sz w:val="15"/>
              </w:rPr>
              <w:t>276</w:t>
            </w:r>
          </w:p>
        </w:tc>
        <w:tc>
          <w:tcPr>
            <w:tcW w:type="dxa" w:w="2959"/>
          </w:tcPr>
          <w:p>
            <w:r/>
          </w:p>
        </w:tc>
      </w:tr>
      <w:tr>
        <w:tc>
          <w:tcPr>
            <w:tcW w:type="dxa" w:w="1973"/>
            <w:shd w:val="clear" w:color="auto" w:fill="F1F3F7"/>
          </w:tcPr>
          <w:p>
            <w:r/>
            <w:r>
              <w:rPr>
                <w:b/>
                <w:i w:val="0"/>
                <w:sz w:val="15"/>
              </w:rPr>
              <w:t>Equity value</w:t>
            </w:r>
          </w:p>
        </w:tc>
        <w:tc>
          <w:tcPr>
            <w:tcW w:type="dxa" w:w="1776"/>
            <w:shd w:val="clear" w:color="auto" w:fill="F1F3F7"/>
          </w:tcPr>
          <w:p>
            <w:r/>
          </w:p>
        </w:tc>
        <w:tc>
          <w:tcPr>
            <w:tcW w:type="dxa" w:w="1184"/>
            <w:shd w:val="clear" w:color="auto" w:fill="F1F3F7"/>
          </w:tcPr>
          <w:p>
            <w:r/>
          </w:p>
        </w:tc>
        <w:tc>
          <w:tcPr>
            <w:tcW w:type="dxa" w:w="986"/>
            <w:shd w:val="clear" w:color="auto" w:fill="F1F3F7"/>
          </w:tcPr>
          <w:p>
            <w:r/>
            <w:r>
              <w:rPr>
                <w:b/>
                <w:i w:val="0"/>
                <w:sz w:val="15"/>
              </w:rPr>
              <w:t>1,170</w:t>
            </w:r>
          </w:p>
        </w:tc>
        <w:tc>
          <w:tcPr>
            <w:tcW w:type="dxa" w:w="986"/>
            <w:shd w:val="clear" w:color="auto" w:fill="F1F3F7"/>
          </w:tcPr>
          <w:p>
            <w:r/>
            <w:r>
              <w:rPr>
                <w:b/>
                <w:i w:val="0"/>
                <w:sz w:val="15"/>
              </w:rPr>
              <w:t>~7,180</w:t>
            </w:r>
          </w:p>
        </w:tc>
        <w:tc>
          <w:tcPr>
            <w:tcW w:type="dxa" w:w="2959"/>
            <w:shd w:val="clear" w:color="auto" w:fill="F1F3F7"/>
          </w:tcPr>
          <w:p>
            <w:r/>
            <w:r>
              <w:rPr>
                <w:b w:val="0"/>
                <w:i w:val="0"/>
                <w:sz w:val="15"/>
              </w:rPr>
              <w:t>÷ ~163m shares</w:t>
            </w:r>
          </w:p>
        </w:tc>
      </w:tr>
      <w:tr>
        <w:tc>
          <w:tcPr>
            <w:tcW w:type="dxa" w:w="1973"/>
          </w:tcPr>
          <w:p>
            <w:r/>
            <w:r>
              <w:rPr>
                <w:b w:val="0"/>
                <w:i w:val="0"/>
                <w:sz w:val="15"/>
              </w:rPr>
              <w:t>Cross-check: P/E</w:t>
            </w:r>
          </w:p>
        </w:tc>
        <w:tc>
          <w:tcPr>
            <w:tcW w:type="dxa" w:w="1776"/>
          </w:tcPr>
          <w:p>
            <w:r/>
            <w:r>
              <w:rPr>
                <w:b w:val="0"/>
                <w:i w:val="0"/>
                <w:sz w:val="15"/>
              </w:rPr>
              <w:t>FY3/28E EPS ¥352</w:t>
            </w:r>
          </w:p>
        </w:tc>
        <w:tc>
          <w:tcPr>
            <w:tcW w:type="dxa" w:w="1184"/>
          </w:tcPr>
          <w:p>
            <w:r/>
            <w:r>
              <w:rPr>
                <w:b w:val="0"/>
                <w:i w:val="0"/>
                <w:sz w:val="15"/>
              </w:rPr>
              <w:t>20.5x</w:t>
            </w:r>
          </w:p>
        </w:tc>
        <w:tc>
          <w:tcPr>
            <w:tcW w:type="dxa" w:w="986"/>
          </w:tcPr>
          <w:p>
            <w:r/>
          </w:p>
        </w:tc>
        <w:tc>
          <w:tcPr>
            <w:tcW w:type="dxa" w:w="986"/>
          </w:tcPr>
          <w:p>
            <w:r/>
            <w:r>
              <w:rPr>
                <w:b w:val="0"/>
                <w:i w:val="0"/>
                <w:sz w:val="15"/>
              </w:rPr>
              <w:t>7,216</w:t>
            </w:r>
          </w:p>
        </w:tc>
        <w:tc>
          <w:tcPr>
            <w:tcW w:type="dxa" w:w="2959"/>
          </w:tcPr>
          <w:p>
            <w:r/>
            <w:r>
              <w:rPr>
                <w:b w:val="0"/>
                <w:i w:val="0"/>
                <w:sz w:val="15"/>
              </w:rPr>
              <w:t>Peer blend NGK 22x / Japan housing 14x</w:t>
            </w:r>
          </w:p>
        </w:tc>
      </w:tr>
      <w:tr>
        <w:tc>
          <w:tcPr>
            <w:tcW w:type="dxa" w:w="1973"/>
            <w:shd w:val="clear" w:color="auto" w:fill="F1F3F7"/>
          </w:tcPr>
          <w:p>
            <w:r/>
            <w:r>
              <w:rPr>
                <w:b/>
                <w:i w:val="0"/>
                <w:sz w:val="15"/>
              </w:rPr>
              <w:t>12-month target</w:t>
            </w:r>
          </w:p>
        </w:tc>
        <w:tc>
          <w:tcPr>
            <w:tcW w:type="dxa" w:w="1776"/>
            <w:shd w:val="clear" w:color="auto" w:fill="F1F3F7"/>
          </w:tcPr>
          <w:p>
            <w:r/>
          </w:p>
        </w:tc>
        <w:tc>
          <w:tcPr>
            <w:tcW w:type="dxa" w:w="1184"/>
            <w:shd w:val="clear" w:color="auto" w:fill="F1F3F7"/>
          </w:tcPr>
          <w:p>
            <w:r/>
          </w:p>
        </w:tc>
        <w:tc>
          <w:tcPr>
            <w:tcW w:type="dxa" w:w="986"/>
            <w:shd w:val="clear" w:color="auto" w:fill="F1F3F7"/>
          </w:tcPr>
          <w:p>
            <w:r/>
          </w:p>
        </w:tc>
        <w:tc>
          <w:tcPr>
            <w:tcW w:type="dxa" w:w="986"/>
            <w:shd w:val="clear" w:color="auto" w:fill="F1F3F7"/>
          </w:tcPr>
          <w:p>
            <w:r/>
            <w:r>
              <w:rPr>
                <w:b/>
                <w:i w:val="0"/>
                <w:sz w:val="15"/>
              </w:rPr>
              <w:t>¥7,200</w:t>
            </w:r>
          </w:p>
        </w:tc>
        <w:tc>
          <w:tcPr>
            <w:tcW w:type="dxa" w:w="2959"/>
            <w:shd w:val="clear" w:color="auto" w:fill="F1F3F7"/>
          </w:tcPr>
          <w:p>
            <w:r/>
            <w:r>
              <w:rPr>
                <w:b w:val="0"/>
                <w:i w:val="0"/>
                <w:sz w:val="15"/>
              </w:rPr>
              <w:t>+18% upside</w:t>
            </w:r>
          </w:p>
        </w:tc>
      </w:tr>
    </w:tbl>
    <w:p/>
    <w:p>
      <w:pPr>
        <w:pStyle w:val="Heading1"/>
      </w:pPr>
      <w:r>
        <w:t>13. M&amp;A: Industry Deals, Takeover Potential and Takeout Multiples</w:t>
      </w:r>
    </w:p>
    <w:p>
      <w:pPr>
        <w:pStyle w:val="Heading2"/>
      </w:pPr>
      <w:r>
        <w:t>13.1 Comparable transactions (2021–2026)</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c>
          <w:tcPr>
            <w:tcW w:type="dxa" w:w="1724"/>
            <w:shd w:val="clear" w:color="auto" w:fill="16243D"/>
          </w:tcPr>
          <w:p>
            <w:r/>
            <w:r>
              <w:rPr>
                <w:b/>
                <w:i w:val="0"/>
                <w:color w:val="FFFFFF"/>
                <w:sz w:val="15"/>
              </w:rPr>
              <w:t>Date</w:t>
            </w:r>
          </w:p>
        </w:tc>
        <w:tc>
          <w:tcPr>
            <w:tcW w:type="dxa" w:w="2107"/>
            <w:shd w:val="clear" w:color="auto" w:fill="16243D"/>
          </w:tcPr>
          <w:p>
            <w:r/>
            <w:r>
              <w:rPr>
                <w:b/>
                <w:i w:val="0"/>
                <w:color w:val="FFFFFF"/>
                <w:sz w:val="15"/>
              </w:rPr>
              <w:t>Target</w:t>
            </w:r>
          </w:p>
        </w:tc>
        <w:tc>
          <w:tcPr>
            <w:tcW w:type="dxa" w:w="2299"/>
            <w:shd w:val="clear" w:color="auto" w:fill="16243D"/>
          </w:tcPr>
          <w:p>
            <w:r/>
            <w:r>
              <w:rPr>
                <w:b/>
                <w:i w:val="0"/>
                <w:color w:val="FFFFFF"/>
                <w:sz w:val="15"/>
              </w:rPr>
              <w:t>Acquirer</w:t>
            </w:r>
          </w:p>
        </w:tc>
        <w:tc>
          <w:tcPr>
            <w:tcW w:type="dxa" w:w="1149"/>
            <w:shd w:val="clear" w:color="auto" w:fill="16243D"/>
          </w:tcPr>
          <w:p>
            <w:r/>
            <w:r>
              <w:rPr>
                <w:b/>
                <w:i w:val="0"/>
                <w:color w:val="FFFFFF"/>
                <w:sz w:val="15"/>
              </w:rPr>
              <w:t>Value</w:t>
            </w:r>
          </w:p>
        </w:tc>
        <w:tc>
          <w:tcPr>
            <w:tcW w:type="dxa" w:w="862"/>
            <w:shd w:val="clear" w:color="auto" w:fill="16243D"/>
          </w:tcPr>
          <w:p>
            <w:r/>
            <w:r>
              <w:rPr>
                <w:b/>
                <w:i w:val="0"/>
                <w:color w:val="FFFFFF"/>
                <w:sz w:val="15"/>
              </w:rPr>
              <w:t>EV/Sales</w:t>
            </w:r>
          </w:p>
        </w:tc>
        <w:tc>
          <w:tcPr>
            <w:tcW w:type="dxa" w:w="1724"/>
            <w:shd w:val="clear" w:color="auto" w:fill="16243D"/>
          </w:tcPr>
          <w:p>
            <w:r/>
            <w:r>
              <w:rPr>
                <w:b/>
                <w:i w:val="0"/>
                <w:color w:val="FFFFFF"/>
                <w:sz w:val="15"/>
              </w:rPr>
              <w:t>EV/EBITDA</w:t>
            </w:r>
          </w:p>
        </w:tc>
      </w:tr>
      <w:tr>
        <w:tc>
          <w:tcPr>
            <w:tcW w:type="dxa" w:w="1724"/>
          </w:tcPr>
          <w:p>
            <w:r/>
            <w:r>
              <w:rPr>
                <w:b w:val="0"/>
                <w:i w:val="0"/>
                <w:sz w:val="15"/>
              </w:rPr>
              <w:t>Sep 2023 (closed early 2024)</w:t>
            </w:r>
          </w:p>
        </w:tc>
        <w:tc>
          <w:tcPr>
            <w:tcW w:type="dxa" w:w="2107"/>
          </w:tcPr>
          <w:p>
            <w:r/>
            <w:r>
              <w:rPr>
                <w:b w:val="0"/>
                <w:i w:val="0"/>
                <w:sz w:val="15"/>
              </w:rPr>
              <w:t>Ideal Standard (ops)</w:t>
            </w:r>
          </w:p>
        </w:tc>
        <w:tc>
          <w:tcPr>
            <w:tcW w:type="dxa" w:w="2299"/>
          </w:tcPr>
          <w:p>
            <w:r/>
            <w:r>
              <w:rPr>
                <w:b w:val="0"/>
                <w:i w:val="0"/>
                <w:sz w:val="15"/>
              </w:rPr>
              <w:t>Villeroy &amp; Boch</w:t>
            </w:r>
          </w:p>
        </w:tc>
        <w:tc>
          <w:tcPr>
            <w:tcW w:type="dxa" w:w="1149"/>
          </w:tcPr>
          <w:p>
            <w:r/>
            <w:r>
              <w:rPr>
                <w:b w:val="0"/>
                <w:i w:val="0"/>
                <w:sz w:val="15"/>
              </w:rPr>
              <w:t>~€600m</w:t>
            </w:r>
          </w:p>
        </w:tc>
        <w:tc>
          <w:tcPr>
            <w:tcW w:type="dxa" w:w="862"/>
          </w:tcPr>
          <w:p>
            <w:r/>
            <w:r>
              <w:rPr>
                <w:b w:val="0"/>
                <w:i w:val="0"/>
                <w:sz w:val="15"/>
              </w:rPr>
              <w:t>~0.81x</w:t>
            </w:r>
          </w:p>
        </w:tc>
        <w:tc>
          <w:tcPr>
            <w:tcW w:type="dxa" w:w="1724"/>
          </w:tcPr>
          <w:p>
            <w:r/>
            <w:r>
              <w:rPr>
                <w:b w:val="0"/>
                <w:i w:val="0"/>
                <w:sz w:val="15"/>
              </w:rPr>
              <w:t>8.1x (5.5x post-synergy)</w:t>
            </w:r>
          </w:p>
        </w:tc>
      </w:tr>
      <w:tr>
        <w:tc>
          <w:tcPr>
            <w:tcW w:type="dxa" w:w="1724"/>
            <w:shd w:val="clear" w:color="auto" w:fill="F1F3F7"/>
          </w:tcPr>
          <w:p>
            <w:r/>
            <w:r>
              <w:rPr>
                <w:b w:val="0"/>
                <w:i w:val="0"/>
                <w:sz w:val="15"/>
              </w:rPr>
              <w:t>Jun 2023</w:t>
            </w:r>
          </w:p>
        </w:tc>
        <w:tc>
          <w:tcPr>
            <w:tcW w:type="dxa" w:w="2107"/>
            <w:shd w:val="clear" w:color="auto" w:fill="F1F3F7"/>
          </w:tcPr>
          <w:p>
            <w:r/>
            <w:r>
              <w:rPr>
                <w:b w:val="0"/>
                <w:i w:val="0"/>
                <w:sz w:val="15"/>
              </w:rPr>
              <w:t>Emtek/Schaub + Yale/August residential</w:t>
            </w:r>
          </w:p>
        </w:tc>
        <w:tc>
          <w:tcPr>
            <w:tcW w:type="dxa" w:w="2299"/>
            <w:shd w:val="clear" w:color="auto" w:fill="F1F3F7"/>
          </w:tcPr>
          <w:p>
            <w:r/>
            <w:r>
              <w:rPr>
                <w:b w:val="0"/>
                <w:i w:val="0"/>
                <w:sz w:val="15"/>
              </w:rPr>
              <w:t>Fortune Brands (from ASSA ABLOY)</w:t>
            </w:r>
          </w:p>
        </w:tc>
        <w:tc>
          <w:tcPr>
            <w:tcW w:type="dxa" w:w="1149"/>
            <w:shd w:val="clear" w:color="auto" w:fill="F1F3F7"/>
          </w:tcPr>
          <w:p>
            <w:r/>
            <w:r>
              <w:rPr>
                <w:b w:val="0"/>
                <w:i w:val="0"/>
                <w:sz w:val="15"/>
              </w:rPr>
              <w:t>~$800m</w:t>
            </w:r>
          </w:p>
        </w:tc>
        <w:tc>
          <w:tcPr>
            <w:tcW w:type="dxa" w:w="862"/>
            <w:shd w:val="clear" w:color="auto" w:fill="F1F3F7"/>
          </w:tcPr>
          <w:p>
            <w:r/>
            <w:r>
              <w:rPr>
                <w:b w:val="0"/>
                <w:i w:val="0"/>
                <w:sz w:val="15"/>
              </w:rPr>
              <w:t>~2.3x</w:t>
            </w:r>
          </w:p>
        </w:tc>
        <w:tc>
          <w:tcPr>
            <w:tcW w:type="dxa" w:w="1724"/>
            <w:shd w:val="clear" w:color="auto" w:fill="F1F3F7"/>
          </w:tcPr>
          <w:p>
            <w:r/>
            <w:r>
              <w:rPr>
                <w:b w:val="0"/>
                <w:i w:val="0"/>
                <w:sz w:val="15"/>
              </w:rPr>
              <w:t>n/a</w:t>
            </w:r>
          </w:p>
        </w:tc>
      </w:tr>
      <w:tr>
        <w:tc>
          <w:tcPr>
            <w:tcW w:type="dxa" w:w="1724"/>
          </w:tcPr>
          <w:p>
            <w:r/>
            <w:r>
              <w:rPr>
                <w:b w:val="0"/>
                <w:i w:val="0"/>
                <w:sz w:val="15"/>
              </w:rPr>
              <w:t>Feb 2022</w:t>
            </w:r>
          </w:p>
        </w:tc>
        <w:tc>
          <w:tcPr>
            <w:tcW w:type="dxa" w:w="2107"/>
          </w:tcPr>
          <w:p>
            <w:r/>
            <w:r>
              <w:rPr>
                <w:b w:val="0"/>
                <w:i w:val="0"/>
                <w:sz w:val="15"/>
              </w:rPr>
              <w:t>Elkay Manufacturing</w:t>
            </w:r>
          </w:p>
        </w:tc>
        <w:tc>
          <w:tcPr>
            <w:tcW w:type="dxa" w:w="2299"/>
          </w:tcPr>
          <w:p>
            <w:r/>
            <w:r>
              <w:rPr>
                <w:b w:val="0"/>
                <w:i w:val="0"/>
                <w:sz w:val="15"/>
              </w:rPr>
              <w:t>Zurn (all-stock)</w:t>
            </w:r>
          </w:p>
        </w:tc>
        <w:tc>
          <w:tcPr>
            <w:tcW w:type="dxa" w:w="1149"/>
          </w:tcPr>
          <w:p>
            <w:r/>
            <w:r>
              <w:rPr>
                <w:b w:val="0"/>
                <w:i w:val="0"/>
                <w:sz w:val="15"/>
              </w:rPr>
              <w:t>$1.56bn</w:t>
            </w:r>
          </w:p>
        </w:tc>
        <w:tc>
          <w:tcPr>
            <w:tcW w:type="dxa" w:w="862"/>
          </w:tcPr>
          <w:p>
            <w:r/>
            <w:r>
              <w:rPr>
                <w:b w:val="0"/>
                <w:i w:val="0"/>
                <w:sz w:val="15"/>
              </w:rPr>
              <w:t>n/a</w:t>
            </w:r>
          </w:p>
        </w:tc>
        <w:tc>
          <w:tcPr>
            <w:tcW w:type="dxa" w:w="1724"/>
          </w:tcPr>
          <w:p>
            <w:r/>
            <w:r>
              <w:rPr>
                <w:b w:val="0"/>
                <w:i w:val="0"/>
                <w:sz w:val="15"/>
              </w:rPr>
              <w:t>14.2x (9.8x post-synergy)</w:t>
            </w:r>
          </w:p>
        </w:tc>
      </w:tr>
      <w:tr>
        <w:tc>
          <w:tcPr>
            <w:tcW w:type="dxa" w:w="1724"/>
            <w:shd w:val="clear" w:color="auto" w:fill="F1F3F7"/>
          </w:tcPr>
          <w:p>
            <w:r/>
            <w:r>
              <w:rPr>
                <w:b w:val="0"/>
                <w:i w:val="0"/>
                <w:sz w:val="15"/>
              </w:rPr>
              <w:t>Late 2021</w:t>
            </w:r>
          </w:p>
        </w:tc>
        <w:tc>
          <w:tcPr>
            <w:tcW w:type="dxa" w:w="2107"/>
            <w:shd w:val="clear" w:color="auto" w:fill="F1F3F7"/>
          </w:tcPr>
          <w:p>
            <w:r/>
            <w:r>
              <w:rPr>
                <w:b w:val="0"/>
                <w:i w:val="0"/>
                <w:sz w:val="15"/>
              </w:rPr>
              <w:t>EZ-Flo International</w:t>
            </w:r>
          </w:p>
        </w:tc>
        <w:tc>
          <w:tcPr>
            <w:tcW w:type="dxa" w:w="2299"/>
            <w:shd w:val="clear" w:color="auto" w:fill="F1F3F7"/>
          </w:tcPr>
          <w:p>
            <w:r/>
            <w:r>
              <w:rPr>
                <w:b w:val="0"/>
                <w:i w:val="0"/>
                <w:sz w:val="15"/>
              </w:rPr>
              <w:t>Reliance Worldwide</w:t>
            </w:r>
          </w:p>
        </w:tc>
        <w:tc>
          <w:tcPr>
            <w:tcW w:type="dxa" w:w="1149"/>
            <w:shd w:val="clear" w:color="auto" w:fill="F1F3F7"/>
          </w:tcPr>
          <w:p>
            <w:r/>
            <w:r>
              <w:rPr>
                <w:b w:val="0"/>
                <w:i w:val="0"/>
                <w:sz w:val="15"/>
              </w:rPr>
              <w:t>$325m</w:t>
            </w:r>
          </w:p>
        </w:tc>
        <w:tc>
          <w:tcPr>
            <w:tcW w:type="dxa" w:w="862"/>
            <w:shd w:val="clear" w:color="auto" w:fill="F1F3F7"/>
          </w:tcPr>
          <w:p>
            <w:r/>
            <w:r>
              <w:rPr>
                <w:b w:val="0"/>
                <w:i w:val="0"/>
                <w:sz w:val="15"/>
              </w:rPr>
              <w:t>n/a</w:t>
            </w:r>
          </w:p>
        </w:tc>
        <w:tc>
          <w:tcPr>
            <w:tcW w:type="dxa" w:w="1724"/>
            <w:shd w:val="clear" w:color="auto" w:fill="F1F3F7"/>
          </w:tcPr>
          <w:p>
            <w:r/>
            <w:r>
              <w:rPr>
                <w:b w:val="0"/>
                <w:i w:val="0"/>
                <w:sz w:val="15"/>
              </w:rPr>
              <w:t>12x (~7x post-synergy)</w:t>
            </w:r>
          </w:p>
        </w:tc>
      </w:tr>
      <w:tr>
        <w:tc>
          <w:tcPr>
            <w:tcW w:type="dxa" w:w="1724"/>
          </w:tcPr>
          <w:p>
            <w:r/>
            <w:r>
              <w:rPr>
                <w:b w:val="0"/>
                <w:i w:val="0"/>
                <w:sz w:val="15"/>
              </w:rPr>
              <w:t>Aug 2023</w:t>
            </w:r>
          </w:p>
        </w:tc>
        <w:tc>
          <w:tcPr>
            <w:tcW w:type="dxa" w:w="2107"/>
          </w:tcPr>
          <w:p>
            <w:r/>
            <w:r>
              <w:rPr>
                <w:b w:val="0"/>
                <w:i w:val="0"/>
                <w:sz w:val="15"/>
              </w:rPr>
              <w:t>Bradley Corp.</w:t>
            </w:r>
          </w:p>
        </w:tc>
        <w:tc>
          <w:tcPr>
            <w:tcW w:type="dxa" w:w="2299"/>
          </w:tcPr>
          <w:p>
            <w:r/>
            <w:r>
              <w:rPr>
                <w:b w:val="0"/>
                <w:i w:val="0"/>
                <w:sz w:val="15"/>
              </w:rPr>
              <w:t>Watts Water</w:t>
            </w:r>
          </w:p>
        </w:tc>
        <w:tc>
          <w:tcPr>
            <w:tcW w:type="dxa" w:w="1149"/>
          </w:tcPr>
          <w:p>
            <w:r/>
            <w:r>
              <w:rPr>
                <w:b w:val="0"/>
                <w:i w:val="0"/>
                <w:sz w:val="15"/>
              </w:rPr>
              <w:t>$303m</w:t>
            </w:r>
          </w:p>
        </w:tc>
        <w:tc>
          <w:tcPr>
            <w:tcW w:type="dxa" w:w="862"/>
          </w:tcPr>
          <w:p>
            <w:r/>
            <w:r>
              <w:rPr>
                <w:b w:val="0"/>
                <w:i w:val="0"/>
                <w:sz w:val="15"/>
              </w:rPr>
              <w:t>~1.5x</w:t>
            </w:r>
          </w:p>
        </w:tc>
        <w:tc>
          <w:tcPr>
            <w:tcW w:type="dxa" w:w="1724"/>
          </w:tcPr>
          <w:p>
            <w:r/>
            <w:r>
              <w:rPr>
                <w:b w:val="0"/>
                <w:i w:val="0"/>
                <w:sz w:val="15"/>
              </w:rPr>
              <w:t>&lt;8x post-synergy</w:t>
            </w:r>
          </w:p>
        </w:tc>
      </w:tr>
      <w:tr>
        <w:tc>
          <w:tcPr>
            <w:tcW w:type="dxa" w:w="1724"/>
            <w:shd w:val="clear" w:color="auto" w:fill="F1F3F7"/>
          </w:tcPr>
          <w:p>
            <w:r/>
            <w:r>
              <w:rPr>
                <w:b w:val="0"/>
                <w:i w:val="0"/>
                <w:sz w:val="15"/>
              </w:rPr>
              <w:t>Sep 2024</w:t>
            </w:r>
          </w:p>
        </w:tc>
        <w:tc>
          <w:tcPr>
            <w:tcW w:type="dxa" w:w="2107"/>
            <w:shd w:val="clear" w:color="auto" w:fill="F1F3F7"/>
          </w:tcPr>
          <w:p>
            <w:r/>
            <w:r>
              <w:rPr>
                <w:b w:val="0"/>
                <w:i w:val="0"/>
                <w:sz w:val="15"/>
              </w:rPr>
              <w:t>Kichler Lighting</w:t>
            </w:r>
          </w:p>
        </w:tc>
        <w:tc>
          <w:tcPr>
            <w:tcW w:type="dxa" w:w="2299"/>
            <w:shd w:val="clear" w:color="auto" w:fill="F1F3F7"/>
          </w:tcPr>
          <w:p>
            <w:r/>
            <w:r>
              <w:rPr>
                <w:b w:val="0"/>
                <w:i w:val="0"/>
                <w:sz w:val="15"/>
              </w:rPr>
              <w:t>Kingswood Capital (from Masco)</w:t>
            </w:r>
          </w:p>
        </w:tc>
        <w:tc>
          <w:tcPr>
            <w:tcW w:type="dxa" w:w="1149"/>
            <w:shd w:val="clear" w:color="auto" w:fill="F1F3F7"/>
          </w:tcPr>
          <w:p>
            <w:r/>
            <w:r>
              <w:rPr>
                <w:b w:val="0"/>
                <w:i w:val="0"/>
                <w:sz w:val="15"/>
              </w:rPr>
              <w:t>~$125m</w:t>
            </w:r>
          </w:p>
        </w:tc>
        <w:tc>
          <w:tcPr>
            <w:tcW w:type="dxa" w:w="862"/>
            <w:shd w:val="clear" w:color="auto" w:fill="F1F3F7"/>
          </w:tcPr>
          <w:p>
            <w:r/>
            <w:r>
              <w:rPr>
                <w:b w:val="0"/>
                <w:i w:val="0"/>
                <w:sz w:val="15"/>
              </w:rPr>
              <w:t>n/a</w:t>
            </w:r>
          </w:p>
        </w:tc>
        <w:tc>
          <w:tcPr>
            <w:tcW w:type="dxa" w:w="1724"/>
            <w:shd w:val="clear" w:color="auto" w:fill="F1F3F7"/>
          </w:tcPr>
          <w:p>
            <w:r/>
            <w:r>
              <w:rPr>
                <w:b w:val="0"/>
                <w:i w:val="0"/>
                <w:sz w:val="15"/>
              </w:rPr>
              <w:t>n/a (Masco paid ~$550m in 2018)</w:t>
            </w:r>
          </w:p>
        </w:tc>
      </w:tr>
      <w:tr>
        <w:tc>
          <w:tcPr>
            <w:tcW w:type="dxa" w:w="1724"/>
          </w:tcPr>
          <w:p>
            <w:r/>
            <w:r>
              <w:rPr>
                <w:b w:val="0"/>
                <w:i w:val="0"/>
                <w:sz w:val="15"/>
              </w:rPr>
              <w:t>Dec 2023</w:t>
            </w:r>
          </w:p>
        </w:tc>
        <w:tc>
          <w:tcPr>
            <w:tcW w:type="dxa" w:w="2107"/>
          </w:tcPr>
          <w:p>
            <w:r/>
            <w:r>
              <w:rPr>
                <w:b w:val="0"/>
                <w:i w:val="0"/>
                <w:sz w:val="15"/>
              </w:rPr>
              <w:t>KLAFS (saunas)</w:t>
            </w:r>
          </w:p>
        </w:tc>
        <w:tc>
          <w:tcPr>
            <w:tcW w:type="dxa" w:w="2299"/>
          </w:tcPr>
          <w:p>
            <w:r/>
            <w:r>
              <w:rPr>
                <w:b w:val="0"/>
                <w:i w:val="0"/>
                <w:sz w:val="15"/>
              </w:rPr>
              <w:t>Kohler (from Egeria)</w:t>
            </w:r>
          </w:p>
        </w:tc>
        <w:tc>
          <w:tcPr>
            <w:tcW w:type="dxa" w:w="1149"/>
          </w:tcPr>
          <w:p>
            <w:r/>
            <w:r>
              <w:rPr>
                <w:b w:val="0"/>
                <w:i w:val="0"/>
                <w:sz w:val="15"/>
              </w:rPr>
              <w:t>n/d</w:t>
            </w:r>
          </w:p>
        </w:tc>
        <w:tc>
          <w:tcPr>
            <w:tcW w:type="dxa" w:w="862"/>
          </w:tcPr>
          <w:p>
            <w:r/>
          </w:p>
        </w:tc>
        <w:tc>
          <w:tcPr>
            <w:tcW w:type="dxa" w:w="1724"/>
          </w:tcPr>
          <w:p>
            <w:r/>
          </w:p>
        </w:tc>
      </w:tr>
      <w:tr>
        <w:tc>
          <w:tcPr>
            <w:tcW w:type="dxa" w:w="1724"/>
            <w:shd w:val="clear" w:color="auto" w:fill="F1F3F7"/>
          </w:tcPr>
          <w:p>
            <w:r/>
            <w:r>
              <w:rPr>
                <w:b w:val="0"/>
                <w:i w:val="0"/>
                <w:sz w:val="15"/>
              </w:rPr>
              <w:t>May 2024</w:t>
            </w:r>
          </w:p>
        </w:tc>
        <w:tc>
          <w:tcPr>
            <w:tcW w:type="dxa" w:w="2107"/>
            <w:shd w:val="clear" w:color="auto" w:fill="F1F3F7"/>
          </w:tcPr>
          <w:p>
            <w:r/>
            <w:r>
              <w:rPr>
                <w:b w:val="0"/>
                <w:i w:val="0"/>
                <w:sz w:val="15"/>
              </w:rPr>
              <w:t>Kohler Energy (majority)</w:t>
            </w:r>
          </w:p>
        </w:tc>
        <w:tc>
          <w:tcPr>
            <w:tcW w:type="dxa" w:w="2299"/>
            <w:shd w:val="clear" w:color="auto" w:fill="F1F3F7"/>
          </w:tcPr>
          <w:p>
            <w:r/>
            <w:r>
              <w:rPr>
                <w:b w:val="0"/>
                <w:i w:val="0"/>
                <w:sz w:val="15"/>
              </w:rPr>
              <w:t>Platinum Equity</w:t>
            </w:r>
          </w:p>
        </w:tc>
        <w:tc>
          <w:tcPr>
            <w:tcW w:type="dxa" w:w="1149"/>
            <w:shd w:val="clear" w:color="auto" w:fill="F1F3F7"/>
          </w:tcPr>
          <w:p>
            <w:r/>
            <w:r>
              <w:rPr>
                <w:b w:val="0"/>
                <w:i w:val="0"/>
                <w:sz w:val="15"/>
              </w:rPr>
              <w:t>up to ~$3bn</w:t>
            </w:r>
          </w:p>
        </w:tc>
        <w:tc>
          <w:tcPr>
            <w:tcW w:type="dxa" w:w="862"/>
            <w:shd w:val="clear" w:color="auto" w:fill="F1F3F7"/>
          </w:tcPr>
          <w:p>
            <w:r/>
          </w:p>
        </w:tc>
        <w:tc>
          <w:tcPr>
            <w:tcW w:type="dxa" w:w="1724"/>
            <w:shd w:val="clear" w:color="auto" w:fill="F1F3F7"/>
          </w:tcPr>
          <w:p>
            <w:r/>
          </w:p>
        </w:tc>
      </w:tr>
      <w:tr>
        <w:tc>
          <w:tcPr>
            <w:tcW w:type="dxa" w:w="1724"/>
          </w:tcPr>
          <w:p>
            <w:r/>
            <w:r>
              <w:rPr>
                <w:b w:val="0"/>
                <w:i w:val="0"/>
                <w:sz w:val="15"/>
              </w:rPr>
              <w:t>2021</w:t>
            </w:r>
          </w:p>
        </w:tc>
        <w:tc>
          <w:tcPr>
            <w:tcW w:type="dxa" w:w="2107"/>
          </w:tcPr>
          <w:p>
            <w:r/>
            <w:r>
              <w:rPr>
                <w:b w:val="0"/>
                <w:i w:val="0"/>
                <w:sz w:val="15"/>
              </w:rPr>
              <w:t>Royo bathroom furniture; Sanit</w:t>
            </w:r>
          </w:p>
        </w:tc>
        <w:tc>
          <w:tcPr>
            <w:tcW w:type="dxa" w:w="2299"/>
          </w:tcPr>
          <w:p>
            <w:r/>
            <w:r>
              <w:rPr>
                <w:b w:val="0"/>
                <w:i w:val="0"/>
                <w:sz w:val="15"/>
              </w:rPr>
              <w:t>Roca</w:t>
            </w:r>
          </w:p>
        </w:tc>
        <w:tc>
          <w:tcPr>
            <w:tcW w:type="dxa" w:w="1149"/>
          </w:tcPr>
          <w:p>
            <w:r/>
            <w:r>
              <w:rPr>
                <w:b w:val="0"/>
                <w:i w:val="0"/>
                <w:sz w:val="15"/>
              </w:rPr>
              <w:t>n/d</w:t>
            </w:r>
          </w:p>
        </w:tc>
        <w:tc>
          <w:tcPr>
            <w:tcW w:type="dxa" w:w="862"/>
          </w:tcPr>
          <w:p>
            <w:r/>
          </w:p>
        </w:tc>
        <w:tc>
          <w:tcPr>
            <w:tcW w:type="dxa" w:w="1724"/>
          </w:tcPr>
          <w:p>
            <w:r/>
          </w:p>
        </w:tc>
      </w:tr>
      <w:tr>
        <w:tc>
          <w:tcPr>
            <w:tcW w:type="dxa" w:w="1724"/>
            <w:shd w:val="clear" w:color="auto" w:fill="F1F3F7"/>
          </w:tcPr>
          <w:p>
            <w:r/>
            <w:r>
              <w:rPr>
                <w:b w:val="0"/>
                <w:i w:val="0"/>
                <w:sz w:val="15"/>
              </w:rPr>
              <w:t>Jan–Jul 2025</w:t>
            </w:r>
          </w:p>
        </w:tc>
        <w:tc>
          <w:tcPr>
            <w:tcW w:type="dxa" w:w="2107"/>
            <w:shd w:val="clear" w:color="auto" w:fill="F1F3F7"/>
          </w:tcPr>
          <w:p>
            <w:r/>
            <w:r>
              <w:rPr>
                <w:b w:val="0"/>
                <w:i w:val="0"/>
                <w:sz w:val="15"/>
              </w:rPr>
              <w:t>Fujitsu General</w:t>
            </w:r>
          </w:p>
        </w:tc>
        <w:tc>
          <w:tcPr>
            <w:tcW w:type="dxa" w:w="2299"/>
            <w:shd w:val="clear" w:color="auto" w:fill="F1F3F7"/>
          </w:tcPr>
          <w:p>
            <w:r/>
            <w:r>
              <w:rPr>
                <w:b w:val="0"/>
                <w:i w:val="0"/>
                <w:sz w:val="15"/>
              </w:rPr>
              <w:t>Paloma Rheem</w:t>
            </w:r>
          </w:p>
        </w:tc>
        <w:tc>
          <w:tcPr>
            <w:tcW w:type="dxa" w:w="1149"/>
            <w:shd w:val="clear" w:color="auto" w:fill="F1F3F7"/>
          </w:tcPr>
          <w:p>
            <w:r/>
            <w:r>
              <w:rPr>
                <w:b w:val="0"/>
                <w:i w:val="0"/>
                <w:sz w:val="15"/>
              </w:rPr>
              <w:t>~¥256bn</w:t>
            </w:r>
          </w:p>
        </w:tc>
        <w:tc>
          <w:tcPr>
            <w:tcW w:type="dxa" w:w="862"/>
            <w:shd w:val="clear" w:color="auto" w:fill="F1F3F7"/>
          </w:tcPr>
          <w:p>
            <w:r/>
            <w:r>
              <w:rPr>
                <w:b w:val="0"/>
                <w:i w:val="0"/>
                <w:sz w:val="15"/>
              </w:rPr>
              <w:t>n/a</w:t>
            </w:r>
          </w:p>
        </w:tc>
        <w:tc>
          <w:tcPr>
            <w:tcW w:type="dxa" w:w="1724"/>
            <w:shd w:val="clear" w:color="auto" w:fill="F1F3F7"/>
          </w:tcPr>
          <w:p>
            <w:r/>
            <w:r>
              <w:rPr>
                <w:b w:val="0"/>
                <w:i w:val="0"/>
                <w:sz w:val="15"/>
              </w:rPr>
              <w:t>39% premium (6-m avg)</w:t>
            </w:r>
          </w:p>
        </w:tc>
      </w:tr>
      <w:tr>
        <w:tc>
          <w:tcPr>
            <w:tcW w:type="dxa" w:w="1724"/>
          </w:tcPr>
          <w:p>
            <w:r/>
            <w:r>
              <w:rPr>
                <w:b w:val="0"/>
                <w:i w:val="0"/>
                <w:sz w:val="15"/>
              </w:rPr>
              <w:t>Dec 2023 – Jun 2025</w:t>
            </w:r>
          </w:p>
        </w:tc>
        <w:tc>
          <w:tcPr>
            <w:tcW w:type="dxa" w:w="2107"/>
          </w:tcPr>
          <w:p>
            <w:r/>
            <w:r>
              <w:rPr>
                <w:b w:val="0"/>
                <w:i w:val="0"/>
                <w:sz w:val="15"/>
              </w:rPr>
              <w:t>Shinko Electric (ESCs, substrates)</w:t>
            </w:r>
          </w:p>
        </w:tc>
        <w:tc>
          <w:tcPr>
            <w:tcW w:type="dxa" w:w="2299"/>
          </w:tcPr>
          <w:p>
            <w:r/>
            <w:r>
              <w:rPr>
                <w:b w:val="0"/>
                <w:i w:val="0"/>
                <w:sz w:val="15"/>
              </w:rPr>
              <w:t>JIC consortium (JIC/DNP/Mitsui Chem.)</w:t>
            </w:r>
          </w:p>
        </w:tc>
        <w:tc>
          <w:tcPr>
            <w:tcW w:type="dxa" w:w="1149"/>
          </w:tcPr>
          <w:p>
            <w:r/>
            <w:r>
              <w:rPr>
                <w:b w:val="0"/>
                <w:i w:val="0"/>
                <w:sz w:val="15"/>
              </w:rPr>
              <w:t>~¥685–700bn</w:t>
            </w:r>
          </w:p>
        </w:tc>
        <w:tc>
          <w:tcPr>
            <w:tcW w:type="dxa" w:w="862"/>
          </w:tcPr>
          <w:p>
            <w:r/>
            <w:r>
              <w:rPr>
                <w:b w:val="0"/>
                <w:i w:val="0"/>
                <w:sz w:val="15"/>
              </w:rPr>
              <w:t>~3x (e)</w:t>
            </w:r>
          </w:p>
        </w:tc>
        <w:tc>
          <w:tcPr>
            <w:tcW w:type="dxa" w:w="1724"/>
          </w:tcPr>
          <w:p>
            <w:r/>
            <w:r>
              <w:rPr>
                <w:b w:val="0"/>
                <w:i w:val="0"/>
                <w:sz w:val="15"/>
              </w:rPr>
              <w:t>~12–13x (e)</w:t>
            </w:r>
          </w:p>
        </w:tc>
      </w:tr>
      <w:tr>
        <w:tc>
          <w:tcPr>
            <w:tcW w:type="dxa" w:w="1724"/>
            <w:shd w:val="clear" w:color="auto" w:fill="F1F3F7"/>
          </w:tcPr>
          <w:p>
            <w:r/>
            <w:r>
              <w:rPr>
                <w:b w:val="0"/>
                <w:i w:val="0"/>
                <w:sz w:val="15"/>
              </w:rPr>
              <w:t>2022</w:t>
            </w:r>
          </w:p>
        </w:tc>
        <w:tc>
          <w:tcPr>
            <w:tcW w:type="dxa" w:w="2107"/>
            <w:shd w:val="clear" w:color="auto" w:fill="F1F3F7"/>
          </w:tcPr>
          <w:p>
            <w:r/>
            <w:r>
              <w:rPr>
                <w:b w:val="0"/>
                <w:i w:val="0"/>
                <w:sz w:val="15"/>
              </w:rPr>
              <w:t>CMC Materials</w:t>
            </w:r>
          </w:p>
        </w:tc>
        <w:tc>
          <w:tcPr>
            <w:tcW w:type="dxa" w:w="2299"/>
            <w:shd w:val="clear" w:color="auto" w:fill="F1F3F7"/>
          </w:tcPr>
          <w:p>
            <w:r/>
            <w:r>
              <w:rPr>
                <w:b w:val="0"/>
                <w:i w:val="0"/>
                <w:sz w:val="15"/>
              </w:rPr>
              <w:t>Entegris</w:t>
            </w:r>
          </w:p>
        </w:tc>
        <w:tc>
          <w:tcPr>
            <w:tcW w:type="dxa" w:w="1149"/>
            <w:shd w:val="clear" w:color="auto" w:fill="F1F3F7"/>
          </w:tcPr>
          <w:p>
            <w:r/>
            <w:r>
              <w:rPr>
                <w:b w:val="0"/>
                <w:i w:val="0"/>
                <w:sz w:val="15"/>
              </w:rPr>
              <w:t>~$6.5bn</w:t>
            </w:r>
          </w:p>
        </w:tc>
        <w:tc>
          <w:tcPr>
            <w:tcW w:type="dxa" w:w="862"/>
            <w:shd w:val="clear" w:color="auto" w:fill="F1F3F7"/>
          </w:tcPr>
          <w:p>
            <w:r/>
            <w:r>
              <w:rPr>
                <w:b w:val="0"/>
                <w:i w:val="0"/>
                <w:sz w:val="15"/>
              </w:rPr>
              <w:t>~5.4x</w:t>
            </w:r>
          </w:p>
        </w:tc>
        <w:tc>
          <w:tcPr>
            <w:tcW w:type="dxa" w:w="1724"/>
            <w:shd w:val="clear" w:color="auto" w:fill="F1F3F7"/>
          </w:tcPr>
          <w:p>
            <w:r/>
            <w:r>
              <w:rPr>
                <w:b w:val="0"/>
                <w:i w:val="0"/>
                <w:sz w:val="15"/>
              </w:rPr>
              <w:t>~17x (e)</w:t>
            </w:r>
          </w:p>
        </w:tc>
      </w:tr>
      <w:tr>
        <w:tc>
          <w:tcPr>
            <w:tcW w:type="dxa" w:w="1724"/>
          </w:tcPr>
          <w:p>
            <w:r/>
            <w:r>
              <w:rPr>
                <w:b w:val="0"/>
                <w:i w:val="0"/>
                <w:sz w:val="15"/>
              </w:rPr>
              <w:t>2020</w:t>
            </w:r>
          </w:p>
        </w:tc>
        <w:tc>
          <w:tcPr>
            <w:tcW w:type="dxa" w:w="2107"/>
          </w:tcPr>
          <w:p>
            <w:r/>
            <w:r>
              <w:rPr>
                <w:b w:val="0"/>
                <w:i w:val="0"/>
                <w:sz w:val="15"/>
              </w:rPr>
              <w:t>Permasteelisa</w:t>
            </w:r>
          </w:p>
        </w:tc>
        <w:tc>
          <w:tcPr>
            <w:tcW w:type="dxa" w:w="2299"/>
          </w:tcPr>
          <w:p>
            <w:r/>
            <w:r>
              <w:rPr>
                <w:b w:val="0"/>
                <w:i w:val="0"/>
                <w:sz w:val="15"/>
              </w:rPr>
              <w:t>Atlas Holdings (from LIXIL)</w:t>
            </w:r>
          </w:p>
        </w:tc>
        <w:tc>
          <w:tcPr>
            <w:tcW w:type="dxa" w:w="1149"/>
          </w:tcPr>
          <w:p>
            <w:r/>
            <w:r>
              <w:rPr>
                <w:b w:val="0"/>
                <w:i w:val="0"/>
                <w:sz w:val="15"/>
              </w:rPr>
              <w:t>undisclosed</w:t>
            </w:r>
          </w:p>
        </w:tc>
        <w:tc>
          <w:tcPr>
            <w:tcW w:type="dxa" w:w="862"/>
          </w:tcPr>
          <w:p>
            <w:r/>
          </w:p>
        </w:tc>
        <w:tc>
          <w:tcPr>
            <w:tcW w:type="dxa" w:w="1724"/>
          </w:tcPr>
          <w:p>
            <w:r/>
          </w:p>
        </w:tc>
      </w:tr>
    </w:tbl>
    <w:p>
      <w:r>
        <w:rPr>
          <w:b w:val="0"/>
          <w:i/>
          <w:color w:val="5E6878"/>
          <w:sz w:val="14"/>
        </w:rPr>
        <w:t>Sources: company releases and press (Börsen-Zeitung, Cleary Gottlieb, Watts 8-K, JIC). (e) = our estimate from reported financials.</w:t>
      </w:r>
    </w:p>
    <w:p>
      <w:pPr>
        <w:pStyle w:val="Heading2"/>
      </w:pPr>
      <w:r>
        <w:t>13.2 TOTO's own acquisitions/investments (2016–2026)</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465"/>
            <w:shd w:val="clear" w:color="auto" w:fill="16243D"/>
          </w:tcPr>
          <w:p>
            <w:r/>
            <w:r>
              <w:rPr>
                <w:b/>
                <w:i w:val="0"/>
                <w:color w:val="FFFFFF"/>
                <w:sz w:val="15"/>
              </w:rPr>
              <w:t>Date</w:t>
            </w:r>
          </w:p>
        </w:tc>
        <w:tc>
          <w:tcPr>
            <w:tcW w:type="dxa" w:w="2735"/>
            <w:shd w:val="clear" w:color="auto" w:fill="16243D"/>
          </w:tcPr>
          <w:p>
            <w:r/>
            <w:r>
              <w:rPr>
                <w:b/>
                <w:i w:val="0"/>
                <w:color w:val="FFFFFF"/>
                <w:sz w:val="15"/>
              </w:rPr>
              <w:t>Target / project</w:t>
            </w:r>
          </w:p>
        </w:tc>
        <w:tc>
          <w:tcPr>
            <w:tcW w:type="dxa" w:w="977"/>
            <w:shd w:val="clear" w:color="auto" w:fill="16243D"/>
          </w:tcPr>
          <w:p>
            <w:r/>
            <w:r>
              <w:rPr>
                <w:b/>
                <w:i w:val="0"/>
                <w:color w:val="FFFFFF"/>
                <w:sz w:val="15"/>
              </w:rPr>
              <w:t>Type</w:t>
            </w:r>
          </w:p>
        </w:tc>
        <w:tc>
          <w:tcPr>
            <w:tcW w:type="dxa" w:w="2149"/>
            <w:shd w:val="clear" w:color="auto" w:fill="16243D"/>
          </w:tcPr>
          <w:p>
            <w:r/>
            <w:r>
              <w:rPr>
                <w:b/>
                <w:i w:val="0"/>
                <w:color w:val="FFFFFF"/>
                <w:sz w:val="15"/>
              </w:rPr>
              <w:t>Cost</w:t>
            </w:r>
          </w:p>
        </w:tc>
        <w:tc>
          <w:tcPr>
            <w:tcW w:type="dxa" w:w="2539"/>
            <w:shd w:val="clear" w:color="auto" w:fill="16243D"/>
          </w:tcPr>
          <w:p>
            <w:r/>
            <w:r>
              <w:rPr>
                <w:b/>
                <w:i w:val="0"/>
                <w:color w:val="FFFFFF"/>
                <w:sz w:val="15"/>
              </w:rPr>
              <w:t>Multiple / outcome</w:t>
            </w:r>
          </w:p>
        </w:tc>
      </w:tr>
      <w:tr>
        <w:tc>
          <w:tcPr>
            <w:tcW w:type="dxa" w:w="1465"/>
          </w:tcPr>
          <w:p>
            <w:r/>
            <w:r>
              <w:rPr>
                <w:b w:val="0"/>
                <w:i w:val="0"/>
                <w:sz w:val="15"/>
              </w:rPr>
              <w:t>Jul 2022</w:t>
            </w:r>
          </w:p>
        </w:tc>
        <w:tc>
          <w:tcPr>
            <w:tcW w:type="dxa" w:w="2735"/>
          </w:tcPr>
          <w:p>
            <w:r/>
            <w:r>
              <w:rPr>
                <w:b w:val="0"/>
                <w:i w:val="0"/>
                <w:sz w:val="15"/>
              </w:rPr>
              <w:t>Vietnam 4th sanitary plant</w:t>
            </w:r>
          </w:p>
        </w:tc>
        <w:tc>
          <w:tcPr>
            <w:tcW w:type="dxa" w:w="977"/>
          </w:tcPr>
          <w:p>
            <w:r/>
            <w:r>
              <w:rPr>
                <w:b w:val="0"/>
                <w:i w:val="0"/>
                <w:sz w:val="15"/>
              </w:rPr>
              <w:t>Greenfield</w:t>
            </w:r>
          </w:p>
        </w:tc>
        <w:tc>
          <w:tcPr>
            <w:tcW w:type="dxa" w:w="2149"/>
          </w:tcPr>
          <w:p>
            <w:r/>
            <w:r>
              <w:rPr>
                <w:b w:val="0"/>
                <w:i w:val="0"/>
                <w:sz w:val="15"/>
              </w:rPr>
              <w:t>n/d (~1m units/yr)</w:t>
            </w:r>
          </w:p>
        </w:tc>
        <w:tc>
          <w:tcPr>
            <w:tcW w:type="dxa" w:w="2539"/>
          </w:tcPr>
          <w:p>
            <w:r/>
            <w:r>
              <w:rPr>
                <w:b w:val="0"/>
                <w:i w:val="0"/>
                <w:sz w:val="15"/>
              </w:rPr>
              <w:t>Successful — Asia OP +24% FY3/26</w:t>
            </w:r>
          </w:p>
        </w:tc>
      </w:tr>
      <w:tr>
        <w:tc>
          <w:tcPr>
            <w:tcW w:type="dxa" w:w="1465"/>
            <w:shd w:val="clear" w:color="auto" w:fill="F1F3F7"/>
          </w:tcPr>
          <w:p>
            <w:r/>
            <w:r>
              <w:rPr>
                <w:b w:val="0"/>
                <w:i w:val="0"/>
                <w:sz w:val="15"/>
              </w:rPr>
              <w:t>Mar 2024</w:t>
            </w:r>
          </w:p>
        </w:tc>
        <w:tc>
          <w:tcPr>
            <w:tcW w:type="dxa" w:w="2735"/>
            <w:shd w:val="clear" w:color="auto" w:fill="F1F3F7"/>
          </w:tcPr>
          <w:p>
            <w:r/>
            <w:r>
              <w:rPr>
                <w:b w:val="0"/>
                <w:i w:val="0"/>
                <w:sz w:val="15"/>
              </w:rPr>
              <w:t>Vinh Phuc (Vietnam) faucet plant</w:t>
            </w:r>
          </w:p>
        </w:tc>
        <w:tc>
          <w:tcPr>
            <w:tcW w:type="dxa" w:w="977"/>
            <w:shd w:val="clear" w:color="auto" w:fill="F1F3F7"/>
          </w:tcPr>
          <w:p>
            <w:r/>
            <w:r>
              <w:rPr>
                <w:b w:val="0"/>
                <w:i w:val="0"/>
                <w:sz w:val="15"/>
              </w:rPr>
              <w:t>Greenfield</w:t>
            </w:r>
          </w:p>
        </w:tc>
        <w:tc>
          <w:tcPr>
            <w:tcW w:type="dxa" w:w="2149"/>
            <w:shd w:val="clear" w:color="auto" w:fill="F1F3F7"/>
          </w:tcPr>
          <w:p>
            <w:r/>
            <w:r>
              <w:rPr>
                <w:b w:val="0"/>
                <w:i w:val="0"/>
                <w:sz w:val="15"/>
              </w:rPr>
              <w:t>~¥10bn</w:t>
            </w:r>
          </w:p>
        </w:tc>
        <w:tc>
          <w:tcPr>
            <w:tcW w:type="dxa" w:w="2539"/>
            <w:shd w:val="clear" w:color="auto" w:fill="F1F3F7"/>
          </w:tcPr>
          <w:p>
            <w:r/>
            <w:r>
              <w:rPr>
                <w:b w:val="0"/>
                <w:i w:val="0"/>
                <w:sz w:val="15"/>
              </w:rPr>
              <w:t>Ramping</w:t>
            </w:r>
          </w:p>
        </w:tc>
      </w:tr>
      <w:tr>
        <w:tc>
          <w:tcPr>
            <w:tcW w:type="dxa" w:w="1465"/>
          </w:tcPr>
          <w:p>
            <w:r/>
            <w:r>
              <w:rPr>
                <w:b w:val="0"/>
                <w:i w:val="0"/>
                <w:sz w:val="15"/>
              </w:rPr>
              <w:t>Nov 2024 / 2025</w:t>
            </w:r>
          </w:p>
        </w:tc>
        <w:tc>
          <w:tcPr>
            <w:tcW w:type="dxa" w:w="2735"/>
          </w:tcPr>
          <w:p>
            <w:r/>
            <w:r>
              <w:rPr>
                <w:b w:val="0"/>
                <w:i w:val="0"/>
                <w:sz w:val="15"/>
              </w:rPr>
              <w:t>Morrow, Georgia (US) plant</w:t>
            </w:r>
          </w:p>
        </w:tc>
        <w:tc>
          <w:tcPr>
            <w:tcW w:type="dxa" w:w="977"/>
          </w:tcPr>
          <w:p>
            <w:r/>
            <w:r>
              <w:rPr>
                <w:b w:val="0"/>
                <w:i w:val="0"/>
                <w:sz w:val="15"/>
              </w:rPr>
              <w:t>Greenfield</w:t>
            </w:r>
          </w:p>
        </w:tc>
        <w:tc>
          <w:tcPr>
            <w:tcW w:type="dxa" w:w="2149"/>
          </w:tcPr>
          <w:p>
            <w:r/>
            <w:r>
              <w:rPr>
                <w:b w:val="0"/>
                <w:i w:val="0"/>
                <w:sz w:val="15"/>
              </w:rPr>
              <w:t>US$224m (~¥30bn)</w:t>
            </w:r>
          </w:p>
        </w:tc>
        <w:tc>
          <w:tcPr>
            <w:tcW w:type="dxa" w:w="2539"/>
          </w:tcPr>
          <w:p>
            <w:r/>
            <w:r>
              <w:rPr>
                <w:b w:val="0"/>
                <w:i w:val="0"/>
                <w:sz w:val="15"/>
              </w:rPr>
              <w:t>+150% US capacity</w:t>
            </w:r>
          </w:p>
        </w:tc>
      </w:tr>
      <w:tr>
        <w:tc>
          <w:tcPr>
            <w:tcW w:type="dxa" w:w="1465"/>
            <w:shd w:val="clear" w:color="auto" w:fill="F1F3F7"/>
          </w:tcPr>
          <w:p>
            <w:r/>
            <w:r>
              <w:rPr>
                <w:b w:val="0"/>
                <w:i w:val="0"/>
                <w:sz w:val="15"/>
              </w:rPr>
              <w:t>Apr 2025</w:t>
            </w:r>
          </w:p>
        </w:tc>
        <w:tc>
          <w:tcPr>
            <w:tcW w:type="dxa" w:w="2735"/>
            <w:shd w:val="clear" w:color="auto" w:fill="F1F3F7"/>
          </w:tcPr>
          <w:p>
            <w:r/>
            <w:r>
              <w:rPr>
                <w:b w:val="0"/>
                <w:i w:val="0"/>
                <w:sz w:val="15"/>
              </w:rPr>
              <w:t>China restructuring (Beijing, Shanghai closures)</w:t>
            </w:r>
          </w:p>
        </w:tc>
        <w:tc>
          <w:tcPr>
            <w:tcW w:type="dxa" w:w="977"/>
            <w:shd w:val="clear" w:color="auto" w:fill="F1F3F7"/>
          </w:tcPr>
          <w:p>
            <w:r/>
            <w:r>
              <w:rPr>
                <w:b w:val="0"/>
                <w:i w:val="0"/>
                <w:sz w:val="15"/>
              </w:rPr>
              <w:t>Exit</w:t>
            </w:r>
          </w:p>
        </w:tc>
        <w:tc>
          <w:tcPr>
            <w:tcW w:type="dxa" w:w="2149"/>
            <w:shd w:val="clear" w:color="auto" w:fill="F1F3F7"/>
          </w:tcPr>
          <w:p>
            <w:r/>
            <w:r>
              <w:rPr>
                <w:b w:val="0"/>
                <w:i w:val="0"/>
                <w:sz w:val="15"/>
              </w:rPr>
              <w:t>~¥15bn extraordinary loss (+¥34bn prior impairment)</w:t>
            </w:r>
          </w:p>
        </w:tc>
        <w:tc>
          <w:tcPr>
            <w:tcW w:type="dxa" w:w="2539"/>
            <w:shd w:val="clear" w:color="auto" w:fill="F1F3F7"/>
          </w:tcPr>
          <w:p>
            <w:r/>
            <w:r>
              <w:rPr>
                <w:b w:val="0"/>
                <w:i w:val="0"/>
                <w:sz w:val="15"/>
              </w:rPr>
              <w:t>Value-destructive legacy</w:t>
            </w:r>
          </w:p>
        </w:tc>
      </w:tr>
      <w:tr>
        <w:tc>
          <w:tcPr>
            <w:tcW w:type="dxa" w:w="1465"/>
          </w:tcPr>
          <w:p>
            <w:r/>
            <w:r>
              <w:rPr>
                <w:b w:val="0"/>
                <w:i w:val="0"/>
                <w:sz w:val="15"/>
              </w:rPr>
              <w:t>Dec 2025 – Apr 2028</w:t>
            </w:r>
          </w:p>
        </w:tc>
        <w:tc>
          <w:tcPr>
            <w:tcW w:type="dxa" w:w="2735"/>
          </w:tcPr>
          <w:p>
            <w:r/>
            <w:r>
              <w:rPr>
                <w:b w:val="0"/>
                <w:i w:val="0"/>
                <w:sz w:val="15"/>
              </w:rPr>
              <w:t>Buzen ESC kiln, Chigasaki R&amp;D (~¥17bn), Nakatsu</w:t>
            </w:r>
          </w:p>
        </w:tc>
        <w:tc>
          <w:tcPr>
            <w:tcW w:type="dxa" w:w="977"/>
          </w:tcPr>
          <w:p>
            <w:r/>
            <w:r>
              <w:rPr>
                <w:b w:val="0"/>
                <w:i w:val="0"/>
                <w:sz w:val="15"/>
              </w:rPr>
              <w:t>Greenfield</w:t>
            </w:r>
          </w:p>
        </w:tc>
        <w:tc>
          <w:tcPr>
            <w:tcW w:type="dxa" w:w="2149"/>
          </w:tcPr>
          <w:p>
            <w:r/>
            <w:r>
              <w:rPr>
                <w:b w:val="0"/>
                <w:i w:val="0"/>
                <w:sz w:val="15"/>
              </w:rPr>
              <w:t>~¥30bn (to FY2028); ~¥80bn 5-yr reported</w:t>
            </w:r>
          </w:p>
        </w:tc>
        <w:tc>
          <w:tcPr>
            <w:tcW w:type="dxa" w:w="2539"/>
          </w:tcPr>
          <w:p>
            <w:r/>
            <w:r>
              <w:rPr>
                <w:b w:val="0"/>
                <w:i w:val="0"/>
                <w:sz w:val="15"/>
              </w:rPr>
              <w:t>High-return (segment ROIC well above WACC)</w:t>
            </w:r>
          </w:p>
        </w:tc>
      </w:tr>
      <w:tr>
        <w:tc>
          <w:tcPr>
            <w:tcW w:type="dxa" w:w="1465"/>
            <w:shd w:val="clear" w:color="auto" w:fill="F1F3F7"/>
          </w:tcPr>
          <w:p>
            <w:r/>
            <w:r>
              <w:rPr>
                <w:b w:val="0"/>
                <w:i w:val="0"/>
                <w:sz w:val="15"/>
              </w:rPr>
              <w:t>2016–2026</w:t>
            </w:r>
          </w:p>
        </w:tc>
        <w:tc>
          <w:tcPr>
            <w:tcW w:type="dxa" w:w="2735"/>
            <w:shd w:val="clear" w:color="auto" w:fill="F1F3F7"/>
          </w:tcPr>
          <w:p>
            <w:r/>
            <w:r>
              <w:rPr>
                <w:b w:val="0"/>
                <w:i w:val="0"/>
                <w:sz w:val="15"/>
              </w:rPr>
              <w:t>Acquisitions of companies</w:t>
            </w:r>
          </w:p>
        </w:tc>
        <w:tc>
          <w:tcPr>
            <w:tcW w:type="dxa" w:w="977"/>
            <w:shd w:val="clear" w:color="auto" w:fill="F1F3F7"/>
          </w:tcPr>
          <w:p>
            <w:r/>
            <w:r>
              <w:rPr>
                <w:b w:val="0"/>
                <w:i w:val="0"/>
                <w:sz w:val="15"/>
              </w:rPr>
              <w:t>M&amp;A</w:t>
            </w:r>
          </w:p>
        </w:tc>
        <w:tc>
          <w:tcPr>
            <w:tcW w:type="dxa" w:w="2149"/>
            <w:shd w:val="clear" w:color="auto" w:fill="F1F3F7"/>
          </w:tcPr>
          <w:p>
            <w:r/>
            <w:r>
              <w:rPr>
                <w:b w:val="0"/>
                <w:i w:val="0"/>
                <w:sz w:val="15"/>
              </w:rPr>
              <w:t>None material identified</w:t>
            </w:r>
          </w:p>
        </w:tc>
        <w:tc>
          <w:tcPr>
            <w:tcW w:type="dxa" w:w="2539"/>
            <w:shd w:val="clear" w:color="auto" w:fill="F1F3F7"/>
          </w:tcPr>
          <w:p>
            <w:r/>
            <w:r>
              <w:rPr>
                <w:b w:val="0"/>
                <w:i w:val="0"/>
                <w:sz w:val="15"/>
              </w:rPr>
              <w:t>TOTO is an organic grower</w:t>
            </w:r>
          </w:p>
        </w:tc>
      </w:tr>
    </w:tbl>
    <w:p>
      <w:r>
        <w:rPr>
          <w:b w:val="0"/>
          <w:i/>
          <w:color w:val="5E6878"/>
          <w:sz w:val="14"/>
        </w:rPr>
        <w:t>Pre-2016 consolidations (TOTO Washlet Techno 2007, Pagette 2009, TOTO Sanitechno 2011, TOTO Thailand 2013) for context.</w:t>
      </w:r>
    </w:p>
    <w:p>
      <w:pPr>
        <w:pStyle w:val="Heading2"/>
      </w:pPr>
      <w:r>
        <w:t>13.3 Is TOTO a takeover target?</w:t>
      </w:r>
    </w:p>
    <w:tbl>
      <w:tblPr>
        <w:tblStyle w:val="TableGrid"/>
        <w:tblW w:type="auto" w:w="0"/>
        <w:jc w:val="center"/>
        <w:tblLayout w:type="fixed"/>
        <w:tblLook w:firstColumn="1" w:firstRow="1" w:lastColumn="0" w:lastRow="0" w:noHBand="0" w:noVBand="1" w:val="04A0"/>
      </w:tblPr>
      <w:tblGrid>
        <w:gridCol w:w="4933"/>
        <w:gridCol w:w="4933"/>
      </w:tblGrid>
      <w:tr>
        <w:tc>
          <w:tcPr>
            <w:tcW w:type="dxa" w:w="4932"/>
            <w:shd w:val="clear" w:color="auto" w:fill="16243D"/>
          </w:tcPr>
          <w:p>
            <w:r/>
            <w:r>
              <w:rPr>
                <w:b/>
                <w:i w:val="0"/>
                <w:color w:val="FFFFFF"/>
                <w:sz w:val="15"/>
              </w:rPr>
              <w:t>Pros</w:t>
            </w:r>
          </w:p>
        </w:tc>
        <w:tc>
          <w:tcPr>
            <w:tcW w:type="dxa" w:w="4932"/>
            <w:shd w:val="clear" w:color="auto" w:fill="16243D"/>
          </w:tcPr>
          <w:p>
            <w:r/>
            <w:r>
              <w:rPr>
                <w:b/>
                <w:i w:val="0"/>
                <w:color w:val="FFFFFF"/>
                <w:sz w:val="15"/>
              </w:rPr>
              <w:t>Impediments</w:t>
            </w:r>
          </w:p>
        </w:tc>
      </w:tr>
      <w:tr>
        <w:tc>
          <w:tcPr>
            <w:tcW w:type="dxa" w:w="4932"/>
          </w:tcPr>
          <w:p>
            <w:r/>
            <w:r>
              <w:rPr>
                <w:b w:val="0"/>
                <w:i w:val="0"/>
                <w:sz w:val="15"/>
              </w:rPr>
              <w:t>Under-levered balance sheet (equity ratio 64%, net cash) — LBO-able housing cash flows</w:t>
            </w:r>
          </w:p>
        </w:tc>
        <w:tc>
          <w:tcPr>
            <w:tcW w:type="dxa" w:w="4932"/>
          </w:tcPr>
          <w:p>
            <w:r/>
            <w:r>
              <w:rPr>
                <w:b w:val="0"/>
                <w:i w:val="0"/>
                <w:sz w:val="15"/>
              </w:rPr>
              <w:t>FEFTA: semiconductor parts are a "core" sector — foreign bidders face prior screening</w:t>
            </w:r>
          </w:p>
        </w:tc>
      </w:tr>
      <w:tr>
        <w:tc>
          <w:tcPr>
            <w:tcW w:type="dxa" w:w="4932"/>
            <w:shd w:val="clear" w:color="auto" w:fill="F1F3F7"/>
          </w:tcPr>
          <w:p>
            <w:r/>
            <w:r>
              <w:rPr>
                <w:b w:val="0"/>
                <w:i w:val="0"/>
                <w:sz w:val="15"/>
              </w:rPr>
              <w:t>Visible SOTP gap; ceramics asset scarce (Shinko taken private by JIC at ~12–13x EBITDA)</w:t>
            </w:r>
          </w:p>
        </w:tc>
        <w:tc>
          <w:tcPr>
            <w:tcW w:type="dxa" w:w="4932"/>
            <w:shd w:val="clear" w:color="auto" w:fill="F1F3F7"/>
          </w:tcPr>
          <w:p>
            <w:r/>
            <w:r>
              <w:rPr>
                <w:b w:val="0"/>
                <w:i w:val="0"/>
                <w:sz w:val="15"/>
              </w:rPr>
              <w:t>Stable shareholders: life insurers (~9%), employees, Japanese trust banks; Morimura-group culture</w:t>
            </w:r>
          </w:p>
        </w:tc>
      </w:tr>
      <w:tr>
        <w:tc>
          <w:tcPr>
            <w:tcW w:type="dxa" w:w="4932"/>
          </w:tcPr>
          <w:p>
            <w:r/>
            <w:r>
              <w:rPr>
                <w:b w:val="0"/>
                <w:i w:val="0"/>
                <w:sz w:val="15"/>
              </w:rPr>
              <w:t>Japan M&amp;A climate (METI guidelines, record take-privates, activism)</w:t>
            </w:r>
          </w:p>
        </w:tc>
        <w:tc>
          <w:tcPr>
            <w:tcW w:type="dxa" w:w="4932"/>
          </w:tcPr>
          <w:p>
            <w:r/>
            <w:r>
              <w:rPr>
                <w:b w:val="0"/>
                <w:i w:val="0"/>
                <w:sz w:val="15"/>
              </w:rPr>
              <w:t>Size (~US$7bn equity) and conglomerate structure — buyers want one half, not both</w:t>
            </w:r>
          </w:p>
        </w:tc>
      </w:tr>
      <w:tr>
        <w:tc>
          <w:tcPr>
            <w:tcW w:type="dxa" w:w="4932"/>
            <w:shd w:val="clear" w:color="auto" w:fill="F1F3F7"/>
          </w:tcPr>
          <w:p>
            <w:r/>
            <w:r>
              <w:rPr>
                <w:b w:val="0"/>
                <w:i w:val="0"/>
                <w:sz w:val="15"/>
              </w:rPr>
              <w:t>Activist presence (Palliser) can catalyse a strategic review</w:t>
            </w:r>
          </w:p>
        </w:tc>
        <w:tc>
          <w:tcPr>
            <w:tcW w:type="dxa" w:w="4932"/>
            <w:shd w:val="clear" w:color="auto" w:fill="F1F3F7"/>
          </w:tcPr>
          <w:p>
            <w:r/>
            <w:r>
              <w:rPr>
                <w:b w:val="0"/>
                <w:i w:val="0"/>
                <w:sz w:val="15"/>
              </w:rPr>
              <w:t>Management/brand heritage (founded 1917); no history of M&amp;A; likely to resist hostile approach</w:t>
            </w:r>
          </w:p>
        </w:tc>
      </w:tr>
      <w:tr>
        <w:tc>
          <w:tcPr>
            <w:tcW w:type="dxa" w:w="4932"/>
          </w:tcPr>
          <w:p>
            <w:r/>
            <w:r>
              <w:rPr>
                <w:b w:val="0"/>
                <w:i w:val="0"/>
                <w:sz w:val="15"/>
              </w:rPr>
              <w:t>Strategic logic for a ceramics carve-out to JIC/Japanese consortium or NGK/Kyocera</w:t>
            </w:r>
          </w:p>
        </w:tc>
        <w:tc>
          <w:tcPr>
            <w:tcW w:type="dxa" w:w="4932"/>
          </w:tcPr>
          <w:p>
            <w:r/>
            <w:r>
              <w:rPr>
                <w:b w:val="0"/>
                <w:i w:val="0"/>
                <w:sz w:val="15"/>
              </w:rPr>
              <w:t>Lam Research dependency — buyer must underwrite customer change-of-control</w:t>
            </w:r>
          </w:p>
        </w:tc>
      </w:tr>
    </w:tbl>
    <w:p/>
    <w:p>
      <w:pPr>
        <w:spacing w:after="80"/>
      </w:pPr>
      <w:r>
        <w:rPr>
          <w:b/>
          <w:i w:val="0"/>
        </w:rPr>
        <w:t>Probability of whole-company takeover in 24 months: low (~5–10%).</w:t>
      </w:r>
      <w:r>
        <w:rPr>
          <w:b w:val="0"/>
          <w:i w:val="0"/>
        </w:rPr>
        <w:t xml:space="preserve"> More plausible special-situation paths: (1) ceramics IPO/spin or minority sale (10–15%); (2) a large buyback/cross-holding unwind in STAGE3 (50%+). </w:t>
      </w:r>
      <w:r>
        <w:rPr>
          <w:b/>
          <w:i w:val="0"/>
        </w:rPr>
        <w:t>Indicative takeout multiples:</w:t>
      </w:r>
      <w:r>
        <w:rPr>
          <w:b w:val="0"/>
          <w:i w:val="0"/>
        </w:rPr>
        <w:t xml:space="preserve"> whole company at 13–14x FY3/27E EBITDA (~¥1.25–1.35tn EV, ¥8,000–8,600/share, +30–40%); ceramics alone at 12–15x EBITDA / 18–22x EBIT (Shinko/CMC precedents and growth premium) = ¥600–800bn; housing at 8–10x EBITDA (V&amp;B/Ideal Standard, Watts/Bradley).</w:t>
      </w:r>
    </w:p>
    <w:p>
      <w:pPr>
        <w:pStyle w:val="Heading1"/>
      </w:pPr>
      <w:r>
        <w:t>14. Management Assessment</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591"/>
            <w:shd w:val="clear" w:color="auto" w:fill="16243D"/>
          </w:tcPr>
          <w:p>
            <w:r/>
            <w:r>
              <w:rPr>
                <w:b/>
                <w:i w:val="0"/>
                <w:color w:val="FFFFFF"/>
                <w:sz w:val="15"/>
              </w:rPr>
              <w:t>Executive</w:t>
            </w:r>
          </w:p>
        </w:tc>
        <w:tc>
          <w:tcPr>
            <w:tcW w:type="dxa" w:w="2334"/>
            <w:shd w:val="clear" w:color="auto" w:fill="16243D"/>
          </w:tcPr>
          <w:p>
            <w:r/>
            <w:r>
              <w:rPr>
                <w:b/>
                <w:i w:val="0"/>
                <w:color w:val="FFFFFF"/>
                <w:sz w:val="15"/>
              </w:rPr>
              <w:t>Role / tenure</w:t>
            </w:r>
          </w:p>
        </w:tc>
        <w:tc>
          <w:tcPr>
            <w:tcW w:type="dxa" w:w="4031"/>
            <w:shd w:val="clear" w:color="auto" w:fill="16243D"/>
          </w:tcPr>
          <w:p>
            <w:r/>
            <w:r>
              <w:rPr>
                <w:b/>
                <w:i w:val="0"/>
                <w:color w:val="FFFFFF"/>
                <w:sz w:val="15"/>
              </w:rPr>
              <w:t>Track record</w:t>
            </w:r>
          </w:p>
        </w:tc>
        <w:tc>
          <w:tcPr>
            <w:tcW w:type="dxa" w:w="1909"/>
            <w:shd w:val="clear" w:color="auto" w:fill="16243D"/>
          </w:tcPr>
          <w:p>
            <w:r/>
            <w:r>
              <w:rPr>
                <w:b/>
                <w:i w:val="0"/>
                <w:color w:val="FFFFFF"/>
                <w:sz w:val="15"/>
              </w:rPr>
              <w:t>Skin in the game</w:t>
            </w:r>
          </w:p>
        </w:tc>
      </w:tr>
      <w:tr>
        <w:tc>
          <w:tcPr>
            <w:tcW w:type="dxa" w:w="1591"/>
          </w:tcPr>
          <w:p>
            <w:r/>
            <w:r>
              <w:rPr>
                <w:b w:val="0"/>
                <w:i w:val="0"/>
                <w:sz w:val="15"/>
              </w:rPr>
              <w:t>Shinya Tamura</w:t>
            </w:r>
          </w:p>
        </w:tc>
        <w:tc>
          <w:tcPr>
            <w:tcW w:type="dxa" w:w="2334"/>
          </w:tcPr>
          <w:p>
            <w:r/>
            <w:r>
              <w:rPr>
                <w:b w:val="0"/>
                <w:i w:val="0"/>
                <w:sz w:val="15"/>
              </w:rPr>
              <w:t>President &amp; Representative Director since Apr 2025 (age ~58)</w:t>
            </w:r>
          </w:p>
        </w:tc>
        <w:tc>
          <w:tcPr>
            <w:tcW w:type="dxa" w:w="4031"/>
          </w:tcPr>
          <w:p>
            <w:r/>
            <w:r>
              <w:rPr>
                <w:b w:val="0"/>
                <w:i w:val="0"/>
                <w:sz w:val="15"/>
              </w:rPr>
              <w:t>Career TOTO; ran US and Vietnam subsidiaries (Vietnam capacity build-out successful); tasked with China rebuild; first year delivered record OP and adopted Palliser plan</w:t>
            </w:r>
          </w:p>
        </w:tc>
        <w:tc>
          <w:tcPr>
            <w:tcW w:type="dxa" w:w="1909"/>
          </w:tcPr>
          <w:p>
            <w:r/>
            <w:r>
              <w:rPr>
                <w:b w:val="0"/>
                <w:i w:val="0"/>
                <w:sz w:val="15"/>
              </w:rPr>
              <w:t>Negligible personal stake (typical); pay ~¥172m incl. bonus (reported)</w:t>
            </w:r>
          </w:p>
        </w:tc>
      </w:tr>
      <w:tr>
        <w:tc>
          <w:tcPr>
            <w:tcW w:type="dxa" w:w="1591"/>
            <w:shd w:val="clear" w:color="auto" w:fill="F1F3F7"/>
          </w:tcPr>
          <w:p>
            <w:r/>
            <w:r>
              <w:rPr>
                <w:b w:val="0"/>
                <w:i w:val="0"/>
                <w:sz w:val="15"/>
              </w:rPr>
              <w:t>Noriaki Kiyota</w:t>
            </w:r>
          </w:p>
        </w:tc>
        <w:tc>
          <w:tcPr>
            <w:tcW w:type="dxa" w:w="2334"/>
            <w:shd w:val="clear" w:color="auto" w:fill="F1F3F7"/>
          </w:tcPr>
          <w:p>
            <w:r/>
            <w:r>
              <w:rPr>
                <w:b w:val="0"/>
                <w:i w:val="0"/>
                <w:sz w:val="15"/>
              </w:rPr>
              <w:t>Chairman since Apr 2025; President Apr 2020 – Mar 2025</w:t>
            </w:r>
          </w:p>
        </w:tc>
        <w:tc>
          <w:tcPr>
            <w:tcW w:type="dxa" w:w="4031"/>
            <w:shd w:val="clear" w:color="auto" w:fill="F1F3F7"/>
          </w:tcPr>
          <w:p>
            <w:r/>
            <w:r>
              <w:rPr>
                <w:b w:val="0"/>
                <w:i w:val="0"/>
                <w:sz w:val="15"/>
              </w:rPr>
              <w:t>Launched WILL2030 (2021); presided over China collapse and ¥34bn impairment but also ceramics rise and US investment</w:t>
            </w:r>
          </w:p>
        </w:tc>
        <w:tc>
          <w:tcPr>
            <w:tcW w:type="dxa" w:w="1909"/>
            <w:shd w:val="clear" w:color="auto" w:fill="F1F3F7"/>
          </w:tcPr>
          <w:p>
            <w:r/>
            <w:r>
              <w:rPr>
                <w:b w:val="0"/>
                <w:i w:val="0"/>
                <w:sz w:val="15"/>
              </w:rPr>
              <w:t>Negligible; ~¥139m pay (reported)</w:t>
            </w:r>
          </w:p>
        </w:tc>
      </w:tr>
      <w:tr>
        <w:tc>
          <w:tcPr>
            <w:tcW w:type="dxa" w:w="1591"/>
          </w:tcPr>
          <w:p>
            <w:r/>
            <w:r>
              <w:rPr>
                <w:b w:val="0"/>
                <w:i w:val="0"/>
                <w:sz w:val="15"/>
              </w:rPr>
              <w:t>Tomoyuki Taguchi</w:t>
            </w:r>
          </w:p>
        </w:tc>
        <w:tc>
          <w:tcPr>
            <w:tcW w:type="dxa" w:w="2334"/>
          </w:tcPr>
          <w:p>
            <w:r/>
            <w:r>
              <w:rPr>
                <w:b w:val="0"/>
                <w:i w:val="0"/>
                <w:sz w:val="15"/>
              </w:rPr>
              <w:t>Senior Managing Exec. Officer &amp; CFO; Director</w:t>
            </w:r>
          </w:p>
        </w:tc>
        <w:tc>
          <w:tcPr>
            <w:tcW w:type="dxa" w:w="4031"/>
          </w:tcPr>
          <w:p>
            <w:r/>
            <w:r>
              <w:rPr>
                <w:b w:val="0"/>
                <w:i w:val="0"/>
                <w:sz w:val="15"/>
              </w:rPr>
              <w:t>Led ¥20bn buyback (2025), segment disclosure upgrade (2026)</w:t>
            </w:r>
          </w:p>
        </w:tc>
        <w:tc>
          <w:tcPr>
            <w:tcW w:type="dxa" w:w="1909"/>
          </w:tcPr>
          <w:p>
            <w:r/>
            <w:r>
              <w:rPr>
                <w:b w:val="0"/>
                <w:i w:val="0"/>
                <w:sz w:val="15"/>
              </w:rPr>
              <w:t>Negligible</w:t>
            </w:r>
          </w:p>
        </w:tc>
      </w:tr>
      <w:tr>
        <w:tc>
          <w:tcPr>
            <w:tcW w:type="dxa" w:w="1591"/>
            <w:shd w:val="clear" w:color="auto" w:fill="F1F3F7"/>
          </w:tcPr>
          <w:p>
            <w:r/>
            <w:r>
              <w:rPr>
                <w:b w:val="0"/>
                <w:i w:val="0"/>
                <w:sz w:val="15"/>
              </w:rPr>
              <w:t>Ryosuke Hayashi</w:t>
            </w:r>
          </w:p>
        </w:tc>
        <w:tc>
          <w:tcPr>
            <w:tcW w:type="dxa" w:w="2334"/>
            <w:shd w:val="clear" w:color="auto" w:fill="F1F3F7"/>
          </w:tcPr>
          <w:p>
            <w:r/>
            <w:r>
              <w:rPr>
                <w:b w:val="0"/>
                <w:i w:val="0"/>
                <w:sz w:val="15"/>
              </w:rPr>
              <w:t>Senior Managing Exec. Officer &amp; CTO; Director</w:t>
            </w:r>
          </w:p>
        </w:tc>
        <w:tc>
          <w:tcPr>
            <w:tcW w:type="dxa" w:w="4031"/>
            <w:shd w:val="clear" w:color="auto" w:fill="F1F3F7"/>
          </w:tcPr>
          <w:p>
            <w:r/>
            <w:r>
              <w:rPr>
                <w:b w:val="0"/>
                <w:i w:val="0"/>
                <w:sz w:val="15"/>
              </w:rPr>
              <w:t>Oversees business divisions incl. Advanced Ceramics; ceramics OP 3x under watch</w:t>
            </w:r>
          </w:p>
        </w:tc>
        <w:tc>
          <w:tcPr>
            <w:tcW w:type="dxa" w:w="1909"/>
            <w:shd w:val="clear" w:color="auto" w:fill="F1F3F7"/>
          </w:tcPr>
          <w:p>
            <w:r/>
            <w:r>
              <w:rPr>
                <w:b w:val="0"/>
                <w:i w:val="0"/>
                <w:sz w:val="15"/>
              </w:rPr>
              <w:t>Negligible</w:t>
            </w:r>
          </w:p>
        </w:tc>
      </w:tr>
      <w:tr>
        <w:tc>
          <w:tcPr>
            <w:tcW w:type="dxa" w:w="1591"/>
          </w:tcPr>
          <w:p>
            <w:r/>
            <w:r>
              <w:rPr>
                <w:b w:val="0"/>
                <w:i w:val="0"/>
                <w:sz w:val="15"/>
              </w:rPr>
              <w:t>Hiroshi Masumoto</w:t>
            </w:r>
          </w:p>
        </w:tc>
        <w:tc>
          <w:tcPr>
            <w:tcW w:type="dxa" w:w="2334"/>
          </w:tcPr>
          <w:p>
            <w:r/>
            <w:r>
              <w:rPr>
                <w:b w:val="0"/>
                <w:i w:val="0"/>
                <w:sz w:val="15"/>
              </w:rPr>
              <w:t>Head of Ceramics Business Division</w:t>
            </w:r>
          </w:p>
        </w:tc>
        <w:tc>
          <w:tcPr>
            <w:tcW w:type="dxa" w:w="4031"/>
          </w:tcPr>
          <w:p>
            <w:r/>
            <w:r>
              <w:rPr>
                <w:b w:val="0"/>
                <w:i w:val="0"/>
                <w:sz w:val="15"/>
              </w:rPr>
              <w:t>Ceramics capacity expansion; Lam supplier awards</w:t>
            </w:r>
          </w:p>
        </w:tc>
        <w:tc>
          <w:tcPr>
            <w:tcW w:type="dxa" w:w="1909"/>
          </w:tcPr>
          <w:p>
            <w:r/>
            <w:r>
              <w:rPr>
                <w:b w:val="0"/>
                <w:i w:val="0"/>
                <w:sz w:val="15"/>
              </w:rPr>
              <w:t>n/d</w:t>
            </w:r>
          </w:p>
        </w:tc>
      </w:tr>
      <w:tr>
        <w:tc>
          <w:tcPr>
            <w:tcW w:type="dxa" w:w="1591"/>
            <w:shd w:val="clear" w:color="auto" w:fill="F1F3F7"/>
          </w:tcPr>
          <w:p>
            <w:r/>
            <w:r>
              <w:rPr>
                <w:b w:val="0"/>
                <w:i w:val="0"/>
                <w:sz w:val="15"/>
              </w:rPr>
              <w:t>Madoka Kitamura</w:t>
            </w:r>
          </w:p>
        </w:tc>
        <w:tc>
          <w:tcPr>
            <w:tcW w:type="dxa" w:w="2334"/>
            <w:shd w:val="clear" w:color="auto" w:fill="F1F3F7"/>
          </w:tcPr>
          <w:p>
            <w:r/>
            <w:r>
              <w:rPr>
                <w:b w:val="0"/>
                <w:i w:val="0"/>
                <w:sz w:val="15"/>
              </w:rPr>
              <w:t>Former Chairman (President 2014–2020); now senior adviser</w:t>
            </w:r>
          </w:p>
        </w:tc>
        <w:tc>
          <w:tcPr>
            <w:tcW w:type="dxa" w:w="4031"/>
            <w:shd w:val="clear" w:color="auto" w:fill="F1F3F7"/>
          </w:tcPr>
          <w:p>
            <w:r/>
            <w:r>
              <w:rPr>
                <w:b w:val="0"/>
                <w:i w:val="0"/>
                <w:sz w:val="15"/>
              </w:rPr>
              <w:t>Approved China expansion era</w:t>
            </w:r>
          </w:p>
        </w:tc>
        <w:tc>
          <w:tcPr>
            <w:tcW w:type="dxa" w:w="1909"/>
            <w:shd w:val="clear" w:color="auto" w:fill="F1F3F7"/>
          </w:tcPr>
          <w:p>
            <w:r/>
            <w:r>
              <w:rPr>
                <w:b w:val="0"/>
                <w:i w:val="0"/>
                <w:sz w:val="15"/>
              </w:rPr>
              <w:t>—</w:t>
            </w:r>
          </w:p>
        </w:tc>
      </w:tr>
    </w:tbl>
    <w:p>
      <w:r>
        <w:rPr>
          <w:b w:val="0"/>
          <w:i/>
          <w:color w:val="5E6878"/>
          <w:sz w:val="14"/>
        </w:rPr>
        <w:t>Sources: TOTO press releases (31 Jan 2025, 25 Feb 2026), annual securities reports via secondary sources. Pay figures reported, not verified against the yuho.</w:t>
      </w:r>
    </w:p>
    <w:p>
      <w:pPr>
        <w:pStyle w:val="ListBullet"/>
        <w:spacing w:after="20"/>
      </w:pPr>
      <w:r>
        <w:rPr>
          <w:b/>
          <w:i w:val="0"/>
        </w:rPr>
        <w:t>Archetype:</w:t>
      </w:r>
      <w:r>
        <w:rPr>
          <w:b w:val="0"/>
          <w:i w:val="0"/>
        </w:rPr>
        <w:t xml:space="preserve"> professional, lifetime-employee managers in a 109-year-old company; no founder or controlling family. Implication: continuity and risk aversion — good for the franchise, slow on capital efficiency. External pressure (Palliser, TSE) is what moved capital allocation.</w:t>
      </w:r>
    </w:p>
    <w:p>
      <w:pPr>
        <w:pStyle w:val="ListBullet"/>
        <w:spacing w:after="20"/>
      </w:pPr>
      <w:r>
        <w:rPr>
          <w:b/>
          <w:i w:val="0"/>
        </w:rPr>
        <w:t>Capital allocation:</w:t>
      </w:r>
      <w:r>
        <w:rPr>
          <w:b w:val="0"/>
          <w:i w:val="0"/>
        </w:rPr>
        <w:t xml:space="preserve"> mixed. </w:t>
      </w:r>
      <w:r>
        <w:rPr>
          <w:b w:val="0"/>
          <w:i/>
        </w:rPr>
        <w:t>Good:</w:t>
      </w:r>
      <w:r>
        <w:rPr>
          <w:b w:val="0"/>
          <w:i w:val="0"/>
        </w:rPr>
        <w:t xml:space="preserve"> long-term commitment to ceramics R&amp;D (since 1976) now paying off; Vietnam/US greenfields; first sizeable buyback (¥20bn, cancelled). </w:t>
      </w:r>
      <w:r>
        <w:rPr>
          <w:b w:val="0"/>
          <w:i/>
        </w:rPr>
        <w:t>Poor:</w:t>
      </w:r>
      <w:r>
        <w:rPr>
          <w:b w:val="0"/>
          <w:i w:val="0"/>
        </w:rPr>
        <w:t xml:space="preserve"> China over-investment (Beijing/Shanghai plants) leading to ~¥49bn of impairment/restructuring; persistent over-capitalisation (equity ratio 64%, cross-holdings).</w:t>
      </w:r>
    </w:p>
    <w:p>
      <w:pPr>
        <w:pStyle w:val="ListBullet"/>
        <w:spacing w:after="20"/>
      </w:pPr>
      <w:r>
        <w:rPr>
          <w:b/>
          <w:i w:val="0"/>
        </w:rPr>
        <w:t>ROE trend:</w:t>
      </w:r>
      <w:r>
        <w:rPr>
          <w:b w:val="0"/>
          <w:i w:val="0"/>
        </w:rPr>
        <w:t xml:space="preserve"> ~8.5% (FY3/22e) → ~7.3% (FY3/24e) → ~2.3% (FY3/25e) → 7.7% (FY3/26) → ~8.6% guided; WILL2030 target ≥12%. ROIC on ceramics is far above WACC; housing ROIC ~3–4%, below WACC.</w:t>
      </w:r>
    </w:p>
    <w:p>
      <w:pPr>
        <w:pStyle w:val="ListBullet"/>
        <w:spacing w:after="20"/>
      </w:pPr>
      <w:r>
        <w:rPr>
          <w:b/>
          <w:i w:val="0"/>
        </w:rPr>
        <w:t>Red flags:</w:t>
      </w:r>
      <w:r>
        <w:rPr>
          <w:b w:val="0"/>
          <w:i w:val="0"/>
        </w:rPr>
        <w:t xml:space="preserve"> no related-party issues or accounting concerns identified. Compensation is moderate (bonus capped at ~0.6% of prior-year OP; little equity-linked pay — misaligned with share-price outcomes). Recurring product-safety recalls (Washlet fire risk series, faucets). Strategy is stable rather than pivot-prone; the 2026 "AI" framing came from an activist, not from promotional management.</w:t>
      </w:r>
    </w:p>
    <w:p>
      <w:pPr>
        <w:pStyle w:val="ListBullet"/>
        <w:spacing w:after="20"/>
      </w:pPr>
      <w:r>
        <w:rPr>
          <w:b/>
          <w:i w:val="0"/>
        </w:rPr>
        <w:t>Recent changes:</w:t>
      </w:r>
      <w:r>
        <w:rPr>
          <w:b w:val="0"/>
          <w:i w:val="0"/>
        </w:rPr>
        <w:t xml:space="preserve"> President change Apr 2025 (Kiyota → Tamura); 11 new executive officers and two R&amp;D "Fellows" from Apr 2026; board cut from 13 to 10 at the June 2026 AGM (50% outside directors).</w:t>
      </w:r>
    </w:p>
    <w:p>
      <w:pPr>
        <w:pStyle w:val="Heading1"/>
      </w:pPr>
      <w:r>
        <w:t>15. Board of Directors</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034"/>
            <w:shd w:val="clear" w:color="auto" w:fill="16243D"/>
          </w:tcPr>
          <w:p>
            <w:r/>
            <w:r>
              <w:rPr>
                <w:b/>
                <w:i w:val="0"/>
                <w:color w:val="FFFFFF"/>
                <w:sz w:val="15"/>
              </w:rPr>
              <w:t>Director</w:t>
            </w:r>
          </w:p>
        </w:tc>
        <w:tc>
          <w:tcPr>
            <w:tcW w:type="dxa" w:w="2237"/>
            <w:shd w:val="clear" w:color="auto" w:fill="16243D"/>
          </w:tcPr>
          <w:p>
            <w:r/>
            <w:r>
              <w:rPr>
                <w:b/>
                <w:i w:val="0"/>
                <w:color w:val="FFFFFF"/>
                <w:sz w:val="15"/>
              </w:rPr>
              <w:t>Position</w:t>
            </w:r>
          </w:p>
        </w:tc>
        <w:tc>
          <w:tcPr>
            <w:tcW w:type="dxa" w:w="915"/>
            <w:shd w:val="clear" w:color="auto" w:fill="16243D"/>
          </w:tcPr>
          <w:p>
            <w:r/>
            <w:r>
              <w:rPr>
                <w:b/>
                <w:i w:val="0"/>
                <w:color w:val="FFFFFF"/>
                <w:sz w:val="15"/>
              </w:rPr>
              <w:t>Independent</w:t>
            </w:r>
          </w:p>
        </w:tc>
        <w:tc>
          <w:tcPr>
            <w:tcW w:type="dxa" w:w="1627"/>
            <w:shd w:val="clear" w:color="auto" w:fill="16243D"/>
          </w:tcPr>
          <w:p>
            <w:r/>
            <w:r>
              <w:rPr>
                <w:b/>
                <w:i w:val="0"/>
                <w:color w:val="FFFFFF"/>
                <w:sz w:val="15"/>
              </w:rPr>
              <w:t>Board tenure</w:t>
            </w:r>
          </w:p>
        </w:tc>
        <w:tc>
          <w:tcPr>
            <w:tcW w:type="dxa" w:w="3051"/>
            <w:shd w:val="clear" w:color="auto" w:fill="16243D"/>
          </w:tcPr>
          <w:p>
            <w:r/>
            <w:r>
              <w:rPr>
                <w:b/>
                <w:i w:val="0"/>
                <w:color w:val="FFFFFF"/>
                <w:sz w:val="15"/>
              </w:rPr>
              <w:t>Background / affiliations</w:t>
            </w:r>
          </w:p>
        </w:tc>
      </w:tr>
      <w:tr>
        <w:tc>
          <w:tcPr>
            <w:tcW w:type="dxa" w:w="2034"/>
          </w:tcPr>
          <w:p>
            <w:r/>
            <w:r>
              <w:rPr>
                <w:b w:val="0"/>
                <w:i w:val="0"/>
                <w:sz w:val="15"/>
              </w:rPr>
              <w:t>Noriaki Kiyota</w:t>
            </w:r>
          </w:p>
        </w:tc>
        <w:tc>
          <w:tcPr>
            <w:tcW w:type="dxa" w:w="2237"/>
          </w:tcPr>
          <w:p>
            <w:r/>
            <w:r>
              <w:rPr>
                <w:b w:val="0"/>
                <w:i w:val="0"/>
                <w:sz w:val="15"/>
              </w:rPr>
              <w:t>Chairman, Chair of the Board</w:t>
            </w:r>
          </w:p>
        </w:tc>
        <w:tc>
          <w:tcPr>
            <w:tcW w:type="dxa" w:w="915"/>
          </w:tcPr>
          <w:p>
            <w:r/>
            <w:r>
              <w:rPr>
                <w:b w:val="0"/>
                <w:i w:val="0"/>
                <w:sz w:val="15"/>
              </w:rPr>
              <w:t>No</w:t>
            </w:r>
          </w:p>
        </w:tc>
        <w:tc>
          <w:tcPr>
            <w:tcW w:type="dxa" w:w="1627"/>
          </w:tcPr>
          <w:p>
            <w:r/>
            <w:r>
              <w:rPr>
                <w:b w:val="0"/>
                <w:i w:val="0"/>
                <w:sz w:val="15"/>
              </w:rPr>
              <w:t>Long-serving (President 2020–25)</w:t>
            </w:r>
          </w:p>
        </w:tc>
        <w:tc>
          <w:tcPr>
            <w:tcW w:type="dxa" w:w="3051"/>
          </w:tcPr>
          <w:p>
            <w:r/>
            <w:r>
              <w:rPr>
                <w:b w:val="0"/>
                <w:i w:val="0"/>
                <w:sz w:val="15"/>
              </w:rPr>
              <w:t>Career TOTO</w:t>
            </w:r>
          </w:p>
        </w:tc>
      </w:tr>
      <w:tr>
        <w:tc>
          <w:tcPr>
            <w:tcW w:type="dxa" w:w="2034"/>
            <w:shd w:val="clear" w:color="auto" w:fill="F1F3F7"/>
          </w:tcPr>
          <w:p>
            <w:r/>
            <w:r>
              <w:rPr>
                <w:b w:val="0"/>
                <w:i w:val="0"/>
                <w:sz w:val="15"/>
              </w:rPr>
              <w:t>Shinya Tamura</w:t>
            </w:r>
          </w:p>
        </w:tc>
        <w:tc>
          <w:tcPr>
            <w:tcW w:type="dxa" w:w="2237"/>
            <w:shd w:val="clear" w:color="auto" w:fill="F1F3F7"/>
          </w:tcPr>
          <w:p>
            <w:r/>
            <w:r>
              <w:rPr>
                <w:b w:val="0"/>
                <w:i w:val="0"/>
                <w:sz w:val="15"/>
              </w:rPr>
              <w:t>President</w:t>
            </w:r>
          </w:p>
        </w:tc>
        <w:tc>
          <w:tcPr>
            <w:tcW w:type="dxa" w:w="915"/>
            <w:shd w:val="clear" w:color="auto" w:fill="F1F3F7"/>
          </w:tcPr>
          <w:p>
            <w:r/>
            <w:r>
              <w:rPr>
                <w:b w:val="0"/>
                <w:i w:val="0"/>
                <w:sz w:val="15"/>
              </w:rPr>
              <w:t>No</w:t>
            </w:r>
          </w:p>
        </w:tc>
        <w:tc>
          <w:tcPr>
            <w:tcW w:type="dxa" w:w="1627"/>
            <w:shd w:val="clear" w:color="auto" w:fill="F1F3F7"/>
          </w:tcPr>
          <w:p>
            <w:r/>
            <w:r>
              <w:rPr>
                <w:b w:val="0"/>
                <w:i w:val="0"/>
                <w:sz w:val="15"/>
              </w:rPr>
              <w:t>Director since ≤2023</w:t>
            </w:r>
          </w:p>
        </w:tc>
        <w:tc>
          <w:tcPr>
            <w:tcW w:type="dxa" w:w="3051"/>
            <w:shd w:val="clear" w:color="auto" w:fill="F1F3F7"/>
          </w:tcPr>
          <w:p>
            <w:r/>
            <w:r>
              <w:rPr>
                <w:b w:val="0"/>
                <w:i w:val="0"/>
                <w:sz w:val="15"/>
              </w:rPr>
              <w:t>Career TOTO; ex-head of US and Vietnam subsidiaries</w:t>
            </w:r>
          </w:p>
        </w:tc>
      </w:tr>
      <w:tr>
        <w:tc>
          <w:tcPr>
            <w:tcW w:type="dxa" w:w="2034"/>
          </w:tcPr>
          <w:p>
            <w:r/>
            <w:r>
              <w:rPr>
                <w:b w:val="0"/>
                <w:i w:val="0"/>
                <w:sz w:val="15"/>
              </w:rPr>
              <w:t>Tomoyuki Taguchi</w:t>
            </w:r>
          </w:p>
        </w:tc>
        <w:tc>
          <w:tcPr>
            <w:tcW w:type="dxa" w:w="2237"/>
          </w:tcPr>
          <w:p>
            <w:r/>
            <w:r>
              <w:rPr>
                <w:b w:val="0"/>
                <w:i w:val="0"/>
                <w:sz w:val="15"/>
              </w:rPr>
              <w:t>Director, CFO</w:t>
            </w:r>
          </w:p>
        </w:tc>
        <w:tc>
          <w:tcPr>
            <w:tcW w:type="dxa" w:w="915"/>
          </w:tcPr>
          <w:p>
            <w:r/>
            <w:r>
              <w:rPr>
                <w:b w:val="0"/>
                <w:i w:val="0"/>
                <w:sz w:val="15"/>
              </w:rPr>
              <w:t>No</w:t>
            </w:r>
          </w:p>
        </w:tc>
        <w:tc>
          <w:tcPr>
            <w:tcW w:type="dxa" w:w="1627"/>
          </w:tcPr>
          <w:p>
            <w:r/>
            <w:r>
              <w:rPr>
                <w:b w:val="0"/>
                <w:i w:val="0"/>
                <w:sz w:val="15"/>
              </w:rPr>
              <w:t>n/d</w:t>
            </w:r>
          </w:p>
        </w:tc>
        <w:tc>
          <w:tcPr>
            <w:tcW w:type="dxa" w:w="3051"/>
          </w:tcPr>
          <w:p>
            <w:r/>
            <w:r>
              <w:rPr>
                <w:b w:val="0"/>
                <w:i w:val="0"/>
                <w:sz w:val="15"/>
              </w:rPr>
              <w:t>Career TOTO; finance, legal, HR</w:t>
            </w:r>
          </w:p>
        </w:tc>
      </w:tr>
      <w:tr>
        <w:tc>
          <w:tcPr>
            <w:tcW w:type="dxa" w:w="2034"/>
            <w:shd w:val="clear" w:color="auto" w:fill="F1F3F7"/>
          </w:tcPr>
          <w:p>
            <w:r/>
            <w:r>
              <w:rPr>
                <w:b w:val="0"/>
                <w:i w:val="0"/>
                <w:sz w:val="15"/>
              </w:rPr>
              <w:t>Ryosuke Hayashi or Naomiki Takeuchi</w:t>
            </w:r>
          </w:p>
        </w:tc>
        <w:tc>
          <w:tcPr>
            <w:tcW w:type="dxa" w:w="2237"/>
            <w:shd w:val="clear" w:color="auto" w:fill="F1F3F7"/>
          </w:tcPr>
          <w:p>
            <w:r/>
            <w:r>
              <w:rPr>
                <w:b w:val="0"/>
                <w:i w:val="0"/>
                <w:sz w:val="15"/>
              </w:rPr>
              <w:t>Director (inside)</w:t>
            </w:r>
          </w:p>
        </w:tc>
        <w:tc>
          <w:tcPr>
            <w:tcW w:type="dxa" w:w="915"/>
            <w:shd w:val="clear" w:color="auto" w:fill="F1F3F7"/>
          </w:tcPr>
          <w:p>
            <w:r/>
            <w:r>
              <w:rPr>
                <w:b w:val="0"/>
                <w:i w:val="0"/>
                <w:sz w:val="15"/>
              </w:rPr>
              <w:t>No</w:t>
            </w:r>
          </w:p>
        </w:tc>
        <w:tc>
          <w:tcPr>
            <w:tcW w:type="dxa" w:w="1627"/>
            <w:shd w:val="clear" w:color="auto" w:fill="F1F3F7"/>
          </w:tcPr>
          <w:p>
            <w:r/>
            <w:r>
              <w:rPr>
                <w:b w:val="0"/>
                <w:i w:val="0"/>
                <w:sz w:val="15"/>
              </w:rPr>
              <w:t>n/d</w:t>
            </w:r>
          </w:p>
        </w:tc>
        <w:tc>
          <w:tcPr>
            <w:tcW w:type="dxa" w:w="3051"/>
            <w:shd w:val="clear" w:color="auto" w:fill="F1F3F7"/>
          </w:tcPr>
          <w:p>
            <w:r/>
            <w:r>
              <w:rPr>
                <w:b w:val="0"/>
                <w:i w:val="0"/>
                <w:sz w:val="15"/>
              </w:rPr>
              <w:t>Career TOTO (to confirm against 2026 AGM notice)</w:t>
            </w:r>
          </w:p>
        </w:tc>
      </w:tr>
      <w:tr>
        <w:tc>
          <w:tcPr>
            <w:tcW w:type="dxa" w:w="2034"/>
          </w:tcPr>
          <w:p>
            <w:r/>
            <w:r>
              <w:rPr>
                <w:b w:val="0"/>
                <w:i w:val="0"/>
                <w:sz w:val="15"/>
              </w:rPr>
              <w:t>Junji Tsuda</w:t>
            </w:r>
          </w:p>
        </w:tc>
        <w:tc>
          <w:tcPr>
            <w:tcW w:type="dxa" w:w="2237"/>
          </w:tcPr>
          <w:p>
            <w:r/>
            <w:r>
              <w:rPr>
                <w:b w:val="0"/>
                <w:i w:val="0"/>
                <w:sz w:val="15"/>
              </w:rPr>
              <w:t>Outside director</w:t>
            </w:r>
          </w:p>
        </w:tc>
        <w:tc>
          <w:tcPr>
            <w:tcW w:type="dxa" w:w="915"/>
          </w:tcPr>
          <w:p>
            <w:r/>
            <w:r>
              <w:rPr>
                <w:b w:val="0"/>
                <w:i w:val="0"/>
                <w:sz w:val="15"/>
              </w:rPr>
              <w:t>Yes</w:t>
            </w:r>
          </w:p>
        </w:tc>
        <w:tc>
          <w:tcPr>
            <w:tcW w:type="dxa" w:w="1627"/>
          </w:tcPr>
          <w:p>
            <w:r/>
            <w:r>
              <w:rPr>
                <w:b w:val="0"/>
                <w:i w:val="0"/>
                <w:sz w:val="15"/>
              </w:rPr>
              <w:t>Several years</w:t>
            </w:r>
          </w:p>
        </w:tc>
        <w:tc>
          <w:tcPr>
            <w:tcW w:type="dxa" w:w="3051"/>
          </w:tcPr>
          <w:p>
            <w:r/>
            <w:r>
              <w:rPr>
                <w:b w:val="0"/>
                <w:i w:val="0"/>
                <w:sz w:val="15"/>
              </w:rPr>
              <w:t>Former Chairman, Yaskawa Electric (to verify)</w:t>
            </w:r>
          </w:p>
        </w:tc>
      </w:tr>
      <w:tr>
        <w:tc>
          <w:tcPr>
            <w:tcW w:type="dxa" w:w="2034"/>
            <w:shd w:val="clear" w:color="auto" w:fill="F1F3F7"/>
          </w:tcPr>
          <w:p>
            <w:r/>
            <w:r>
              <w:rPr>
                <w:b w:val="0"/>
                <w:i w:val="0"/>
                <w:sz w:val="15"/>
              </w:rPr>
              <w:t>Kenji Yoshida</w:t>
            </w:r>
          </w:p>
        </w:tc>
        <w:tc>
          <w:tcPr>
            <w:tcW w:type="dxa" w:w="2237"/>
            <w:shd w:val="clear" w:color="auto" w:fill="F1F3F7"/>
          </w:tcPr>
          <w:p>
            <w:r/>
            <w:r>
              <w:rPr>
                <w:b w:val="0"/>
                <w:i w:val="0"/>
                <w:sz w:val="15"/>
              </w:rPr>
              <w:t>Outside director</w:t>
            </w:r>
          </w:p>
        </w:tc>
        <w:tc>
          <w:tcPr>
            <w:tcW w:type="dxa" w:w="915"/>
            <w:shd w:val="clear" w:color="auto" w:fill="F1F3F7"/>
          </w:tcPr>
          <w:p>
            <w:r/>
            <w:r>
              <w:rPr>
                <w:b w:val="0"/>
                <w:i w:val="0"/>
                <w:sz w:val="15"/>
              </w:rPr>
              <w:t>Yes</w:t>
            </w:r>
          </w:p>
        </w:tc>
        <w:tc>
          <w:tcPr>
            <w:tcW w:type="dxa" w:w="1627"/>
            <w:shd w:val="clear" w:color="auto" w:fill="F1F3F7"/>
          </w:tcPr>
          <w:p>
            <w:r/>
            <w:r>
              <w:rPr>
                <w:b w:val="0"/>
                <w:i w:val="0"/>
                <w:sz w:val="15"/>
              </w:rPr>
              <w:t>New – Jun 2026</w:t>
            </w:r>
          </w:p>
        </w:tc>
        <w:tc>
          <w:tcPr>
            <w:tcW w:type="dxa" w:w="3051"/>
            <w:shd w:val="clear" w:color="auto" w:fill="F1F3F7"/>
          </w:tcPr>
          <w:p>
            <w:r/>
            <w:r>
              <w:rPr>
                <w:b w:val="0"/>
                <w:i w:val="0"/>
                <w:sz w:val="15"/>
              </w:rPr>
              <w:t>n/d</w:t>
            </w:r>
          </w:p>
        </w:tc>
      </w:tr>
      <w:tr>
        <w:tc>
          <w:tcPr>
            <w:tcW w:type="dxa" w:w="2034"/>
          </w:tcPr>
          <w:p>
            <w:r/>
            <w:r>
              <w:rPr>
                <w:b w:val="0"/>
                <w:i w:val="0"/>
                <w:sz w:val="15"/>
              </w:rPr>
              <w:t>Masayuki Yoshioka</w:t>
            </w:r>
          </w:p>
        </w:tc>
        <w:tc>
          <w:tcPr>
            <w:tcW w:type="dxa" w:w="2237"/>
          </w:tcPr>
          <w:p>
            <w:r/>
            <w:r>
              <w:rPr>
                <w:b w:val="0"/>
                <w:i w:val="0"/>
                <w:sz w:val="15"/>
              </w:rPr>
              <w:t>Director, full-time Audit &amp; Supervisory Committee member</w:t>
            </w:r>
          </w:p>
        </w:tc>
        <w:tc>
          <w:tcPr>
            <w:tcW w:type="dxa" w:w="915"/>
          </w:tcPr>
          <w:p>
            <w:r/>
            <w:r>
              <w:rPr>
                <w:b w:val="0"/>
                <w:i w:val="0"/>
                <w:sz w:val="15"/>
              </w:rPr>
              <w:t>No</w:t>
            </w:r>
          </w:p>
        </w:tc>
        <w:tc>
          <w:tcPr>
            <w:tcW w:type="dxa" w:w="1627"/>
          </w:tcPr>
          <w:p>
            <w:r/>
            <w:r>
              <w:rPr>
                <w:b w:val="0"/>
                <w:i w:val="0"/>
                <w:sz w:val="15"/>
              </w:rPr>
              <w:t>n/d</w:t>
            </w:r>
          </w:p>
        </w:tc>
        <w:tc>
          <w:tcPr>
            <w:tcW w:type="dxa" w:w="3051"/>
          </w:tcPr>
          <w:p>
            <w:r/>
            <w:r>
              <w:rPr>
                <w:b w:val="0"/>
                <w:i w:val="0"/>
                <w:sz w:val="15"/>
              </w:rPr>
              <w:t>Career TOTO</w:t>
            </w:r>
          </w:p>
        </w:tc>
      </w:tr>
      <w:tr>
        <w:tc>
          <w:tcPr>
            <w:tcW w:type="dxa" w:w="2034"/>
            <w:shd w:val="clear" w:color="auto" w:fill="F1F3F7"/>
          </w:tcPr>
          <w:p>
            <w:r/>
            <w:r>
              <w:rPr>
                <w:b w:val="0"/>
                <w:i w:val="0"/>
                <w:sz w:val="15"/>
              </w:rPr>
              <w:t>Yukari Ienaga</w:t>
            </w:r>
          </w:p>
        </w:tc>
        <w:tc>
          <w:tcPr>
            <w:tcW w:type="dxa" w:w="2237"/>
            <w:shd w:val="clear" w:color="auto" w:fill="F1F3F7"/>
          </w:tcPr>
          <w:p>
            <w:r/>
            <w:r>
              <w:rPr>
                <w:b w:val="0"/>
                <w:i w:val="0"/>
                <w:sz w:val="15"/>
              </w:rPr>
              <w:t>Outside director, A&amp;S Committee</w:t>
            </w:r>
          </w:p>
        </w:tc>
        <w:tc>
          <w:tcPr>
            <w:tcW w:type="dxa" w:w="915"/>
            <w:shd w:val="clear" w:color="auto" w:fill="F1F3F7"/>
          </w:tcPr>
          <w:p>
            <w:r/>
            <w:r>
              <w:rPr>
                <w:b w:val="0"/>
                <w:i w:val="0"/>
                <w:sz w:val="15"/>
              </w:rPr>
              <w:t>Yes</w:t>
            </w:r>
          </w:p>
        </w:tc>
        <w:tc>
          <w:tcPr>
            <w:tcW w:type="dxa" w:w="1627"/>
            <w:shd w:val="clear" w:color="auto" w:fill="F1F3F7"/>
          </w:tcPr>
          <w:p>
            <w:r/>
            <w:r>
              <w:rPr>
                <w:b w:val="0"/>
                <w:i w:val="0"/>
                <w:sz w:val="15"/>
              </w:rPr>
              <w:t>n/d</w:t>
            </w:r>
          </w:p>
        </w:tc>
        <w:tc>
          <w:tcPr>
            <w:tcW w:type="dxa" w:w="3051"/>
            <w:shd w:val="clear" w:color="auto" w:fill="F1F3F7"/>
          </w:tcPr>
          <w:p>
            <w:r/>
            <w:r>
              <w:rPr>
                <w:b w:val="0"/>
                <w:i w:val="0"/>
                <w:sz w:val="15"/>
              </w:rPr>
              <w:t>n/d</w:t>
            </w:r>
          </w:p>
        </w:tc>
      </w:tr>
      <w:tr>
        <w:tc>
          <w:tcPr>
            <w:tcW w:type="dxa" w:w="2034"/>
          </w:tcPr>
          <w:p>
            <w:r/>
            <w:r>
              <w:rPr>
                <w:b w:val="0"/>
                <w:i w:val="0"/>
                <w:sz w:val="15"/>
              </w:rPr>
              <w:t>Chiho Naganuma</w:t>
            </w:r>
          </w:p>
        </w:tc>
        <w:tc>
          <w:tcPr>
            <w:tcW w:type="dxa" w:w="2237"/>
          </w:tcPr>
          <w:p>
            <w:r/>
            <w:r>
              <w:rPr>
                <w:b w:val="0"/>
                <w:i w:val="0"/>
                <w:sz w:val="15"/>
              </w:rPr>
              <w:t>Outside director, A&amp;S Committee</w:t>
            </w:r>
          </w:p>
        </w:tc>
        <w:tc>
          <w:tcPr>
            <w:tcW w:type="dxa" w:w="915"/>
          </w:tcPr>
          <w:p>
            <w:r/>
            <w:r>
              <w:rPr>
                <w:b w:val="0"/>
                <w:i w:val="0"/>
                <w:sz w:val="15"/>
              </w:rPr>
              <w:t>Yes</w:t>
            </w:r>
          </w:p>
        </w:tc>
        <w:tc>
          <w:tcPr>
            <w:tcW w:type="dxa" w:w="1627"/>
          </w:tcPr>
          <w:p>
            <w:r/>
            <w:r>
              <w:rPr>
                <w:b w:val="0"/>
                <w:i w:val="0"/>
                <w:sz w:val="15"/>
              </w:rPr>
              <w:t>n/d</w:t>
            </w:r>
          </w:p>
        </w:tc>
        <w:tc>
          <w:tcPr>
            <w:tcW w:type="dxa" w:w="3051"/>
          </w:tcPr>
          <w:p>
            <w:r/>
            <w:r>
              <w:rPr>
                <w:b w:val="0"/>
                <w:i w:val="0"/>
                <w:sz w:val="15"/>
              </w:rPr>
              <w:t>n/d</w:t>
            </w:r>
          </w:p>
        </w:tc>
      </w:tr>
      <w:tr>
        <w:tc>
          <w:tcPr>
            <w:tcW w:type="dxa" w:w="2034"/>
            <w:shd w:val="clear" w:color="auto" w:fill="F1F3F7"/>
          </w:tcPr>
          <w:p>
            <w:r/>
            <w:r>
              <w:rPr>
                <w:b w:val="0"/>
                <w:i w:val="0"/>
                <w:sz w:val="15"/>
              </w:rPr>
              <w:t>Hidekazu Horikoshi</w:t>
            </w:r>
          </w:p>
        </w:tc>
        <w:tc>
          <w:tcPr>
            <w:tcW w:type="dxa" w:w="2237"/>
            <w:shd w:val="clear" w:color="auto" w:fill="F1F3F7"/>
          </w:tcPr>
          <w:p>
            <w:r/>
            <w:r>
              <w:rPr>
                <w:b w:val="0"/>
                <w:i w:val="0"/>
                <w:sz w:val="15"/>
              </w:rPr>
              <w:t>Outside director, A&amp;S Committee</w:t>
            </w:r>
          </w:p>
        </w:tc>
        <w:tc>
          <w:tcPr>
            <w:tcW w:type="dxa" w:w="915"/>
            <w:shd w:val="clear" w:color="auto" w:fill="F1F3F7"/>
          </w:tcPr>
          <w:p>
            <w:r/>
            <w:r>
              <w:rPr>
                <w:b w:val="0"/>
                <w:i w:val="0"/>
                <w:sz w:val="15"/>
              </w:rPr>
              <w:t>Yes</w:t>
            </w:r>
          </w:p>
        </w:tc>
        <w:tc>
          <w:tcPr>
            <w:tcW w:type="dxa" w:w="1627"/>
            <w:shd w:val="clear" w:color="auto" w:fill="F1F3F7"/>
          </w:tcPr>
          <w:p>
            <w:r/>
            <w:r>
              <w:rPr>
                <w:b w:val="0"/>
                <w:i w:val="0"/>
                <w:sz w:val="15"/>
              </w:rPr>
              <w:t>New – Jun 2026</w:t>
            </w:r>
          </w:p>
        </w:tc>
        <w:tc>
          <w:tcPr>
            <w:tcW w:type="dxa" w:w="3051"/>
            <w:shd w:val="clear" w:color="auto" w:fill="F1F3F7"/>
          </w:tcPr>
          <w:p>
            <w:r/>
            <w:r>
              <w:rPr>
                <w:b w:val="0"/>
                <w:i w:val="0"/>
                <w:sz w:val="15"/>
              </w:rPr>
              <w:t>n/d</w:t>
            </w:r>
          </w:p>
        </w:tc>
      </w:tr>
    </w:tbl>
    <w:p>
      <w:r>
        <w:rPr>
          <w:b w:val="0"/>
          <w:i/>
          <w:color w:val="5E6878"/>
          <w:sz w:val="14"/>
        </w:rPr>
        <w:t>Company with an Audit &amp; Supervisory Committee. Post-23 Jun 2026 AGM: 10 directors, 5 independent. n/d = not determinable from sources available to us — complete from the 2026 Notice of Convocation before external use.</w:t>
      </w:r>
    </w:p>
    <w:p>
      <w:pPr>
        <w:pStyle w:val="Heading3"/>
      </w:pPr>
      <w:r>
        <w:t>Board changes, 2021–2026</w:t>
      </w:r>
    </w:p>
    <w:p>
      <w:pPr>
        <w:pStyle w:val="ListBullet"/>
        <w:spacing w:after="20"/>
      </w:pPr>
      <w:r>
        <w:rPr>
          <w:b w:val="0"/>
          <w:i w:val="0"/>
        </w:rPr>
        <w:t>Jun 2025: Naomiki Takeuchi joins (inside). Madoka Kitamura and Satoshi Shirakawa relinquish representative rights (Apr 2025) and step back to adviser roles.</w:t>
      </w:r>
    </w:p>
    <w:p>
      <w:pPr>
        <w:pStyle w:val="ListBullet"/>
        <w:spacing w:after="20"/>
      </w:pPr>
      <w:r>
        <w:rPr>
          <w:b w:val="0"/>
          <w:i w:val="0"/>
        </w:rPr>
        <w:t>Jun 2026: Articles amended to reduce board size; board shrinks 13 → 10. Outside directors Shigenori Yamauchi and Yasushi Marumori retire; Kenji Yoshida and Hidekazu Horikoshi join. Independence rises to 50%. President re-elected with ~94% support (reported).</w:t>
      </w:r>
    </w:p>
    <w:p>
      <w:pPr>
        <w:pStyle w:val="ListBullet"/>
        <w:spacing w:after="20"/>
      </w:pPr>
      <w:r>
        <w:rPr>
          <w:b w:val="0"/>
          <w:i w:val="0"/>
        </w:rPr>
        <w:t>2021–2024 changes: routine rotation of inside directors; not fully reconstructable from available sources.</w:t>
      </w:r>
    </w:p>
    <w:p>
      <w:pPr>
        <w:pStyle w:val="Heading1"/>
      </w:pPr>
      <w:r>
        <w:t>16. Shareholders, Activism and Short Interest</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470"/>
            <w:shd w:val="clear" w:color="auto" w:fill="16243D"/>
          </w:tcPr>
          <w:p>
            <w:r/>
            <w:r>
              <w:rPr>
                <w:b/>
                <w:i w:val="0"/>
                <w:color w:val="FFFFFF"/>
                <w:sz w:val="15"/>
              </w:rPr>
              <w:t>#</w:t>
            </w:r>
          </w:p>
        </w:tc>
        <w:tc>
          <w:tcPr>
            <w:tcW w:type="dxa" w:w="3758"/>
            <w:shd w:val="clear" w:color="auto" w:fill="16243D"/>
          </w:tcPr>
          <w:p>
            <w:r/>
            <w:r>
              <w:rPr>
                <w:b/>
                <w:i w:val="0"/>
                <w:color w:val="FFFFFF"/>
                <w:sz w:val="15"/>
              </w:rPr>
              <w:t>Shareholder</w:t>
            </w:r>
          </w:p>
        </w:tc>
        <w:tc>
          <w:tcPr>
            <w:tcW w:type="dxa" w:w="3523"/>
            <w:shd w:val="clear" w:color="auto" w:fill="16243D"/>
          </w:tcPr>
          <w:p>
            <w:r/>
            <w:r>
              <w:rPr>
                <w:b/>
                <w:i w:val="0"/>
                <w:color w:val="FFFFFF"/>
                <w:sz w:val="15"/>
              </w:rPr>
              <w:t>Type</w:t>
            </w:r>
          </w:p>
        </w:tc>
        <w:tc>
          <w:tcPr>
            <w:tcW w:type="dxa" w:w="2114"/>
            <w:shd w:val="clear" w:color="auto" w:fill="16243D"/>
          </w:tcPr>
          <w:p>
            <w:r/>
            <w:r>
              <w:rPr>
                <w:b/>
                <w:i w:val="0"/>
                <w:color w:val="FFFFFF"/>
                <w:sz w:val="15"/>
              </w:rPr>
              <w:t>% (Mar 2026, approx.)</w:t>
            </w:r>
          </w:p>
        </w:tc>
      </w:tr>
      <w:tr>
        <w:tc>
          <w:tcPr>
            <w:tcW w:type="dxa" w:w="470"/>
          </w:tcPr>
          <w:p>
            <w:r/>
            <w:r>
              <w:rPr>
                <w:b w:val="0"/>
                <w:i w:val="0"/>
                <w:sz w:val="15"/>
              </w:rPr>
              <w:t>1</w:t>
            </w:r>
          </w:p>
        </w:tc>
        <w:tc>
          <w:tcPr>
            <w:tcW w:type="dxa" w:w="3758"/>
          </w:tcPr>
          <w:p>
            <w:r/>
            <w:r>
              <w:rPr>
                <w:b w:val="0"/>
                <w:i w:val="0"/>
                <w:sz w:val="15"/>
              </w:rPr>
              <w:t>Master Trust Bank of Japan (trust a/c)</w:t>
            </w:r>
          </w:p>
        </w:tc>
        <w:tc>
          <w:tcPr>
            <w:tcW w:type="dxa" w:w="3523"/>
          </w:tcPr>
          <w:p>
            <w:r/>
            <w:r>
              <w:rPr>
                <w:b w:val="0"/>
                <w:i w:val="0"/>
                <w:sz w:val="15"/>
              </w:rPr>
              <w:t>Custodian – domestic passive/active funds</w:t>
            </w:r>
          </w:p>
        </w:tc>
        <w:tc>
          <w:tcPr>
            <w:tcW w:type="dxa" w:w="2114"/>
          </w:tcPr>
          <w:p>
            <w:r/>
            <w:r>
              <w:rPr>
                <w:b w:val="0"/>
                <w:i w:val="0"/>
                <w:sz w:val="15"/>
              </w:rPr>
              <w:t>~17–19%</w:t>
            </w:r>
          </w:p>
        </w:tc>
      </w:tr>
      <w:tr>
        <w:tc>
          <w:tcPr>
            <w:tcW w:type="dxa" w:w="470"/>
            <w:shd w:val="clear" w:color="auto" w:fill="F1F3F7"/>
          </w:tcPr>
          <w:p>
            <w:r/>
            <w:r>
              <w:rPr>
                <w:b w:val="0"/>
                <w:i w:val="0"/>
                <w:sz w:val="15"/>
              </w:rPr>
              <w:t>2</w:t>
            </w:r>
          </w:p>
        </w:tc>
        <w:tc>
          <w:tcPr>
            <w:tcW w:type="dxa" w:w="3758"/>
            <w:shd w:val="clear" w:color="auto" w:fill="F1F3F7"/>
          </w:tcPr>
          <w:p>
            <w:r/>
            <w:r>
              <w:rPr>
                <w:b w:val="0"/>
                <w:i w:val="0"/>
                <w:sz w:val="15"/>
              </w:rPr>
              <w:t>Custody Bank of Japan (trust a/c)</w:t>
            </w:r>
          </w:p>
        </w:tc>
        <w:tc>
          <w:tcPr>
            <w:tcW w:type="dxa" w:w="3523"/>
            <w:shd w:val="clear" w:color="auto" w:fill="F1F3F7"/>
          </w:tcPr>
          <w:p>
            <w:r/>
            <w:r>
              <w:rPr>
                <w:b w:val="0"/>
                <w:i w:val="0"/>
                <w:sz w:val="15"/>
              </w:rPr>
              <w:t>Custodian – domestic funds/pensions</w:t>
            </w:r>
          </w:p>
        </w:tc>
        <w:tc>
          <w:tcPr>
            <w:tcW w:type="dxa" w:w="2114"/>
            <w:shd w:val="clear" w:color="auto" w:fill="F1F3F7"/>
          </w:tcPr>
          <w:p>
            <w:r/>
            <w:r>
              <w:rPr>
                <w:b w:val="0"/>
                <w:i w:val="0"/>
                <w:sz w:val="15"/>
              </w:rPr>
              <w:t>~9.8%</w:t>
            </w:r>
          </w:p>
        </w:tc>
      </w:tr>
      <w:tr>
        <w:tc>
          <w:tcPr>
            <w:tcW w:type="dxa" w:w="470"/>
          </w:tcPr>
          <w:p>
            <w:r/>
            <w:r>
              <w:rPr>
                <w:b w:val="0"/>
                <w:i w:val="0"/>
                <w:sz w:val="15"/>
              </w:rPr>
              <w:t>3</w:t>
            </w:r>
          </w:p>
        </w:tc>
        <w:tc>
          <w:tcPr>
            <w:tcW w:type="dxa" w:w="3758"/>
          </w:tcPr>
          <w:p>
            <w:r/>
            <w:r>
              <w:rPr>
                <w:b w:val="0"/>
                <w:i w:val="0"/>
                <w:sz w:val="15"/>
              </w:rPr>
              <w:t>Meiji Yasuda Life Insurance</w:t>
            </w:r>
          </w:p>
        </w:tc>
        <w:tc>
          <w:tcPr>
            <w:tcW w:type="dxa" w:w="3523"/>
          </w:tcPr>
          <w:p>
            <w:r/>
            <w:r>
              <w:rPr>
                <w:b w:val="0"/>
                <w:i w:val="0"/>
                <w:sz w:val="15"/>
              </w:rPr>
              <w:t>Life insurer – stable/cross-holder</w:t>
            </w:r>
          </w:p>
        </w:tc>
        <w:tc>
          <w:tcPr>
            <w:tcW w:type="dxa" w:w="2114"/>
          </w:tcPr>
          <w:p>
            <w:r/>
            <w:r>
              <w:rPr>
                <w:b w:val="0"/>
                <w:i w:val="0"/>
                <w:sz w:val="15"/>
              </w:rPr>
              <w:t>~6.1%</w:t>
            </w:r>
          </w:p>
        </w:tc>
      </w:tr>
      <w:tr>
        <w:tc>
          <w:tcPr>
            <w:tcW w:type="dxa" w:w="470"/>
            <w:shd w:val="clear" w:color="auto" w:fill="F1F3F7"/>
          </w:tcPr>
          <w:p>
            <w:r/>
            <w:r>
              <w:rPr>
                <w:b w:val="0"/>
                <w:i w:val="0"/>
                <w:sz w:val="15"/>
              </w:rPr>
              <w:t>4</w:t>
            </w:r>
          </w:p>
        </w:tc>
        <w:tc>
          <w:tcPr>
            <w:tcW w:type="dxa" w:w="3758"/>
            <w:shd w:val="clear" w:color="auto" w:fill="F1F3F7"/>
          </w:tcPr>
          <w:p>
            <w:r/>
            <w:r>
              <w:rPr>
                <w:b w:val="0"/>
                <w:i w:val="0"/>
                <w:sz w:val="15"/>
              </w:rPr>
              <w:t>Nippon Life Insurance</w:t>
            </w:r>
          </w:p>
        </w:tc>
        <w:tc>
          <w:tcPr>
            <w:tcW w:type="dxa" w:w="3523"/>
            <w:shd w:val="clear" w:color="auto" w:fill="F1F3F7"/>
          </w:tcPr>
          <w:p>
            <w:r/>
            <w:r>
              <w:rPr>
                <w:b w:val="0"/>
                <w:i w:val="0"/>
                <w:sz w:val="15"/>
              </w:rPr>
              <w:t>Life insurer – stable holder</w:t>
            </w:r>
          </w:p>
        </w:tc>
        <w:tc>
          <w:tcPr>
            <w:tcW w:type="dxa" w:w="2114"/>
            <w:shd w:val="clear" w:color="auto" w:fill="F1F3F7"/>
          </w:tcPr>
          <w:p>
            <w:r/>
            <w:r>
              <w:rPr>
                <w:b w:val="0"/>
                <w:i w:val="0"/>
                <w:sz w:val="15"/>
              </w:rPr>
              <w:t>~3.2%</w:t>
            </w:r>
          </w:p>
        </w:tc>
      </w:tr>
      <w:tr>
        <w:tc>
          <w:tcPr>
            <w:tcW w:type="dxa" w:w="470"/>
          </w:tcPr>
          <w:p>
            <w:r/>
            <w:r>
              <w:rPr>
                <w:b w:val="0"/>
                <w:i w:val="0"/>
                <w:sz w:val="15"/>
              </w:rPr>
              <w:t>5</w:t>
            </w:r>
          </w:p>
        </w:tc>
        <w:tc>
          <w:tcPr>
            <w:tcW w:type="dxa" w:w="3758"/>
          </w:tcPr>
          <w:p>
            <w:r/>
            <w:r>
              <w:rPr>
                <w:b w:val="0"/>
                <w:i w:val="0"/>
                <w:sz w:val="15"/>
              </w:rPr>
              <w:t>State Street Bank &amp; Trust 505001</w:t>
            </w:r>
          </w:p>
        </w:tc>
        <w:tc>
          <w:tcPr>
            <w:tcW w:type="dxa" w:w="3523"/>
          </w:tcPr>
          <w:p>
            <w:r/>
            <w:r>
              <w:rPr>
                <w:b w:val="0"/>
                <w:i w:val="0"/>
                <w:sz w:val="15"/>
              </w:rPr>
              <w:t>Foreign custodian (institutional)</w:t>
            </w:r>
          </w:p>
        </w:tc>
        <w:tc>
          <w:tcPr>
            <w:tcW w:type="dxa" w:w="2114"/>
          </w:tcPr>
          <w:p>
            <w:r/>
            <w:r>
              <w:rPr>
                <w:b w:val="0"/>
                <w:i w:val="0"/>
                <w:sz w:val="15"/>
              </w:rPr>
              <w:t>~2.2%</w:t>
            </w:r>
          </w:p>
        </w:tc>
      </w:tr>
      <w:tr>
        <w:tc>
          <w:tcPr>
            <w:tcW w:type="dxa" w:w="470"/>
            <w:shd w:val="clear" w:color="auto" w:fill="F1F3F7"/>
          </w:tcPr>
          <w:p>
            <w:r/>
            <w:r>
              <w:rPr>
                <w:b w:val="0"/>
                <w:i w:val="0"/>
                <w:sz w:val="15"/>
              </w:rPr>
              <w:t>6</w:t>
            </w:r>
          </w:p>
        </w:tc>
        <w:tc>
          <w:tcPr>
            <w:tcW w:type="dxa" w:w="3758"/>
            <w:shd w:val="clear" w:color="auto" w:fill="F1F3F7"/>
          </w:tcPr>
          <w:p>
            <w:r/>
            <w:r>
              <w:rPr>
                <w:b w:val="0"/>
                <w:i w:val="0"/>
                <w:sz w:val="15"/>
              </w:rPr>
              <w:t>TOTO Employee Stock Ownership Association</w:t>
            </w:r>
          </w:p>
        </w:tc>
        <w:tc>
          <w:tcPr>
            <w:tcW w:type="dxa" w:w="3523"/>
            <w:shd w:val="clear" w:color="auto" w:fill="F1F3F7"/>
          </w:tcPr>
          <w:p>
            <w:r/>
            <w:r>
              <w:rPr>
                <w:b w:val="0"/>
                <w:i w:val="0"/>
                <w:sz w:val="15"/>
              </w:rPr>
              <w:t>Insider / employees</w:t>
            </w:r>
          </w:p>
        </w:tc>
        <w:tc>
          <w:tcPr>
            <w:tcW w:type="dxa" w:w="2114"/>
            <w:shd w:val="clear" w:color="auto" w:fill="F1F3F7"/>
          </w:tcPr>
          <w:p>
            <w:r/>
            <w:r>
              <w:rPr>
                <w:b w:val="0"/>
                <w:i w:val="0"/>
                <w:sz w:val="15"/>
              </w:rPr>
              <w:t>~2.0%</w:t>
            </w:r>
          </w:p>
        </w:tc>
      </w:tr>
      <w:tr>
        <w:tc>
          <w:tcPr>
            <w:tcW w:type="dxa" w:w="470"/>
          </w:tcPr>
          <w:p>
            <w:r/>
            <w:r>
              <w:rPr>
                <w:b w:val="0"/>
                <w:i w:val="0"/>
                <w:sz w:val="15"/>
              </w:rPr>
              <w:t>7</w:t>
            </w:r>
          </w:p>
        </w:tc>
        <w:tc>
          <w:tcPr>
            <w:tcW w:type="dxa" w:w="3758"/>
          </w:tcPr>
          <w:p>
            <w:r/>
            <w:r>
              <w:rPr>
                <w:b w:val="0"/>
                <w:i w:val="0"/>
                <w:sz w:val="15"/>
              </w:rPr>
              <w:t>State Street Bank &amp; Trust 505103</w:t>
            </w:r>
          </w:p>
        </w:tc>
        <w:tc>
          <w:tcPr>
            <w:tcW w:type="dxa" w:w="3523"/>
          </w:tcPr>
          <w:p>
            <w:r/>
            <w:r>
              <w:rPr>
                <w:b w:val="0"/>
                <w:i w:val="0"/>
                <w:sz w:val="15"/>
              </w:rPr>
              <w:t>Foreign custodian</w:t>
            </w:r>
          </w:p>
        </w:tc>
        <w:tc>
          <w:tcPr>
            <w:tcW w:type="dxa" w:w="2114"/>
          </w:tcPr>
          <w:p>
            <w:r/>
            <w:r>
              <w:rPr>
                <w:b w:val="0"/>
                <w:i w:val="0"/>
                <w:sz w:val="15"/>
              </w:rPr>
              <w:t>~1.7%</w:t>
            </w:r>
          </w:p>
        </w:tc>
      </w:tr>
      <w:tr>
        <w:tc>
          <w:tcPr>
            <w:tcW w:type="dxa" w:w="470"/>
            <w:shd w:val="clear" w:color="auto" w:fill="F1F3F7"/>
          </w:tcPr>
          <w:p>
            <w:r/>
            <w:r>
              <w:rPr>
                <w:b w:val="0"/>
                <w:i w:val="0"/>
                <w:sz w:val="15"/>
              </w:rPr>
              <w:t>8</w:t>
            </w:r>
          </w:p>
        </w:tc>
        <w:tc>
          <w:tcPr>
            <w:tcW w:type="dxa" w:w="3758"/>
            <w:shd w:val="clear" w:color="auto" w:fill="F1F3F7"/>
          </w:tcPr>
          <w:p>
            <w:r/>
            <w:r>
              <w:rPr>
                <w:b w:val="0"/>
                <w:i w:val="0"/>
                <w:sz w:val="15"/>
              </w:rPr>
              <w:t>BNYM as Agent / Clients Non-Treaty JASDEC</w:t>
            </w:r>
          </w:p>
        </w:tc>
        <w:tc>
          <w:tcPr>
            <w:tcW w:type="dxa" w:w="3523"/>
            <w:shd w:val="clear" w:color="auto" w:fill="F1F3F7"/>
          </w:tcPr>
          <w:p>
            <w:r/>
            <w:r>
              <w:rPr>
                <w:b w:val="0"/>
                <w:i w:val="0"/>
                <w:sz w:val="15"/>
              </w:rPr>
              <w:t>Foreign custodian</w:t>
            </w:r>
          </w:p>
        </w:tc>
        <w:tc>
          <w:tcPr>
            <w:tcW w:type="dxa" w:w="2114"/>
            <w:shd w:val="clear" w:color="auto" w:fill="F1F3F7"/>
          </w:tcPr>
          <w:p>
            <w:r/>
            <w:r>
              <w:rPr>
                <w:b w:val="0"/>
                <w:i w:val="0"/>
                <w:sz w:val="15"/>
              </w:rPr>
              <w:t>~1.5%</w:t>
            </w:r>
          </w:p>
        </w:tc>
      </w:tr>
      <w:tr>
        <w:tc>
          <w:tcPr>
            <w:tcW w:type="dxa" w:w="470"/>
          </w:tcPr>
          <w:p>
            <w:r/>
            <w:r>
              <w:rPr>
                <w:b w:val="0"/>
                <w:i w:val="0"/>
                <w:sz w:val="15"/>
              </w:rPr>
              <w:t>9</w:t>
            </w:r>
          </w:p>
        </w:tc>
        <w:tc>
          <w:tcPr>
            <w:tcW w:type="dxa" w:w="3758"/>
          </w:tcPr>
          <w:p>
            <w:r/>
            <w:r>
              <w:rPr>
                <w:b w:val="0"/>
                <w:i w:val="0"/>
                <w:sz w:val="15"/>
              </w:rPr>
              <w:t>John Hancock Disciplined Value Int'l Fund</w:t>
            </w:r>
          </w:p>
        </w:tc>
        <w:tc>
          <w:tcPr>
            <w:tcW w:type="dxa" w:w="3523"/>
          </w:tcPr>
          <w:p>
            <w:r/>
            <w:r>
              <w:rPr>
                <w:b w:val="0"/>
                <w:i w:val="0"/>
                <w:sz w:val="15"/>
              </w:rPr>
              <w:t>Foreign active fund</w:t>
            </w:r>
          </w:p>
        </w:tc>
        <w:tc>
          <w:tcPr>
            <w:tcW w:type="dxa" w:w="2114"/>
          </w:tcPr>
          <w:p>
            <w:r/>
            <w:r>
              <w:rPr>
                <w:b w:val="0"/>
                <w:i w:val="0"/>
                <w:sz w:val="15"/>
              </w:rPr>
              <w:t>~1.4% (older list)</w:t>
            </w:r>
          </w:p>
        </w:tc>
      </w:tr>
      <w:tr>
        <w:tc>
          <w:tcPr>
            <w:tcW w:type="dxa" w:w="470"/>
            <w:shd w:val="clear" w:color="auto" w:fill="F1F3F7"/>
          </w:tcPr>
          <w:p>
            <w:r/>
            <w:r>
              <w:rPr>
                <w:b w:val="0"/>
                <w:i w:val="0"/>
                <w:sz w:val="15"/>
              </w:rPr>
              <w:t>10</w:t>
            </w:r>
          </w:p>
        </w:tc>
        <w:tc>
          <w:tcPr>
            <w:tcW w:type="dxa" w:w="3758"/>
            <w:shd w:val="clear" w:color="auto" w:fill="F1F3F7"/>
          </w:tcPr>
          <w:p>
            <w:r/>
            <w:r>
              <w:rPr>
                <w:b w:val="0"/>
                <w:i w:val="0"/>
                <w:sz w:val="15"/>
              </w:rPr>
              <w:t>Other (JPM / Morgan Stanley custodial a/c)</w:t>
            </w:r>
          </w:p>
        </w:tc>
        <w:tc>
          <w:tcPr>
            <w:tcW w:type="dxa" w:w="3523"/>
            <w:shd w:val="clear" w:color="auto" w:fill="F1F3F7"/>
          </w:tcPr>
          <w:p>
            <w:r/>
            <w:r>
              <w:rPr>
                <w:b w:val="0"/>
                <w:i w:val="0"/>
                <w:sz w:val="15"/>
              </w:rPr>
              <w:t>Foreign custodian</w:t>
            </w:r>
          </w:p>
        </w:tc>
        <w:tc>
          <w:tcPr>
            <w:tcW w:type="dxa" w:w="2114"/>
            <w:shd w:val="clear" w:color="auto" w:fill="F1F3F7"/>
          </w:tcPr>
          <w:p>
            <w:r/>
            <w:r>
              <w:rPr>
                <w:b w:val="0"/>
                <w:i w:val="0"/>
                <w:sz w:val="15"/>
              </w:rPr>
              <w:t>~1%</w:t>
            </w:r>
          </w:p>
        </w:tc>
      </w:tr>
      <w:tr>
        <w:tc>
          <w:tcPr>
            <w:tcW w:type="dxa" w:w="470"/>
          </w:tcPr>
          <w:p>
            <w:r/>
            <w:r>
              <w:rPr>
                <w:b w:val="0"/>
                <w:i w:val="0"/>
                <w:sz w:val="15"/>
              </w:rPr>
              <w:t>—</w:t>
            </w:r>
          </w:p>
        </w:tc>
        <w:tc>
          <w:tcPr>
            <w:tcW w:type="dxa" w:w="3758"/>
          </w:tcPr>
          <w:p>
            <w:r/>
            <w:r>
              <w:rPr>
                <w:b w:val="0"/>
                <w:i w:val="0"/>
                <w:sz w:val="15"/>
              </w:rPr>
              <w:t>Nomura AM group (5% report)</w:t>
            </w:r>
          </w:p>
        </w:tc>
        <w:tc>
          <w:tcPr>
            <w:tcW w:type="dxa" w:w="3523"/>
          </w:tcPr>
          <w:p>
            <w:r/>
            <w:r>
              <w:rPr>
                <w:b w:val="0"/>
                <w:i w:val="0"/>
                <w:sz w:val="15"/>
              </w:rPr>
              <w:t>Institutional</w:t>
            </w:r>
          </w:p>
        </w:tc>
        <w:tc>
          <w:tcPr>
            <w:tcW w:type="dxa" w:w="2114"/>
          </w:tcPr>
          <w:p>
            <w:r/>
            <w:r>
              <w:rPr>
                <w:b w:val="0"/>
                <w:i w:val="0"/>
                <w:sz w:val="15"/>
              </w:rPr>
              <w:t>8.0% (Jul 2025)</w:t>
            </w:r>
          </w:p>
        </w:tc>
      </w:tr>
      <w:tr>
        <w:tc>
          <w:tcPr>
            <w:tcW w:type="dxa" w:w="470"/>
            <w:shd w:val="clear" w:color="auto" w:fill="F1F3F7"/>
          </w:tcPr>
          <w:p>
            <w:r/>
            <w:r>
              <w:rPr>
                <w:b w:val="0"/>
                <w:i w:val="0"/>
                <w:sz w:val="15"/>
              </w:rPr>
              <w:t>—</w:t>
            </w:r>
          </w:p>
        </w:tc>
        <w:tc>
          <w:tcPr>
            <w:tcW w:type="dxa" w:w="3758"/>
            <w:shd w:val="clear" w:color="auto" w:fill="F1F3F7"/>
          </w:tcPr>
          <w:p>
            <w:r/>
            <w:r>
              <w:rPr>
                <w:b w:val="0"/>
                <w:i w:val="0"/>
                <w:sz w:val="15"/>
              </w:rPr>
              <w:t>BlackRock Japan group (5% report)</w:t>
            </w:r>
          </w:p>
        </w:tc>
        <w:tc>
          <w:tcPr>
            <w:tcW w:type="dxa" w:w="3523"/>
            <w:shd w:val="clear" w:color="auto" w:fill="F1F3F7"/>
          </w:tcPr>
          <w:p>
            <w:r/>
            <w:r>
              <w:rPr>
                <w:b w:val="0"/>
                <w:i w:val="0"/>
                <w:sz w:val="15"/>
              </w:rPr>
              <w:t>Institutional</w:t>
            </w:r>
          </w:p>
        </w:tc>
        <w:tc>
          <w:tcPr>
            <w:tcW w:type="dxa" w:w="2114"/>
            <w:shd w:val="clear" w:color="auto" w:fill="F1F3F7"/>
          </w:tcPr>
          <w:p>
            <w:r/>
            <w:r>
              <w:rPr>
                <w:b w:val="0"/>
                <w:i w:val="0"/>
                <w:sz w:val="15"/>
              </w:rPr>
              <w:t>~4–6% (2024)</w:t>
            </w:r>
          </w:p>
        </w:tc>
      </w:tr>
      <w:tr>
        <w:tc>
          <w:tcPr>
            <w:tcW w:type="dxa" w:w="470"/>
          </w:tcPr>
          <w:p>
            <w:r/>
            <w:r>
              <w:rPr>
                <w:b w:val="0"/>
                <w:i w:val="0"/>
                <w:sz w:val="15"/>
              </w:rPr>
              <w:t>—</w:t>
            </w:r>
          </w:p>
        </w:tc>
        <w:tc>
          <w:tcPr>
            <w:tcW w:type="dxa" w:w="3758"/>
          </w:tcPr>
          <w:p>
            <w:r/>
            <w:r>
              <w:rPr>
                <w:b w:val="0"/>
                <w:i w:val="0"/>
                <w:sz w:val="15"/>
              </w:rPr>
              <w:t>Palliser Capital</w:t>
            </w:r>
          </w:p>
        </w:tc>
        <w:tc>
          <w:tcPr>
            <w:tcW w:type="dxa" w:w="3523"/>
          </w:tcPr>
          <w:p>
            <w:r/>
            <w:r>
              <w:rPr>
                <w:b w:val="0"/>
                <w:i w:val="0"/>
                <w:sz w:val="15"/>
              </w:rPr>
              <w:t>Activist hedge fund</w:t>
            </w:r>
          </w:p>
        </w:tc>
        <w:tc>
          <w:tcPr>
            <w:tcW w:type="dxa" w:w="2114"/>
          </w:tcPr>
          <w:p>
            <w:r/>
            <w:r>
              <w:rPr>
                <w:b w:val="0"/>
                <w:i w:val="0"/>
                <w:sz w:val="15"/>
              </w:rPr>
              <w:t>"Top-20"; &lt;5% (no large-holding report)</w:t>
            </w:r>
          </w:p>
        </w:tc>
      </w:tr>
    </w:tbl>
    <w:p>
      <w:r>
        <w:rPr>
          <w:b w:val="0"/>
          <w:i/>
          <w:color w:val="5E6878"/>
          <w:sz w:val="14"/>
        </w:rPr>
        <w:t>Sources: TOTO stock information page, half-year/annual securities reports, large-holding reports (via Kabutan). Directors' holdings are de minimis.</w:t>
      </w:r>
    </w:p>
    <w:p>
      <w:pPr>
        <w:pStyle w:val="Heading2"/>
      </w:pPr>
      <w:r>
        <w:t>16.1 Activism: Palliser Capital (2026)</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3794"/>
            <w:shd w:val="clear" w:color="auto" w:fill="16243D"/>
          </w:tcPr>
          <w:p>
            <w:r/>
            <w:r>
              <w:rPr>
                <w:b/>
                <w:i w:val="0"/>
                <w:color w:val="FFFFFF"/>
                <w:sz w:val="15"/>
              </w:rPr>
              <w:t>Palliser demand (Feb 2026)</w:t>
            </w:r>
          </w:p>
        </w:tc>
        <w:tc>
          <w:tcPr>
            <w:tcW w:type="dxa" w:w="4426"/>
            <w:shd w:val="clear" w:color="auto" w:fill="16243D"/>
          </w:tcPr>
          <w:p>
            <w:r/>
            <w:r>
              <w:rPr>
                <w:b/>
                <w:i w:val="0"/>
                <w:color w:val="FFFFFF"/>
                <w:sz w:val="15"/>
              </w:rPr>
              <w:t>TOTO response (30 Apr 2026)</w:t>
            </w:r>
          </w:p>
        </w:tc>
        <w:tc>
          <w:tcPr>
            <w:tcW w:type="dxa" w:w="1644"/>
            <w:shd w:val="clear" w:color="auto" w:fill="16243D"/>
          </w:tcPr>
          <w:p>
            <w:r/>
            <w:r>
              <w:rPr>
                <w:b/>
                <w:i w:val="0"/>
                <w:color w:val="FFFFFF"/>
                <w:sz w:val="15"/>
              </w:rPr>
              <w:t>Success</w:t>
            </w:r>
          </w:p>
        </w:tc>
      </w:tr>
      <w:tr>
        <w:tc>
          <w:tcPr>
            <w:tcW w:type="dxa" w:w="3794"/>
          </w:tcPr>
          <w:p>
            <w:r/>
            <w:r>
              <w:rPr>
                <w:b w:val="0"/>
                <w:i w:val="0"/>
                <w:sz w:val="15"/>
              </w:rPr>
              <w:t>Disclose Advanced Ceramics properly (ESC for NAND cryo-etch, AD parts)</w:t>
            </w:r>
          </w:p>
        </w:tc>
        <w:tc>
          <w:tcPr>
            <w:tcW w:type="dxa" w:w="4426"/>
          </w:tcPr>
          <w:p>
            <w:r/>
            <w:r>
              <w:rPr>
                <w:b w:val="0"/>
                <w:i w:val="0"/>
                <w:sz w:val="15"/>
              </w:rPr>
              <w:t>Two-segment reporting; ceramics sales/OP/margin disclosed; FY3/27 ceramics plan</w:t>
            </w:r>
          </w:p>
        </w:tc>
        <w:tc>
          <w:tcPr>
            <w:tcW w:type="dxa" w:w="1644"/>
          </w:tcPr>
          <w:p>
            <w:r/>
            <w:r>
              <w:rPr>
                <w:b/>
                <w:i w:val="0"/>
                <w:sz w:val="15"/>
              </w:rPr>
              <w:t>Achieved</w:t>
            </w:r>
          </w:p>
        </w:tc>
      </w:tr>
      <w:tr>
        <w:tc>
          <w:tcPr>
            <w:tcW w:type="dxa" w:w="3794"/>
            <w:shd w:val="clear" w:color="auto" w:fill="F1F3F7"/>
          </w:tcPr>
          <w:p>
            <w:r/>
            <w:r>
              <w:rPr>
                <w:b w:val="0"/>
                <w:i w:val="0"/>
                <w:sz w:val="15"/>
              </w:rPr>
              <w:t>Invest more in Advanced Ceramics</w:t>
            </w:r>
          </w:p>
        </w:tc>
        <w:tc>
          <w:tcPr>
            <w:tcW w:type="dxa" w:w="4426"/>
            <w:shd w:val="clear" w:color="auto" w:fill="F1F3F7"/>
          </w:tcPr>
          <w:p>
            <w:r/>
            <w:r>
              <w:rPr>
                <w:b w:val="0"/>
                <w:i w:val="0"/>
                <w:sz w:val="15"/>
              </w:rPr>
              <w:t>~¥30bn capex to FY2028; Buzen +20% capacity; Chigasaki R&amp;D; ~¥80bn 5-yr (reported Jun 2026)</w:t>
            </w:r>
          </w:p>
        </w:tc>
        <w:tc>
          <w:tcPr>
            <w:tcW w:type="dxa" w:w="1644"/>
            <w:shd w:val="clear" w:color="auto" w:fill="F1F3F7"/>
          </w:tcPr>
          <w:p>
            <w:r/>
            <w:r>
              <w:rPr>
                <w:b/>
                <w:i w:val="0"/>
                <w:sz w:val="15"/>
              </w:rPr>
              <w:t>Achieved</w:t>
            </w:r>
          </w:p>
        </w:tc>
      </w:tr>
      <w:tr>
        <w:tc>
          <w:tcPr>
            <w:tcW w:type="dxa" w:w="3794"/>
          </w:tcPr>
          <w:p>
            <w:r/>
            <w:r>
              <w:rPr>
                <w:b w:val="0"/>
                <w:i w:val="0"/>
                <w:sz w:val="15"/>
              </w:rPr>
              <w:t>Restructure low-profit housing, especially China</w:t>
            </w:r>
          </w:p>
        </w:tc>
        <w:tc>
          <w:tcPr>
            <w:tcW w:type="dxa" w:w="4426"/>
          </w:tcPr>
          <w:p>
            <w:r/>
            <w:r>
              <w:rPr>
                <w:b w:val="0"/>
                <w:i w:val="0"/>
                <w:sz w:val="15"/>
              </w:rPr>
              <w:t>China plant closures (pre-dated campaign); ~¥7bn improvement targeted</w:t>
            </w:r>
          </w:p>
        </w:tc>
        <w:tc>
          <w:tcPr>
            <w:tcW w:type="dxa" w:w="1644"/>
          </w:tcPr>
          <w:p>
            <w:r/>
            <w:r>
              <w:rPr>
                <w:b w:val="0"/>
                <w:i w:val="0"/>
                <w:sz w:val="15"/>
              </w:rPr>
              <w:t>Partially (already under way)</w:t>
            </w:r>
          </w:p>
        </w:tc>
      </w:tr>
      <w:tr>
        <w:tc>
          <w:tcPr>
            <w:tcW w:type="dxa" w:w="3794"/>
            <w:shd w:val="clear" w:color="auto" w:fill="F1F3F7"/>
          </w:tcPr>
          <w:p>
            <w:r/>
            <w:r>
              <w:rPr>
                <w:b w:val="0"/>
                <w:i w:val="0"/>
                <w:sz w:val="15"/>
              </w:rPr>
              <w:t>Capital efficiency: appropriate equity ratio; review ~¥76bn excess cash and ~¥76bn cross-holdings</w:t>
            </w:r>
          </w:p>
        </w:tc>
        <w:tc>
          <w:tcPr>
            <w:tcW w:type="dxa" w:w="4426"/>
            <w:shd w:val="clear" w:color="auto" w:fill="F1F3F7"/>
          </w:tcPr>
          <w:p>
            <w:r/>
            <w:r>
              <w:rPr>
                <w:b w:val="0"/>
                <w:i w:val="0"/>
                <w:sz w:val="15"/>
              </w:rPr>
              <w:t>DPS ¥110 → ¥120; buyback (size unverified); cross-holding target &lt;10% of net assets</w:t>
            </w:r>
          </w:p>
        </w:tc>
        <w:tc>
          <w:tcPr>
            <w:tcW w:type="dxa" w:w="1644"/>
            <w:shd w:val="clear" w:color="auto" w:fill="F1F3F7"/>
          </w:tcPr>
          <w:p>
            <w:r/>
            <w:r>
              <w:rPr>
                <w:b w:val="0"/>
                <w:i w:val="0"/>
                <w:sz w:val="15"/>
              </w:rPr>
              <w:t>Partial – the open item</w:t>
            </w:r>
          </w:p>
        </w:tc>
      </w:tr>
      <w:tr>
        <w:tc>
          <w:tcPr>
            <w:tcW w:type="dxa" w:w="3794"/>
          </w:tcPr>
          <w:p>
            <w:r/>
            <w:r>
              <w:rPr>
                <w:b w:val="0"/>
                <w:i w:val="0"/>
                <w:sz w:val="15"/>
              </w:rPr>
              <w:t>Implied: unlock &gt;55% upside (¥8,800+/share)</w:t>
            </w:r>
          </w:p>
        </w:tc>
        <w:tc>
          <w:tcPr>
            <w:tcW w:type="dxa" w:w="4426"/>
          </w:tcPr>
          <w:p>
            <w:r/>
            <w:r>
              <w:rPr>
                <w:b w:val="0"/>
                <w:i w:val="0"/>
                <w:sz w:val="15"/>
              </w:rPr>
              <w:t>Stock peaked at ¥9,500 (Jun 2026); now ¥6,097</w:t>
            </w:r>
          </w:p>
        </w:tc>
        <w:tc>
          <w:tcPr>
            <w:tcW w:type="dxa" w:w="1644"/>
          </w:tcPr>
          <w:p>
            <w:r/>
            <w:r>
              <w:rPr>
                <w:b w:val="0"/>
                <w:i w:val="0"/>
                <w:sz w:val="15"/>
              </w:rPr>
              <w:t>Achieved then reversed</w:t>
            </w:r>
          </w:p>
        </w:tc>
      </w:tr>
    </w:tbl>
    <w:p/>
    <w:p>
      <w:pPr>
        <w:spacing w:after="80"/>
      </w:pPr>
      <w:r>
        <w:rPr>
          <w:b w:val="0"/>
          <w:i w:val="0"/>
        </w:rPr>
        <w:t>Palliser publicly welcomed TOTO's "adoption of the Value Enhancement Plan" (7 May 2026). No shareholder proposals were filed at the June 2025 or June 2026 AGMs. Whether Palliser still holds the stake after the June peak is not disclosed; a renewed campaign around the STAGE3 plan (spring 2027) is plausible.</w:t>
      </w:r>
    </w:p>
    <w:p>
      <w:pPr>
        <w:pStyle w:val="Heading2"/>
      </w:pPr>
      <w:r>
        <w:t>16.2 Short interest</w:t>
      </w:r>
    </w:p>
    <w:p>
      <w:pPr>
        <w:pStyle w:val="ListBullet"/>
        <w:spacing w:after="20"/>
      </w:pPr>
      <w:r>
        <w:rPr>
          <w:b w:val="0"/>
          <w:i w:val="0"/>
        </w:rPr>
        <w:t>JPX short-position reports (≥0.5%) have listed Barclays Capital Securities, Merrill Lynch International, Morgan Stanley MUFG, Nomura International, UBS AG, Integrated Core Strategies (Millennium) and Qube Research &amp; Technologies at various dates — consistent with quant/market-maker and long-short pair trades (long ceramics peers/short TOTO or vice versa) rather than a fundamental short campaign.</w:t>
      </w:r>
    </w:p>
    <w:p>
      <w:pPr>
        <w:pStyle w:val="ListBullet"/>
        <w:spacing w:after="20"/>
      </w:pPr>
      <w:r>
        <w:rPr>
          <w:b w:val="0"/>
          <w:i w:val="0"/>
        </w:rPr>
        <w:t>Margin long balance ~0.53m shares with a long/short ratio of ~5.1x (5 Jun 2026) — low relative to free float. We estimate total short interest at ~1–2% of shares; verify via JPX/karauri.net before trading.</w:t>
      </w:r>
    </w:p>
    <w:p>
      <w:pPr>
        <w:pStyle w:val="ListBullet"/>
        <w:spacing w:after="20"/>
      </w:pPr>
      <w:r>
        <w:rPr>
          <w:b w:val="0"/>
          <w:i w:val="0"/>
        </w:rPr>
        <w:t>No published activist short report on TOTO identified.</w:t>
      </w:r>
    </w:p>
    <w:p>
      <w:pPr>
        <w:pStyle w:val="Heading1"/>
      </w:pPr>
      <w:r>
        <w:t>17. Strategic Initiatives (2016–2026)</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995"/>
            <w:shd w:val="clear" w:color="auto" w:fill="16243D"/>
          </w:tcPr>
          <w:p>
            <w:r/>
            <w:r>
              <w:rPr>
                <w:b/>
                <w:i w:val="0"/>
                <w:color w:val="FFFFFF"/>
                <w:sz w:val="15"/>
              </w:rPr>
              <w:t>Initiative</w:t>
            </w:r>
          </w:p>
        </w:tc>
        <w:tc>
          <w:tcPr>
            <w:tcW w:type="dxa" w:w="1219"/>
            <w:shd w:val="clear" w:color="auto" w:fill="16243D"/>
          </w:tcPr>
          <w:p>
            <w:r/>
            <w:r>
              <w:rPr>
                <w:b/>
                <w:i w:val="0"/>
                <w:color w:val="FFFFFF"/>
                <w:sz w:val="15"/>
              </w:rPr>
              <w:t>When</w:t>
            </w:r>
          </w:p>
        </w:tc>
        <w:tc>
          <w:tcPr>
            <w:tcW w:type="dxa" w:w="3990"/>
            <w:shd w:val="clear" w:color="auto" w:fill="16243D"/>
          </w:tcPr>
          <w:p>
            <w:r/>
            <w:r>
              <w:rPr>
                <w:b/>
                <w:i w:val="0"/>
                <w:color w:val="FFFFFF"/>
                <w:sz w:val="15"/>
              </w:rPr>
              <w:t>What</w:t>
            </w:r>
          </w:p>
        </w:tc>
        <w:tc>
          <w:tcPr>
            <w:tcW w:type="dxa" w:w="2660"/>
            <w:shd w:val="clear" w:color="auto" w:fill="16243D"/>
          </w:tcPr>
          <w:p>
            <w:r/>
            <w:r>
              <w:rPr>
                <w:b/>
                <w:i w:val="0"/>
                <w:color w:val="FFFFFF"/>
                <w:sz w:val="15"/>
              </w:rPr>
              <w:t>Outcome / status</w:t>
            </w:r>
          </w:p>
        </w:tc>
      </w:tr>
      <w:tr>
        <w:tc>
          <w:tcPr>
            <w:tcW w:type="dxa" w:w="1995"/>
          </w:tcPr>
          <w:p>
            <w:r/>
            <w:r>
              <w:rPr>
                <w:b w:val="0"/>
                <w:i w:val="0"/>
                <w:sz w:val="15"/>
              </w:rPr>
              <w:t>TOTO Vplan2017</w:t>
            </w:r>
          </w:p>
        </w:tc>
        <w:tc>
          <w:tcPr>
            <w:tcW w:type="dxa" w:w="1219"/>
          </w:tcPr>
          <w:p>
            <w:r/>
            <w:r>
              <w:rPr>
                <w:b w:val="0"/>
                <w:i w:val="0"/>
                <w:sz w:val="15"/>
              </w:rPr>
              <w:t>to FY2017</w:t>
            </w:r>
          </w:p>
        </w:tc>
        <w:tc>
          <w:tcPr>
            <w:tcW w:type="dxa" w:w="3990"/>
          </w:tcPr>
          <w:p>
            <w:r/>
            <w:r>
              <w:rPr>
                <w:b w:val="0"/>
                <w:i w:val="0"/>
                <w:sz w:val="15"/>
              </w:rPr>
              <w:t>Prior long-term plan: global growth, China/Asia expansion</w:t>
            </w:r>
          </w:p>
        </w:tc>
        <w:tc>
          <w:tcPr>
            <w:tcW w:type="dxa" w:w="2660"/>
          </w:tcPr>
          <w:p>
            <w:r/>
            <w:r>
              <w:rPr>
                <w:b w:val="0"/>
                <w:i w:val="0"/>
                <w:sz w:val="15"/>
              </w:rPr>
              <w:t>China expansion later reversed</w:t>
            </w:r>
          </w:p>
        </w:tc>
      </w:tr>
      <w:tr>
        <w:tc>
          <w:tcPr>
            <w:tcW w:type="dxa" w:w="1995"/>
            <w:shd w:val="clear" w:color="auto" w:fill="F1F3F7"/>
          </w:tcPr>
          <w:p>
            <w:r/>
            <w:r>
              <w:rPr>
                <w:b w:val="0"/>
                <w:i w:val="0"/>
                <w:sz w:val="15"/>
              </w:rPr>
              <w:t>TOTO WILL2030</w:t>
            </w:r>
          </w:p>
        </w:tc>
        <w:tc>
          <w:tcPr>
            <w:tcW w:type="dxa" w:w="1219"/>
            <w:shd w:val="clear" w:color="auto" w:fill="F1F3F7"/>
          </w:tcPr>
          <w:p>
            <w:r/>
            <w:r>
              <w:rPr>
                <w:b w:val="0"/>
                <w:i w:val="0"/>
                <w:sz w:val="15"/>
              </w:rPr>
              <w:t>Apr 2021 –</w:t>
            </w:r>
          </w:p>
        </w:tc>
        <w:tc>
          <w:tcPr>
            <w:tcW w:type="dxa" w:w="3990"/>
            <w:shd w:val="clear" w:color="auto" w:fill="F1F3F7"/>
          </w:tcPr>
          <w:p>
            <w:r/>
            <w:r>
              <w:rPr>
                <w:b w:val="0"/>
                <w:i w:val="0"/>
                <w:sz w:val="15"/>
              </w:rPr>
              <w:t>Sales ≥¥1tn, OPM ≥12%, ROE/ROIC ≥12%, overseas &gt;40% by FY2030</w:t>
            </w:r>
          </w:p>
        </w:tc>
        <w:tc>
          <w:tcPr>
            <w:tcW w:type="dxa" w:w="2660"/>
            <w:shd w:val="clear" w:color="auto" w:fill="F1F3F7"/>
          </w:tcPr>
          <w:p>
            <w:r/>
            <w:r>
              <w:rPr>
                <w:b w:val="0"/>
                <w:i w:val="0"/>
                <w:sz w:val="15"/>
              </w:rPr>
              <w:t>Off-track: sales ¥737bn, OPM 7.3%, ROE 7.7%</w:t>
            </w:r>
          </w:p>
        </w:tc>
      </w:tr>
      <w:tr>
        <w:tc>
          <w:tcPr>
            <w:tcW w:type="dxa" w:w="1995"/>
          </w:tcPr>
          <w:p>
            <w:r/>
            <w:r>
              <w:rPr>
                <w:b w:val="0"/>
                <w:i w:val="0"/>
                <w:sz w:val="15"/>
              </w:rPr>
              <w:t>WILL2030 STAGE1</w:t>
            </w:r>
          </w:p>
        </w:tc>
        <w:tc>
          <w:tcPr>
            <w:tcW w:type="dxa" w:w="1219"/>
          </w:tcPr>
          <w:p>
            <w:r/>
            <w:r>
              <w:rPr>
                <w:b w:val="0"/>
                <w:i w:val="0"/>
                <w:sz w:val="15"/>
              </w:rPr>
              <w:t>FY2021–23</w:t>
            </w:r>
          </w:p>
        </w:tc>
        <w:tc>
          <w:tcPr>
            <w:tcW w:type="dxa" w:w="3990"/>
          </w:tcPr>
          <w:p>
            <w:r/>
            <w:r>
              <w:rPr>
                <w:b w:val="0"/>
                <w:i w:val="0"/>
                <w:sz w:val="15"/>
              </w:rPr>
              <w:t>Growth in China/Asia, ceramics, DX</w:t>
            </w:r>
          </w:p>
        </w:tc>
        <w:tc>
          <w:tcPr>
            <w:tcW w:type="dxa" w:w="2660"/>
          </w:tcPr>
          <w:p>
            <w:r/>
            <w:r>
              <w:rPr>
                <w:b w:val="0"/>
                <w:i w:val="0"/>
                <w:sz w:val="15"/>
              </w:rPr>
              <w:t>Missed (China, memory downturn)</w:t>
            </w:r>
          </w:p>
        </w:tc>
      </w:tr>
      <w:tr>
        <w:tc>
          <w:tcPr>
            <w:tcW w:type="dxa" w:w="1995"/>
            <w:shd w:val="clear" w:color="auto" w:fill="F1F3F7"/>
          </w:tcPr>
          <w:p>
            <w:r/>
            <w:r>
              <w:rPr>
                <w:b w:val="0"/>
                <w:i w:val="0"/>
                <w:sz w:val="15"/>
              </w:rPr>
              <w:t>WILL2030 STAGE2</w:t>
            </w:r>
          </w:p>
        </w:tc>
        <w:tc>
          <w:tcPr>
            <w:tcW w:type="dxa" w:w="1219"/>
            <w:shd w:val="clear" w:color="auto" w:fill="F1F3F7"/>
          </w:tcPr>
          <w:p>
            <w:r/>
            <w:r>
              <w:rPr>
                <w:b w:val="0"/>
                <w:i w:val="0"/>
                <w:sz w:val="15"/>
              </w:rPr>
              <w:t>FY2024–26</w:t>
            </w:r>
          </w:p>
        </w:tc>
        <w:tc>
          <w:tcPr>
            <w:tcW w:type="dxa" w:w="3990"/>
            <w:shd w:val="clear" w:color="auto" w:fill="F1F3F7"/>
          </w:tcPr>
          <w:p>
            <w:r/>
            <w:r>
              <w:rPr>
                <w:b w:val="0"/>
                <w:i w:val="0"/>
                <w:sz w:val="15"/>
              </w:rPr>
              <w:t>¥175bn strategic capex; FY3/27 sales ¥785bn, OP ¥60bn</w:t>
            </w:r>
          </w:p>
        </w:tc>
        <w:tc>
          <w:tcPr>
            <w:tcW w:type="dxa" w:w="2660"/>
            <w:shd w:val="clear" w:color="auto" w:fill="F1F3F7"/>
          </w:tcPr>
          <w:p>
            <w:r/>
            <w:r>
              <w:rPr>
                <w:b w:val="0"/>
                <w:i w:val="0"/>
                <w:sz w:val="15"/>
              </w:rPr>
              <w:t>Ceramics ahead; housing behind; ends Mar 2027</w:t>
            </w:r>
          </w:p>
        </w:tc>
      </w:tr>
      <w:tr>
        <w:tc>
          <w:tcPr>
            <w:tcW w:type="dxa" w:w="1995"/>
          </w:tcPr>
          <w:p>
            <w:r/>
            <w:r>
              <w:rPr>
                <w:b w:val="0"/>
                <w:i w:val="0"/>
                <w:sz w:val="15"/>
              </w:rPr>
              <w:t>China structural reform</w:t>
            </w:r>
          </w:p>
        </w:tc>
        <w:tc>
          <w:tcPr>
            <w:tcW w:type="dxa" w:w="1219"/>
          </w:tcPr>
          <w:p>
            <w:r/>
            <w:r>
              <w:rPr>
                <w:b w:val="0"/>
                <w:i w:val="0"/>
                <w:sz w:val="15"/>
              </w:rPr>
              <w:t>2024–2025</w:t>
            </w:r>
          </w:p>
        </w:tc>
        <w:tc>
          <w:tcPr>
            <w:tcW w:type="dxa" w:w="3990"/>
          </w:tcPr>
          <w:p>
            <w:r/>
            <w:r>
              <w:rPr>
                <w:b w:val="0"/>
                <w:i w:val="0"/>
                <w:sz w:val="15"/>
              </w:rPr>
              <w:t>¥34bn impairment; Beijing &amp; Shanghai plants closed (~2,000 staff); consolidate Zhangzhou/Dalian</w:t>
            </w:r>
          </w:p>
        </w:tc>
        <w:tc>
          <w:tcPr>
            <w:tcW w:type="dxa" w:w="2660"/>
          </w:tcPr>
          <w:p>
            <w:r/>
            <w:r>
              <w:rPr>
                <w:b w:val="0"/>
                <w:i w:val="0"/>
                <w:sz w:val="15"/>
              </w:rPr>
              <w:t>Execution done; profit recovery pending</w:t>
            </w:r>
          </w:p>
        </w:tc>
      </w:tr>
      <w:tr>
        <w:tc>
          <w:tcPr>
            <w:tcW w:type="dxa" w:w="1995"/>
            <w:shd w:val="clear" w:color="auto" w:fill="F1F3F7"/>
          </w:tcPr>
          <w:p>
            <w:r/>
            <w:r>
              <w:rPr>
                <w:b w:val="0"/>
                <w:i w:val="0"/>
                <w:sz w:val="15"/>
              </w:rPr>
              <w:t>Americas expansion</w:t>
            </w:r>
          </w:p>
        </w:tc>
        <w:tc>
          <w:tcPr>
            <w:tcW w:type="dxa" w:w="1219"/>
            <w:shd w:val="clear" w:color="auto" w:fill="F1F3F7"/>
          </w:tcPr>
          <w:p>
            <w:r/>
            <w:r>
              <w:rPr>
                <w:b w:val="0"/>
                <w:i w:val="0"/>
                <w:sz w:val="15"/>
              </w:rPr>
              <w:t>2024–2031</w:t>
            </w:r>
          </w:p>
        </w:tc>
        <w:tc>
          <w:tcPr>
            <w:tcW w:type="dxa" w:w="3990"/>
            <w:shd w:val="clear" w:color="auto" w:fill="F1F3F7"/>
          </w:tcPr>
          <w:p>
            <w:r/>
            <w:r>
              <w:rPr>
                <w:b w:val="0"/>
                <w:i w:val="0"/>
                <w:sz w:val="15"/>
              </w:rPr>
              <w:t>Georgia plant (US$224m); ¥100bn sales by FY3/31; US production &gt;50%</w:t>
            </w:r>
          </w:p>
        </w:tc>
        <w:tc>
          <w:tcPr>
            <w:tcW w:type="dxa" w:w="2660"/>
            <w:shd w:val="clear" w:color="auto" w:fill="F1F3F7"/>
          </w:tcPr>
          <w:p>
            <w:r/>
            <w:r>
              <w:rPr>
                <w:b w:val="0"/>
                <w:i w:val="0"/>
                <w:sz w:val="15"/>
              </w:rPr>
              <w:t>On track; tariff headwinds</w:t>
            </w:r>
          </w:p>
        </w:tc>
      </w:tr>
      <w:tr>
        <w:tc>
          <w:tcPr>
            <w:tcW w:type="dxa" w:w="1995"/>
          </w:tcPr>
          <w:p>
            <w:r/>
            <w:r>
              <w:rPr>
                <w:b w:val="0"/>
                <w:i w:val="0"/>
                <w:sz w:val="15"/>
              </w:rPr>
              <w:t>Asia manufacturing hub</w:t>
            </w:r>
          </w:p>
        </w:tc>
        <w:tc>
          <w:tcPr>
            <w:tcW w:type="dxa" w:w="1219"/>
          </w:tcPr>
          <w:p>
            <w:r/>
            <w:r>
              <w:rPr>
                <w:b w:val="0"/>
                <w:i w:val="0"/>
                <w:sz w:val="15"/>
              </w:rPr>
              <w:t>2014–2024</w:t>
            </w:r>
          </w:p>
        </w:tc>
        <w:tc>
          <w:tcPr>
            <w:tcW w:type="dxa" w:w="3990"/>
          </w:tcPr>
          <w:p>
            <w:r/>
            <w:r>
              <w:rPr>
                <w:b w:val="0"/>
                <w:i w:val="0"/>
                <w:sz w:val="15"/>
              </w:rPr>
              <w:t>India (Halol), Vietnam 4th plant (2022), faucet plant (2024)</w:t>
            </w:r>
          </w:p>
        </w:tc>
        <w:tc>
          <w:tcPr>
            <w:tcW w:type="dxa" w:w="2660"/>
          </w:tcPr>
          <w:p>
            <w:r/>
            <w:r>
              <w:rPr>
                <w:b w:val="0"/>
                <w:i w:val="0"/>
                <w:sz w:val="15"/>
              </w:rPr>
              <w:t>Successful — Asia OPM ~19%</w:t>
            </w:r>
          </w:p>
        </w:tc>
      </w:tr>
      <w:tr>
        <w:tc>
          <w:tcPr>
            <w:tcW w:type="dxa" w:w="1995"/>
            <w:shd w:val="clear" w:color="auto" w:fill="F1F3F7"/>
          </w:tcPr>
          <w:p>
            <w:r/>
            <w:r>
              <w:rPr>
                <w:b w:val="0"/>
                <w:i w:val="0"/>
                <w:sz w:val="15"/>
              </w:rPr>
              <w:t>Advanced Ceramics scale-up</w:t>
            </w:r>
          </w:p>
        </w:tc>
        <w:tc>
          <w:tcPr>
            <w:tcW w:type="dxa" w:w="1219"/>
            <w:shd w:val="clear" w:color="auto" w:fill="F1F3F7"/>
          </w:tcPr>
          <w:p>
            <w:r/>
            <w:r>
              <w:rPr>
                <w:b w:val="0"/>
                <w:i w:val="0"/>
                <w:sz w:val="15"/>
              </w:rPr>
              <w:t>2023–2028</w:t>
            </w:r>
          </w:p>
        </w:tc>
        <w:tc>
          <w:tcPr>
            <w:tcW w:type="dxa" w:w="3990"/>
            <w:shd w:val="clear" w:color="auto" w:fill="F1F3F7"/>
          </w:tcPr>
          <w:p>
            <w:r/>
            <w:r>
              <w:rPr>
                <w:b w:val="0"/>
                <w:i w:val="0"/>
                <w:sz w:val="15"/>
              </w:rPr>
              <w:t>Buzen kiln (+20% Jan 2027), Chigasaki R&amp;D (Apr 2028), ~¥80bn 5-yr</w:t>
            </w:r>
          </w:p>
        </w:tc>
        <w:tc>
          <w:tcPr>
            <w:tcW w:type="dxa" w:w="2660"/>
            <w:shd w:val="clear" w:color="auto" w:fill="F1F3F7"/>
          </w:tcPr>
          <w:p>
            <w:r/>
            <w:r>
              <w:rPr>
                <w:b w:val="0"/>
                <w:i w:val="0"/>
                <w:sz w:val="15"/>
              </w:rPr>
              <w:t>Strong success; key value driver</w:t>
            </w:r>
          </w:p>
        </w:tc>
      </w:tr>
      <w:tr>
        <w:tc>
          <w:tcPr>
            <w:tcW w:type="dxa" w:w="1995"/>
          </w:tcPr>
          <w:p>
            <w:r/>
            <w:r>
              <w:rPr>
                <w:b w:val="0"/>
                <w:i w:val="0"/>
                <w:sz w:val="15"/>
              </w:rPr>
              <w:t>Japan pricing discipline</w:t>
            </w:r>
          </w:p>
        </w:tc>
        <w:tc>
          <w:tcPr>
            <w:tcW w:type="dxa" w:w="1219"/>
          </w:tcPr>
          <w:p>
            <w:r/>
            <w:r>
              <w:rPr>
                <w:b w:val="0"/>
                <w:i w:val="0"/>
                <w:sz w:val="15"/>
              </w:rPr>
              <w:t>2023–2026</w:t>
            </w:r>
          </w:p>
        </w:tc>
        <w:tc>
          <w:tcPr>
            <w:tcW w:type="dxa" w:w="3990"/>
          </w:tcPr>
          <w:p>
            <w:r/>
            <w:r>
              <w:rPr>
                <w:b w:val="0"/>
                <w:i w:val="0"/>
                <w:sz w:val="15"/>
              </w:rPr>
              <w:t>Four consecutive price rises incl. 8–13% Dec 2026</w:t>
            </w:r>
          </w:p>
        </w:tc>
        <w:tc>
          <w:tcPr>
            <w:tcW w:type="dxa" w:w="2660"/>
          </w:tcPr>
          <w:p>
            <w:r/>
            <w:r>
              <w:rPr>
                <w:b w:val="0"/>
                <w:i w:val="0"/>
                <w:sz w:val="15"/>
              </w:rPr>
              <w:t>Partial offset of cost inflation</w:t>
            </w:r>
          </w:p>
        </w:tc>
      </w:tr>
      <w:tr>
        <w:tc>
          <w:tcPr>
            <w:tcW w:type="dxa" w:w="1995"/>
            <w:shd w:val="clear" w:color="auto" w:fill="F1F3F7"/>
          </w:tcPr>
          <w:p>
            <w:r/>
            <w:r>
              <w:rPr>
                <w:b w:val="0"/>
                <w:i w:val="0"/>
                <w:sz w:val="15"/>
              </w:rPr>
              <w:t>Environmental building materials (Hydrotect)</w:t>
            </w:r>
          </w:p>
        </w:tc>
        <w:tc>
          <w:tcPr>
            <w:tcW w:type="dxa" w:w="1219"/>
            <w:shd w:val="clear" w:color="auto" w:fill="F1F3F7"/>
          </w:tcPr>
          <w:p>
            <w:r/>
            <w:r>
              <w:rPr>
                <w:b w:val="0"/>
                <w:i w:val="0"/>
                <w:sz w:val="15"/>
              </w:rPr>
              <w:t>1990s–</w:t>
            </w:r>
          </w:p>
        </w:tc>
        <w:tc>
          <w:tcPr>
            <w:tcW w:type="dxa" w:w="3990"/>
            <w:shd w:val="clear" w:color="auto" w:fill="F1F3F7"/>
          </w:tcPr>
          <w:p>
            <w:r/>
            <w:r>
              <w:rPr>
                <w:b w:val="0"/>
                <w:i w:val="0"/>
                <w:sz w:val="15"/>
              </w:rPr>
              <w:t>Photocatalytic tiles/coatings</w:t>
            </w:r>
          </w:p>
        </w:tc>
        <w:tc>
          <w:tcPr>
            <w:tcW w:type="dxa" w:w="2660"/>
            <w:shd w:val="clear" w:color="auto" w:fill="F1F3F7"/>
          </w:tcPr>
          <w:p>
            <w:r/>
            <w:r>
              <w:rPr>
                <w:b w:val="0"/>
                <w:i w:val="0"/>
                <w:sz w:val="15"/>
              </w:rPr>
              <w:t>Sub-scale; limited contribution</w:t>
            </w:r>
          </w:p>
        </w:tc>
      </w:tr>
      <w:tr>
        <w:tc>
          <w:tcPr>
            <w:tcW w:type="dxa" w:w="1995"/>
          </w:tcPr>
          <w:p>
            <w:r/>
            <w:r>
              <w:rPr>
                <w:b w:val="0"/>
                <w:i w:val="0"/>
                <w:sz w:val="15"/>
              </w:rPr>
              <w:t>Morimura SOFC JV</w:t>
            </w:r>
          </w:p>
        </w:tc>
        <w:tc>
          <w:tcPr>
            <w:tcW w:type="dxa" w:w="1219"/>
          </w:tcPr>
          <w:p>
            <w:r/>
            <w:r>
              <w:rPr>
                <w:b w:val="0"/>
                <w:i w:val="0"/>
                <w:sz w:val="15"/>
              </w:rPr>
              <w:t>2019 –</w:t>
            </w:r>
          </w:p>
        </w:tc>
        <w:tc>
          <w:tcPr>
            <w:tcW w:type="dxa" w:w="3990"/>
          </w:tcPr>
          <w:p>
            <w:r/>
            <w:r>
              <w:rPr>
                <w:b w:val="0"/>
                <w:i w:val="0"/>
                <w:sz w:val="15"/>
              </w:rPr>
              <w:t>Solid-oxide fuel cells with NGK, Niterra, Noritake</w:t>
            </w:r>
          </w:p>
        </w:tc>
        <w:tc>
          <w:tcPr>
            <w:tcW w:type="dxa" w:w="2660"/>
          </w:tcPr>
          <w:p>
            <w:r/>
            <w:r>
              <w:rPr>
                <w:b w:val="0"/>
                <w:i w:val="0"/>
                <w:sz w:val="15"/>
              </w:rPr>
              <w:t>Small, pre-commercial</w:t>
            </w:r>
          </w:p>
        </w:tc>
      </w:tr>
      <w:tr>
        <w:tc>
          <w:tcPr>
            <w:tcW w:type="dxa" w:w="1995"/>
            <w:shd w:val="clear" w:color="auto" w:fill="F1F3F7"/>
          </w:tcPr>
          <w:p>
            <w:r/>
            <w:r>
              <w:rPr>
                <w:b w:val="0"/>
                <w:i w:val="0"/>
                <w:sz w:val="15"/>
              </w:rPr>
              <w:t>Capital-efficiency push</w:t>
            </w:r>
          </w:p>
        </w:tc>
        <w:tc>
          <w:tcPr>
            <w:tcW w:type="dxa" w:w="1219"/>
            <w:shd w:val="clear" w:color="auto" w:fill="F1F3F7"/>
          </w:tcPr>
          <w:p>
            <w:r/>
            <w:r>
              <w:rPr>
                <w:b w:val="0"/>
                <w:i w:val="0"/>
                <w:sz w:val="15"/>
              </w:rPr>
              <w:t>2025–2026</w:t>
            </w:r>
          </w:p>
        </w:tc>
        <w:tc>
          <w:tcPr>
            <w:tcW w:type="dxa" w:w="3990"/>
            <w:shd w:val="clear" w:color="auto" w:fill="F1F3F7"/>
          </w:tcPr>
          <w:p>
            <w:r/>
            <w:r>
              <w:rPr>
                <w:b w:val="0"/>
                <w:i w:val="0"/>
                <w:sz w:val="15"/>
              </w:rPr>
              <w:t>¥20bn buyback (cancelled), DPS growth, cross-holding reduction, segment disclosure</w:t>
            </w:r>
          </w:p>
        </w:tc>
        <w:tc>
          <w:tcPr>
            <w:tcW w:type="dxa" w:w="2660"/>
            <w:shd w:val="clear" w:color="auto" w:fill="F1F3F7"/>
          </w:tcPr>
          <w:p>
            <w:r/>
            <w:r>
              <w:rPr>
                <w:b w:val="0"/>
                <w:i w:val="0"/>
                <w:sz w:val="15"/>
              </w:rPr>
              <w:t>Under way — next step STAGE3 (Apr 2027)</w:t>
            </w:r>
          </w:p>
        </w:tc>
      </w:tr>
    </w:tbl>
    <w:p/>
    <w:p>
      <w:pPr>
        <w:pStyle w:val="Heading1"/>
      </w:pPr>
      <w:r>
        <w:t>18. Stakes in Other Companies</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284"/>
            <w:shd w:val="clear" w:color="auto" w:fill="16243D"/>
          </w:tcPr>
          <w:p>
            <w:r/>
            <w:r>
              <w:rPr>
                <w:b/>
                <w:i w:val="0"/>
                <w:color w:val="FFFFFF"/>
                <w:sz w:val="15"/>
              </w:rPr>
              <w:t>Holding</w:t>
            </w:r>
          </w:p>
        </w:tc>
        <w:tc>
          <w:tcPr>
            <w:tcW w:type="dxa" w:w="1869"/>
            <w:shd w:val="clear" w:color="auto" w:fill="16243D"/>
          </w:tcPr>
          <w:p>
            <w:r/>
            <w:r>
              <w:rPr>
                <w:b/>
                <w:i w:val="0"/>
                <w:color w:val="FFFFFF"/>
                <w:sz w:val="15"/>
              </w:rPr>
              <w:t>Type</w:t>
            </w:r>
          </w:p>
        </w:tc>
        <w:tc>
          <w:tcPr>
            <w:tcW w:type="dxa" w:w="1350"/>
            <w:shd w:val="clear" w:color="auto" w:fill="16243D"/>
          </w:tcPr>
          <w:p>
            <w:r/>
            <w:r>
              <w:rPr>
                <w:b/>
                <w:i w:val="0"/>
                <w:color w:val="FFFFFF"/>
                <w:sz w:val="15"/>
              </w:rPr>
              <w:t>Stake</w:t>
            </w:r>
          </w:p>
        </w:tc>
        <w:tc>
          <w:tcPr>
            <w:tcW w:type="dxa" w:w="2077"/>
            <w:shd w:val="clear" w:color="auto" w:fill="16243D"/>
          </w:tcPr>
          <w:p>
            <w:r/>
            <w:r>
              <w:rPr>
                <w:b/>
                <w:i w:val="0"/>
                <w:color w:val="FFFFFF"/>
                <w:sz w:val="15"/>
              </w:rPr>
              <w:t>Strategic relevance</w:t>
            </w:r>
          </w:p>
        </w:tc>
        <w:tc>
          <w:tcPr>
            <w:tcW w:type="dxa" w:w="2284"/>
            <w:shd w:val="clear" w:color="auto" w:fill="16243D"/>
          </w:tcPr>
          <w:p>
            <w:r/>
            <w:r>
              <w:rPr>
                <w:b/>
                <w:i w:val="0"/>
                <w:color w:val="FFFFFF"/>
                <w:sz w:val="15"/>
              </w:rPr>
              <w:t>Financial relevance</w:t>
            </w:r>
          </w:p>
        </w:tc>
      </w:tr>
      <w:tr>
        <w:tc>
          <w:tcPr>
            <w:tcW w:type="dxa" w:w="2284"/>
          </w:tcPr>
          <w:p>
            <w:r/>
            <w:r>
              <w:rPr>
                <w:b w:val="0"/>
                <w:i w:val="0"/>
                <w:sz w:val="15"/>
              </w:rPr>
              <w:t>Noritake (5331 JP)</w:t>
            </w:r>
          </w:p>
        </w:tc>
        <w:tc>
          <w:tcPr>
            <w:tcW w:type="dxa" w:w="1869"/>
          </w:tcPr>
          <w:p>
            <w:r/>
            <w:r>
              <w:rPr>
                <w:b w:val="0"/>
                <w:i w:val="0"/>
                <w:sz w:val="15"/>
              </w:rPr>
              <w:t>Listed – Morimura group</w:t>
            </w:r>
          </w:p>
        </w:tc>
        <w:tc>
          <w:tcPr>
            <w:tcW w:type="dxa" w:w="1350"/>
          </w:tcPr>
          <w:p>
            <w:r/>
            <w:r>
              <w:rPr>
                <w:b w:val="0"/>
                <w:i w:val="0"/>
                <w:sz w:val="15"/>
              </w:rPr>
              <w:t>~1–3% (e)</w:t>
            </w:r>
          </w:p>
        </w:tc>
        <w:tc>
          <w:tcPr>
            <w:tcW w:type="dxa" w:w="2077"/>
          </w:tcPr>
          <w:p>
            <w:r/>
            <w:r>
              <w:rPr>
                <w:b w:val="0"/>
                <w:i w:val="0"/>
                <w:sz w:val="15"/>
              </w:rPr>
              <w:t>Group heritage; ceramics know-how</w:t>
            </w:r>
          </w:p>
        </w:tc>
        <w:tc>
          <w:tcPr>
            <w:tcW w:type="dxa" w:w="2284"/>
          </w:tcPr>
          <w:p>
            <w:r/>
            <w:r>
              <w:rPr>
                <w:b w:val="0"/>
                <w:i w:val="0"/>
                <w:sz w:val="15"/>
              </w:rPr>
              <w:t>Low</w:t>
            </w:r>
          </w:p>
        </w:tc>
      </w:tr>
      <w:tr>
        <w:tc>
          <w:tcPr>
            <w:tcW w:type="dxa" w:w="2284"/>
            <w:shd w:val="clear" w:color="auto" w:fill="F1F3F7"/>
          </w:tcPr>
          <w:p>
            <w:r/>
            <w:r>
              <w:rPr>
                <w:b w:val="0"/>
                <w:i w:val="0"/>
                <w:sz w:val="15"/>
              </w:rPr>
              <w:t>Niterra (5334 JP)</w:t>
            </w:r>
          </w:p>
        </w:tc>
        <w:tc>
          <w:tcPr>
            <w:tcW w:type="dxa" w:w="1869"/>
            <w:shd w:val="clear" w:color="auto" w:fill="F1F3F7"/>
          </w:tcPr>
          <w:p>
            <w:r/>
            <w:r>
              <w:rPr>
                <w:b w:val="0"/>
                <w:i w:val="0"/>
                <w:sz w:val="15"/>
              </w:rPr>
              <w:t>Listed – Morimura group</w:t>
            </w:r>
          </w:p>
        </w:tc>
        <w:tc>
          <w:tcPr>
            <w:tcW w:type="dxa" w:w="1350"/>
            <w:shd w:val="clear" w:color="auto" w:fill="F1F3F7"/>
          </w:tcPr>
          <w:p>
            <w:r/>
            <w:r>
              <w:rPr>
                <w:b w:val="0"/>
                <w:i w:val="0"/>
                <w:sz w:val="15"/>
              </w:rPr>
              <w:t>~1% (e)</w:t>
            </w:r>
          </w:p>
        </w:tc>
        <w:tc>
          <w:tcPr>
            <w:tcW w:type="dxa" w:w="2077"/>
            <w:shd w:val="clear" w:color="auto" w:fill="F1F3F7"/>
          </w:tcPr>
          <w:p>
            <w:r/>
            <w:r>
              <w:rPr>
                <w:b w:val="0"/>
                <w:i w:val="0"/>
                <w:sz w:val="15"/>
              </w:rPr>
              <w:t>Group heritage; ceramics peer</w:t>
            </w:r>
          </w:p>
        </w:tc>
        <w:tc>
          <w:tcPr>
            <w:tcW w:type="dxa" w:w="2284"/>
            <w:shd w:val="clear" w:color="auto" w:fill="F1F3F7"/>
          </w:tcPr>
          <w:p>
            <w:r/>
            <w:r>
              <w:rPr>
                <w:b w:val="0"/>
                <w:i w:val="0"/>
                <w:sz w:val="15"/>
              </w:rPr>
              <w:t>Low–moderate (mark-to-market)</w:t>
            </w:r>
          </w:p>
        </w:tc>
      </w:tr>
      <w:tr>
        <w:tc>
          <w:tcPr>
            <w:tcW w:type="dxa" w:w="2284"/>
          </w:tcPr>
          <w:p>
            <w:r/>
            <w:r>
              <w:rPr>
                <w:b w:val="0"/>
                <w:i w:val="0"/>
                <w:sz w:val="15"/>
              </w:rPr>
              <w:t>NGK Insulators (5333 JP)</w:t>
            </w:r>
          </w:p>
        </w:tc>
        <w:tc>
          <w:tcPr>
            <w:tcW w:type="dxa" w:w="1869"/>
          </w:tcPr>
          <w:p>
            <w:r/>
            <w:r>
              <w:rPr>
                <w:b w:val="0"/>
                <w:i w:val="0"/>
                <w:sz w:val="15"/>
              </w:rPr>
              <w:t>Listed – Morimura group</w:t>
            </w:r>
          </w:p>
        </w:tc>
        <w:tc>
          <w:tcPr>
            <w:tcW w:type="dxa" w:w="1350"/>
          </w:tcPr>
          <w:p>
            <w:r/>
            <w:r>
              <w:rPr>
                <w:b w:val="0"/>
                <w:i w:val="0"/>
                <w:sz w:val="15"/>
              </w:rPr>
              <w:t>small (unconfirmed)</w:t>
            </w:r>
          </w:p>
        </w:tc>
        <w:tc>
          <w:tcPr>
            <w:tcW w:type="dxa" w:w="2077"/>
          </w:tcPr>
          <w:p>
            <w:r/>
            <w:r>
              <w:rPr>
                <w:b w:val="0"/>
                <w:i w:val="0"/>
                <w:sz w:val="15"/>
              </w:rPr>
              <w:t>Group heritage; ESC competitor</w:t>
            </w:r>
          </w:p>
        </w:tc>
        <w:tc>
          <w:tcPr>
            <w:tcW w:type="dxa" w:w="2284"/>
          </w:tcPr>
          <w:p>
            <w:r/>
            <w:r>
              <w:rPr>
                <w:b w:val="0"/>
                <w:i w:val="0"/>
                <w:sz w:val="15"/>
              </w:rPr>
              <w:t>Low</w:t>
            </w:r>
          </w:p>
        </w:tc>
      </w:tr>
      <w:tr>
        <w:tc>
          <w:tcPr>
            <w:tcW w:type="dxa" w:w="2284"/>
            <w:shd w:val="clear" w:color="auto" w:fill="F1F3F7"/>
          </w:tcPr>
          <w:p>
            <w:r/>
            <w:r>
              <w:rPr>
                <w:b w:val="0"/>
                <w:i w:val="0"/>
                <w:sz w:val="15"/>
              </w:rPr>
              <w:t>Banks / insurers / distributors / homebuilders</w:t>
            </w:r>
          </w:p>
        </w:tc>
        <w:tc>
          <w:tcPr>
            <w:tcW w:type="dxa" w:w="1869"/>
            <w:shd w:val="clear" w:color="auto" w:fill="F1F3F7"/>
          </w:tcPr>
          <w:p>
            <w:r/>
            <w:r>
              <w:rPr>
                <w:b w:val="0"/>
                <w:i w:val="0"/>
                <w:sz w:val="15"/>
              </w:rPr>
              <w:t>Listed cross-holdings</w:t>
            </w:r>
          </w:p>
        </w:tc>
        <w:tc>
          <w:tcPr>
            <w:tcW w:type="dxa" w:w="1350"/>
            <w:shd w:val="clear" w:color="auto" w:fill="F1F3F7"/>
          </w:tcPr>
          <w:p>
            <w:r/>
            <w:r>
              <w:rPr>
                <w:b w:val="0"/>
                <w:i w:val="0"/>
                <w:sz w:val="15"/>
              </w:rPr>
              <w:t>various</w:t>
            </w:r>
          </w:p>
        </w:tc>
        <w:tc>
          <w:tcPr>
            <w:tcW w:type="dxa" w:w="2077"/>
            <w:shd w:val="clear" w:color="auto" w:fill="F1F3F7"/>
          </w:tcPr>
          <w:p>
            <w:r/>
            <w:r>
              <w:rPr>
                <w:b w:val="0"/>
                <w:i w:val="0"/>
                <w:sz w:val="15"/>
              </w:rPr>
              <w:t>Relationship holdings</w:t>
            </w:r>
          </w:p>
        </w:tc>
        <w:tc>
          <w:tcPr>
            <w:tcW w:type="dxa" w:w="2284"/>
            <w:shd w:val="clear" w:color="auto" w:fill="F1F3F7"/>
          </w:tcPr>
          <w:p>
            <w:r/>
            <w:r>
              <w:rPr>
                <w:b w:val="0"/>
                <w:i w:val="0"/>
                <w:sz w:val="15"/>
              </w:rPr>
              <w:t>Total ~¥60–76bn (e); being reduced</w:t>
            </w:r>
          </w:p>
        </w:tc>
      </w:tr>
      <w:tr>
        <w:tc>
          <w:tcPr>
            <w:tcW w:type="dxa" w:w="2284"/>
          </w:tcPr>
          <w:p>
            <w:r/>
            <w:r>
              <w:rPr>
                <w:b w:val="0"/>
                <w:i w:val="0"/>
                <w:sz w:val="15"/>
              </w:rPr>
              <w:t>Morimura SOFC Technology</w:t>
            </w:r>
          </w:p>
        </w:tc>
        <w:tc>
          <w:tcPr>
            <w:tcW w:type="dxa" w:w="1869"/>
          </w:tcPr>
          <w:p>
            <w:r/>
            <w:r>
              <w:rPr>
                <w:b w:val="0"/>
                <w:i w:val="0"/>
                <w:sz w:val="15"/>
              </w:rPr>
              <w:t>Unlisted JV</w:t>
            </w:r>
          </w:p>
        </w:tc>
        <w:tc>
          <w:tcPr>
            <w:tcW w:type="dxa" w:w="1350"/>
          </w:tcPr>
          <w:p>
            <w:r/>
            <w:r>
              <w:rPr>
                <w:b w:val="0"/>
                <w:i w:val="0"/>
                <w:sz w:val="15"/>
              </w:rPr>
              <w:t>minority</w:t>
            </w:r>
          </w:p>
        </w:tc>
        <w:tc>
          <w:tcPr>
            <w:tcW w:type="dxa" w:w="2077"/>
          </w:tcPr>
          <w:p>
            <w:r/>
            <w:r>
              <w:rPr>
                <w:b w:val="0"/>
                <w:i w:val="0"/>
                <w:sz w:val="15"/>
              </w:rPr>
              <w:t>Fuel-cell R&amp;D</w:t>
            </w:r>
          </w:p>
        </w:tc>
        <w:tc>
          <w:tcPr>
            <w:tcW w:type="dxa" w:w="2284"/>
          </w:tcPr>
          <w:p>
            <w:r/>
            <w:r>
              <w:rPr>
                <w:b w:val="0"/>
                <w:i w:val="0"/>
                <w:sz w:val="15"/>
              </w:rPr>
              <w:t>Negligible</w:t>
            </w:r>
          </w:p>
        </w:tc>
      </w:tr>
      <w:tr>
        <w:tc>
          <w:tcPr>
            <w:tcW w:type="dxa" w:w="2284"/>
            <w:shd w:val="clear" w:color="auto" w:fill="F1F3F7"/>
          </w:tcPr>
          <w:p>
            <w:r/>
            <w:r>
              <w:rPr>
                <w:b w:val="0"/>
                <w:i w:val="0"/>
                <w:sz w:val="15"/>
              </w:rPr>
              <w:t>TDY alliance (Daiken, YKK AP)</w:t>
            </w:r>
          </w:p>
        </w:tc>
        <w:tc>
          <w:tcPr>
            <w:tcW w:type="dxa" w:w="1869"/>
            <w:shd w:val="clear" w:color="auto" w:fill="F1F3F7"/>
          </w:tcPr>
          <w:p>
            <w:r/>
            <w:r>
              <w:rPr>
                <w:b w:val="0"/>
                <w:i w:val="0"/>
                <w:sz w:val="15"/>
              </w:rPr>
              <w:t>Commercial alliance</w:t>
            </w:r>
          </w:p>
        </w:tc>
        <w:tc>
          <w:tcPr>
            <w:tcW w:type="dxa" w:w="1350"/>
            <w:shd w:val="clear" w:color="auto" w:fill="F1F3F7"/>
          </w:tcPr>
          <w:p>
            <w:r/>
            <w:r>
              <w:rPr>
                <w:b w:val="0"/>
                <w:i w:val="0"/>
                <w:sz w:val="15"/>
              </w:rPr>
              <w:t>No equity</w:t>
            </w:r>
          </w:p>
        </w:tc>
        <w:tc>
          <w:tcPr>
            <w:tcW w:type="dxa" w:w="2077"/>
            <w:shd w:val="clear" w:color="auto" w:fill="F1F3F7"/>
          </w:tcPr>
          <w:p>
            <w:r/>
            <w:r>
              <w:rPr>
                <w:b w:val="0"/>
                <w:i w:val="0"/>
                <w:sz w:val="15"/>
              </w:rPr>
              <w:t>Remodel channel</w:t>
            </w:r>
          </w:p>
        </w:tc>
        <w:tc>
          <w:tcPr>
            <w:tcW w:type="dxa" w:w="2284"/>
            <w:shd w:val="clear" w:color="auto" w:fill="F1F3F7"/>
          </w:tcPr>
          <w:p>
            <w:r/>
            <w:r>
              <w:rPr>
                <w:b w:val="0"/>
                <w:i w:val="0"/>
                <w:sz w:val="15"/>
              </w:rPr>
              <w:t>n/a</w:t>
            </w:r>
          </w:p>
        </w:tc>
      </w:tr>
    </w:tbl>
    <w:p>
      <w:r>
        <w:rPr>
          <w:b w:val="0"/>
          <w:i/>
          <w:color w:val="5E6878"/>
          <w:sz w:val="14"/>
        </w:rPr>
        <w:t>Specified-investment details to be confirmed from the FY3/26 yuho ("株式の保有状況"). Policy: cross-holdings &lt;10% of net assets (FY2025), &lt;5% by FY2030; proceeds to be redeployed.</w:t>
      </w:r>
    </w:p>
    <w:p>
      <w:pPr>
        <w:spacing w:after="80"/>
      </w:pPr>
      <w:r>
        <w:rPr>
          <w:b/>
          <w:i w:val="0"/>
        </w:rPr>
        <w:t>Relevance:</w:t>
      </w:r>
      <w:r>
        <w:rPr>
          <w:b w:val="0"/>
          <w:i w:val="0"/>
        </w:rPr>
        <w:t xml:space="preserve"> strategically minor; financially, the portfolio (~6–8% of market cap) is a source of cash for buybacks — the most likely near-term "self-help" catalyst.</w:t>
      </w:r>
    </w:p>
    <w:p>
      <w:pPr>
        <w:pStyle w:val="Heading1"/>
      </w:pPr>
      <w:r>
        <w:t>19. Shareholder Returns: Dividends, Buybacks and Treasury Shares</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c>
          <w:tcPr>
            <w:tcW w:type="dxa" w:w="1064"/>
            <w:shd w:val="clear" w:color="auto" w:fill="16243D"/>
          </w:tcPr>
          <w:p>
            <w:r/>
            <w:r>
              <w:rPr>
                <w:b/>
                <w:i w:val="0"/>
                <w:color w:val="FFFFFF"/>
                <w:sz w:val="15"/>
              </w:rPr>
              <w:t>Fiscal year</w:t>
            </w:r>
          </w:p>
        </w:tc>
        <w:tc>
          <w:tcPr>
            <w:tcW w:type="dxa" w:w="1161"/>
            <w:shd w:val="clear" w:color="auto" w:fill="16243D"/>
          </w:tcPr>
          <w:p>
            <w:r/>
            <w:r>
              <w:rPr>
                <w:b/>
                <w:i w:val="0"/>
                <w:color w:val="FFFFFF"/>
                <w:sz w:val="15"/>
              </w:rPr>
              <w:t>DPS (¥)</w:t>
            </w:r>
          </w:p>
        </w:tc>
        <w:tc>
          <w:tcPr>
            <w:tcW w:type="dxa" w:w="1547"/>
            <w:shd w:val="clear" w:color="auto" w:fill="16243D"/>
          </w:tcPr>
          <w:p>
            <w:r/>
            <w:r>
              <w:rPr>
                <w:b/>
                <w:i w:val="0"/>
                <w:color w:val="FFFFFF"/>
                <w:sz w:val="15"/>
              </w:rPr>
              <w:t>Payout</w:t>
            </w:r>
          </w:p>
        </w:tc>
        <w:tc>
          <w:tcPr>
            <w:tcW w:type="dxa" w:w="2901"/>
            <w:shd w:val="clear" w:color="auto" w:fill="16243D"/>
          </w:tcPr>
          <w:p>
            <w:r/>
            <w:r>
              <w:rPr>
                <w:b/>
                <w:i w:val="0"/>
                <w:color w:val="FFFFFF"/>
                <w:sz w:val="15"/>
              </w:rPr>
              <w:t>Buyback</w:t>
            </w:r>
          </w:p>
        </w:tc>
        <w:tc>
          <w:tcPr>
            <w:tcW w:type="dxa" w:w="1257"/>
            <w:shd w:val="clear" w:color="auto" w:fill="16243D"/>
          </w:tcPr>
          <w:p>
            <w:r/>
            <w:r>
              <w:rPr>
                <w:b/>
                <w:i w:val="0"/>
                <w:color w:val="FFFFFF"/>
                <w:sz w:val="15"/>
              </w:rPr>
              <w:t>Cancellation</w:t>
            </w:r>
          </w:p>
        </w:tc>
        <w:tc>
          <w:tcPr>
            <w:tcW w:type="dxa" w:w="1934"/>
            <w:shd w:val="clear" w:color="auto" w:fill="16243D"/>
          </w:tcPr>
          <w:p>
            <w:r/>
            <w:r>
              <w:rPr>
                <w:b/>
                <w:i w:val="0"/>
                <w:color w:val="FFFFFF"/>
                <w:sz w:val="15"/>
              </w:rPr>
              <w:t>Comment</w:t>
            </w:r>
          </w:p>
        </w:tc>
      </w:tr>
      <w:tr>
        <w:tc>
          <w:tcPr>
            <w:tcW w:type="dxa" w:w="1064"/>
          </w:tcPr>
          <w:p>
            <w:r/>
            <w:r>
              <w:rPr>
                <w:b w:val="0"/>
                <w:i w:val="0"/>
                <w:sz w:val="15"/>
              </w:rPr>
              <w:t>FY3/22</w:t>
            </w:r>
          </w:p>
        </w:tc>
        <w:tc>
          <w:tcPr>
            <w:tcW w:type="dxa" w:w="1161"/>
          </w:tcPr>
          <w:p>
            <w:r/>
            <w:r>
              <w:rPr>
                <w:b w:val="0"/>
                <w:i w:val="0"/>
                <w:sz w:val="15"/>
              </w:rPr>
              <w:t>~90 (e)</w:t>
            </w:r>
          </w:p>
        </w:tc>
        <w:tc>
          <w:tcPr>
            <w:tcW w:type="dxa" w:w="1547"/>
          </w:tcPr>
          <w:p>
            <w:r/>
            <w:r>
              <w:rPr>
                <w:b w:val="0"/>
                <w:i w:val="0"/>
                <w:sz w:val="15"/>
              </w:rPr>
              <w:t>~38%</w:t>
            </w:r>
          </w:p>
        </w:tc>
        <w:tc>
          <w:tcPr>
            <w:tcW w:type="dxa" w:w="2901"/>
          </w:tcPr>
          <w:p>
            <w:r/>
            <w:r>
              <w:rPr>
                <w:b w:val="0"/>
                <w:i w:val="0"/>
                <w:sz w:val="15"/>
              </w:rPr>
              <w:t>—</w:t>
            </w:r>
          </w:p>
        </w:tc>
        <w:tc>
          <w:tcPr>
            <w:tcW w:type="dxa" w:w="1257"/>
          </w:tcPr>
          <w:p>
            <w:r/>
            <w:r>
              <w:rPr>
                <w:b w:val="0"/>
                <w:i w:val="0"/>
                <w:sz w:val="15"/>
              </w:rPr>
              <w:t>—</w:t>
            </w:r>
          </w:p>
        </w:tc>
        <w:tc>
          <w:tcPr>
            <w:tcW w:type="dxa" w:w="1934"/>
          </w:tcPr>
          <w:p>
            <w:r/>
          </w:p>
        </w:tc>
      </w:tr>
      <w:tr>
        <w:tc>
          <w:tcPr>
            <w:tcW w:type="dxa" w:w="1064"/>
            <w:shd w:val="clear" w:color="auto" w:fill="F1F3F7"/>
          </w:tcPr>
          <w:p>
            <w:r/>
            <w:r>
              <w:rPr>
                <w:b w:val="0"/>
                <w:i w:val="0"/>
                <w:sz w:val="15"/>
              </w:rPr>
              <w:t>FY3/23</w:t>
            </w:r>
          </w:p>
        </w:tc>
        <w:tc>
          <w:tcPr>
            <w:tcW w:type="dxa" w:w="1161"/>
            <w:shd w:val="clear" w:color="auto" w:fill="F1F3F7"/>
          </w:tcPr>
          <w:p>
            <w:r/>
            <w:r>
              <w:rPr>
                <w:b w:val="0"/>
                <w:i w:val="0"/>
                <w:sz w:val="15"/>
              </w:rPr>
              <w:t>~100 (e)</w:t>
            </w:r>
          </w:p>
        </w:tc>
        <w:tc>
          <w:tcPr>
            <w:tcW w:type="dxa" w:w="1547"/>
            <w:shd w:val="clear" w:color="auto" w:fill="F1F3F7"/>
          </w:tcPr>
          <w:p>
            <w:r/>
            <w:r>
              <w:rPr>
                <w:b w:val="0"/>
                <w:i w:val="0"/>
                <w:sz w:val="15"/>
              </w:rPr>
              <w:t>~43%</w:t>
            </w:r>
          </w:p>
        </w:tc>
        <w:tc>
          <w:tcPr>
            <w:tcW w:type="dxa" w:w="2901"/>
            <w:shd w:val="clear" w:color="auto" w:fill="F1F3F7"/>
          </w:tcPr>
          <w:p>
            <w:r/>
            <w:r>
              <w:rPr>
                <w:b w:val="0"/>
                <w:i w:val="0"/>
                <w:sz w:val="15"/>
              </w:rPr>
              <w:t>—</w:t>
            </w:r>
          </w:p>
        </w:tc>
        <w:tc>
          <w:tcPr>
            <w:tcW w:type="dxa" w:w="1257"/>
            <w:shd w:val="clear" w:color="auto" w:fill="F1F3F7"/>
          </w:tcPr>
          <w:p>
            <w:r/>
            <w:r>
              <w:rPr>
                <w:b w:val="0"/>
                <w:i w:val="0"/>
                <w:sz w:val="15"/>
              </w:rPr>
              <w:t>—</w:t>
            </w:r>
          </w:p>
        </w:tc>
        <w:tc>
          <w:tcPr>
            <w:tcW w:type="dxa" w:w="1934"/>
            <w:shd w:val="clear" w:color="auto" w:fill="F1F3F7"/>
          </w:tcPr>
          <w:p>
            <w:r/>
          </w:p>
        </w:tc>
      </w:tr>
      <w:tr>
        <w:tc>
          <w:tcPr>
            <w:tcW w:type="dxa" w:w="1064"/>
          </w:tcPr>
          <w:p>
            <w:r/>
            <w:r>
              <w:rPr>
                <w:b w:val="0"/>
                <w:i w:val="0"/>
                <w:sz w:val="15"/>
              </w:rPr>
              <w:t>FY3/24</w:t>
            </w:r>
          </w:p>
        </w:tc>
        <w:tc>
          <w:tcPr>
            <w:tcW w:type="dxa" w:w="1161"/>
          </w:tcPr>
          <w:p>
            <w:r/>
            <w:r>
              <w:rPr>
                <w:b w:val="0"/>
                <w:i w:val="0"/>
                <w:sz w:val="15"/>
              </w:rPr>
              <w:t>~100 (e)</w:t>
            </w:r>
          </w:p>
        </w:tc>
        <w:tc>
          <w:tcPr>
            <w:tcW w:type="dxa" w:w="1547"/>
          </w:tcPr>
          <w:p>
            <w:r/>
            <w:r>
              <w:rPr>
                <w:b w:val="0"/>
                <w:i w:val="0"/>
                <w:sz w:val="15"/>
              </w:rPr>
              <w:t>~45%</w:t>
            </w:r>
          </w:p>
        </w:tc>
        <w:tc>
          <w:tcPr>
            <w:tcW w:type="dxa" w:w="2901"/>
          </w:tcPr>
          <w:p>
            <w:r/>
            <w:r>
              <w:rPr>
                <w:b w:val="0"/>
                <w:i w:val="0"/>
                <w:sz w:val="15"/>
              </w:rPr>
              <w:t>—</w:t>
            </w:r>
          </w:p>
        </w:tc>
        <w:tc>
          <w:tcPr>
            <w:tcW w:type="dxa" w:w="1257"/>
          </w:tcPr>
          <w:p>
            <w:r/>
            <w:r>
              <w:rPr>
                <w:b w:val="0"/>
                <w:i w:val="0"/>
                <w:sz w:val="15"/>
              </w:rPr>
              <w:t>—</w:t>
            </w:r>
          </w:p>
        </w:tc>
        <w:tc>
          <w:tcPr>
            <w:tcW w:type="dxa" w:w="1934"/>
          </w:tcPr>
          <w:p>
            <w:r/>
            <w:r>
              <w:rPr>
                <w:b w:val="0"/>
                <w:i w:val="0"/>
                <w:sz w:val="15"/>
              </w:rPr>
              <w:t>Held flat</w:t>
            </w:r>
          </w:p>
        </w:tc>
      </w:tr>
      <w:tr>
        <w:tc>
          <w:tcPr>
            <w:tcW w:type="dxa" w:w="1064"/>
            <w:shd w:val="clear" w:color="auto" w:fill="F1F3F7"/>
          </w:tcPr>
          <w:p>
            <w:r/>
            <w:r>
              <w:rPr>
                <w:b w:val="0"/>
                <w:i w:val="0"/>
                <w:sz w:val="15"/>
              </w:rPr>
              <w:t>FY3/25</w:t>
            </w:r>
          </w:p>
        </w:tc>
        <w:tc>
          <w:tcPr>
            <w:tcW w:type="dxa" w:w="1161"/>
            <w:shd w:val="clear" w:color="auto" w:fill="F1F3F7"/>
          </w:tcPr>
          <w:p>
            <w:r/>
            <w:r>
              <w:rPr>
                <w:b w:val="0"/>
                <w:i w:val="0"/>
                <w:sz w:val="15"/>
              </w:rPr>
              <w:t>100</w:t>
            </w:r>
          </w:p>
        </w:tc>
        <w:tc>
          <w:tcPr>
            <w:tcW w:type="dxa" w:w="1547"/>
            <w:shd w:val="clear" w:color="auto" w:fill="F1F3F7"/>
          </w:tcPr>
          <w:p>
            <w:r/>
            <w:r>
              <w:rPr>
                <w:b w:val="0"/>
                <w:i w:val="0"/>
                <w:sz w:val="15"/>
              </w:rPr>
              <w:t>~137% (impairment year)</w:t>
            </w:r>
          </w:p>
        </w:tc>
        <w:tc>
          <w:tcPr>
            <w:tcW w:type="dxa" w:w="2901"/>
            <w:shd w:val="clear" w:color="auto" w:fill="F1F3F7"/>
          </w:tcPr>
          <w:p>
            <w:r/>
            <w:r>
              <w:rPr>
                <w:b w:val="0"/>
                <w:i w:val="0"/>
                <w:sz w:val="15"/>
              </w:rPr>
              <w:t>—</w:t>
            </w:r>
          </w:p>
        </w:tc>
        <w:tc>
          <w:tcPr>
            <w:tcW w:type="dxa" w:w="1257"/>
            <w:shd w:val="clear" w:color="auto" w:fill="F1F3F7"/>
          </w:tcPr>
          <w:p>
            <w:r/>
            <w:r>
              <w:rPr>
                <w:b w:val="0"/>
                <w:i w:val="0"/>
                <w:sz w:val="15"/>
              </w:rPr>
              <w:t>—</w:t>
            </w:r>
          </w:p>
        </w:tc>
        <w:tc>
          <w:tcPr>
            <w:tcW w:type="dxa" w:w="1934"/>
            <w:shd w:val="clear" w:color="auto" w:fill="F1F3F7"/>
          </w:tcPr>
          <w:p>
            <w:r/>
            <w:r>
              <w:rPr>
                <w:b w:val="0"/>
                <w:i w:val="0"/>
                <w:sz w:val="15"/>
              </w:rPr>
              <w:t>Maintained despite NI -67%</w:t>
            </w:r>
          </w:p>
        </w:tc>
      </w:tr>
      <w:tr>
        <w:tc>
          <w:tcPr>
            <w:tcW w:type="dxa" w:w="1064"/>
          </w:tcPr>
          <w:p>
            <w:r/>
            <w:r>
              <w:rPr>
                <w:b w:val="0"/>
                <w:i w:val="0"/>
                <w:sz w:val="15"/>
              </w:rPr>
              <w:t>FY3/26</w:t>
            </w:r>
          </w:p>
        </w:tc>
        <w:tc>
          <w:tcPr>
            <w:tcW w:type="dxa" w:w="1161"/>
          </w:tcPr>
          <w:p>
            <w:r/>
            <w:r>
              <w:rPr>
                <w:b w:val="0"/>
                <w:i w:val="0"/>
                <w:sz w:val="15"/>
              </w:rPr>
              <w:t>110</w:t>
            </w:r>
          </w:p>
        </w:tc>
        <w:tc>
          <w:tcPr>
            <w:tcW w:type="dxa" w:w="1547"/>
          </w:tcPr>
          <w:p>
            <w:r/>
            <w:r>
              <w:rPr>
                <w:b w:val="0"/>
                <w:i w:val="0"/>
                <w:sz w:val="15"/>
              </w:rPr>
              <w:t>45.3% (DOE 3.47%)</w:t>
            </w:r>
          </w:p>
        </w:tc>
        <w:tc>
          <w:tcPr>
            <w:tcW w:type="dxa" w:w="2901"/>
          </w:tcPr>
          <w:p>
            <w:r/>
            <w:r>
              <w:rPr>
                <w:b w:val="0"/>
                <w:i w:val="0"/>
                <w:sz w:val="15"/>
              </w:rPr>
              <w:t>Up to ¥20bn / 8m shares (4.7%), announced 28 Apr 2025; completed Aug 2025</w:t>
            </w:r>
          </w:p>
        </w:tc>
        <w:tc>
          <w:tcPr>
            <w:tcW w:type="dxa" w:w="1257"/>
          </w:tcPr>
          <w:p>
            <w:r/>
            <w:r>
              <w:rPr>
                <w:b w:val="0"/>
                <w:i w:val="0"/>
                <w:sz w:val="15"/>
              </w:rPr>
              <w:t>Cancelled (2025)</w:t>
            </w:r>
          </w:p>
        </w:tc>
        <w:tc>
          <w:tcPr>
            <w:tcW w:type="dxa" w:w="1934"/>
          </w:tcPr>
          <w:p>
            <w:r/>
            <w:r>
              <w:rPr>
                <w:b w:val="0"/>
                <w:i w:val="0"/>
                <w:sz w:val="15"/>
              </w:rPr>
              <w:t>First large buyback</w:t>
            </w:r>
          </w:p>
        </w:tc>
      </w:tr>
      <w:tr>
        <w:tc>
          <w:tcPr>
            <w:tcW w:type="dxa" w:w="1064"/>
            <w:shd w:val="clear" w:color="auto" w:fill="F1F3F7"/>
          </w:tcPr>
          <w:p>
            <w:r/>
            <w:r>
              <w:rPr>
                <w:b w:val="0"/>
                <w:i w:val="0"/>
                <w:sz w:val="15"/>
              </w:rPr>
              <w:t>FY3/27E</w:t>
            </w:r>
          </w:p>
        </w:tc>
        <w:tc>
          <w:tcPr>
            <w:tcW w:type="dxa" w:w="1161"/>
            <w:shd w:val="clear" w:color="auto" w:fill="F1F3F7"/>
          </w:tcPr>
          <w:p>
            <w:r/>
            <w:r>
              <w:rPr>
                <w:b w:val="0"/>
                <w:i w:val="0"/>
                <w:sz w:val="15"/>
              </w:rPr>
              <w:t>120 (¥60 + ¥60)</w:t>
            </w:r>
          </w:p>
        </w:tc>
        <w:tc>
          <w:tcPr>
            <w:tcW w:type="dxa" w:w="1547"/>
            <w:shd w:val="clear" w:color="auto" w:fill="F1F3F7"/>
          </w:tcPr>
          <w:p>
            <w:r/>
            <w:r>
              <w:rPr>
                <w:b w:val="0"/>
                <w:i w:val="0"/>
                <w:sz w:val="15"/>
              </w:rPr>
              <w:t>~43%</w:t>
            </w:r>
          </w:p>
        </w:tc>
        <w:tc>
          <w:tcPr>
            <w:tcW w:type="dxa" w:w="2901"/>
            <w:shd w:val="clear" w:color="auto" w:fill="F1F3F7"/>
          </w:tcPr>
          <w:p>
            <w:r/>
            <w:r>
              <w:rPr>
                <w:b w:val="0"/>
                <w:i w:val="0"/>
                <w:sz w:val="15"/>
              </w:rPr>
              <w:t>Announced Apr 2026 (size unverified; one source: up to 7.5m shares / ¥13bn)</w:t>
            </w:r>
          </w:p>
        </w:tc>
        <w:tc>
          <w:tcPr>
            <w:tcW w:type="dxa" w:w="1257"/>
            <w:shd w:val="clear" w:color="auto" w:fill="F1F3F7"/>
          </w:tcPr>
          <w:p>
            <w:r/>
            <w:r>
              <w:rPr>
                <w:b w:val="0"/>
                <w:i w:val="0"/>
                <w:sz w:val="15"/>
              </w:rPr>
              <w:t>n/d</w:t>
            </w:r>
          </w:p>
        </w:tc>
        <w:tc>
          <w:tcPr>
            <w:tcW w:type="dxa" w:w="1934"/>
            <w:shd w:val="clear" w:color="auto" w:fill="F1F3F7"/>
          </w:tcPr>
          <w:p>
            <w:r/>
            <w:r>
              <w:rPr>
                <w:b w:val="0"/>
                <w:i w:val="0"/>
                <w:sz w:val="15"/>
              </w:rPr>
              <w:t>Policy: payout ≥40%, progressive</w:t>
            </w:r>
          </w:p>
        </w:tc>
      </w:tr>
    </w:tbl>
    <w:p>
      <w:r>
        <w:rPr>
          <w:b w:val="0"/>
          <w:i/>
          <w:color w:val="5E6878"/>
          <w:sz w:val="14"/>
        </w:rPr>
        <w:t>Treasury shares: issued ~169.6m vs ~164.4m outstanding implies ~5m held (e). (e) items to be verified against TOTO's shareholder-return page and tanshin.</w:t>
      </w:r>
    </w:p>
    <w:p>
      <w:pPr>
        <w:pStyle w:val="Heading1"/>
      </w:pPr>
      <w:r>
        <w:t>20. Adversarial Deep Dive: Bull, Bear, Pre-Mortem, Contrarian View</w:t>
      </w:r>
    </w:p>
    <w:p>
      <w:pPr>
        <w:pStyle w:val="Heading2"/>
      </w:pPr>
      <w:r>
        <w:t>20.1 Bull case</w:t>
      </w:r>
    </w:p>
    <w:p>
      <w:pPr>
        <w:pStyle w:val="ListBullet"/>
        <w:spacing w:after="20"/>
      </w:pPr>
      <w:r>
        <w:rPr>
          <w:b/>
          <w:i w:val="0"/>
        </w:rPr>
        <w:t>Moat sustainability:</w:t>
      </w:r>
      <w:r>
        <w:rPr>
          <w:b w:val="0"/>
          <w:i w:val="0"/>
        </w:rPr>
        <w:t xml:space="preserve"> ESCs are process-of-record parts; requalification takes 12–24 months and risks yield. TOTO's 35+ years with Lam create a co-design loop; Palliser cites a ~5-year lead in cryo-ESC.</w:t>
      </w:r>
    </w:p>
    <w:p>
      <w:pPr>
        <w:pStyle w:val="ListBullet"/>
        <w:spacing w:after="20"/>
      </w:pPr>
      <w:r>
        <w:rPr>
          <w:b/>
          <w:i w:val="0"/>
        </w:rPr>
        <w:t>Growth levers:</w:t>
      </w:r>
      <w:r>
        <w:rPr>
          <w:b w:val="0"/>
          <w:i w:val="0"/>
        </w:rPr>
        <w:t xml:space="preserve"> NAND layer race (cryo-etch is the only economic path beyond ~300 layers), logic AD-coated parts (1nm-era R&amp;D), replacement annuity, capacity +20% (Jan 2027) then more; US Washlet; China break-even; Dec 2026 price rise.</w:t>
      </w:r>
    </w:p>
    <w:p>
      <w:pPr>
        <w:pStyle w:val="ListBullet"/>
        <w:spacing w:after="20"/>
      </w:pPr>
      <w:r>
        <w:rPr>
          <w:b/>
          <w:i w:val="0"/>
        </w:rPr>
        <w:t>Earnings surprise potential:</w:t>
      </w:r>
      <w:r>
        <w:rPr>
          <w:b w:val="0"/>
          <w:i w:val="0"/>
        </w:rPr>
        <w:t xml:space="preserve"> FY3/28E EPS could reach ¥380–400 if ceramics hits ¥100bn+ and the price rise sticks (~+10% vs consensus).</w:t>
      </w:r>
    </w:p>
    <w:p>
      <w:pPr>
        <w:pStyle w:val="ListBullet"/>
        <w:spacing w:after="20"/>
      </w:pPr>
      <w:r>
        <w:rPr>
          <w:b/>
          <w:i w:val="0"/>
        </w:rPr>
        <w:t>Capital allocation:</w:t>
      </w:r>
      <w:r>
        <w:rPr>
          <w:b w:val="0"/>
          <w:i w:val="0"/>
        </w:rPr>
        <w:t xml:space="preserve"> ¥200bn of returnable capital (excess equity, cross-holdings, cash) could fund ~20% of market cap in buybacks over 3–4 years.</w:t>
      </w:r>
    </w:p>
    <w:p>
      <w:pPr>
        <w:pStyle w:val="Heading2"/>
      </w:pPr>
      <w:r>
        <w:t>20.2 Bear case</w:t>
      </w:r>
    </w:p>
    <w:p>
      <w:pPr>
        <w:pStyle w:val="ListBullet"/>
        <w:spacing w:after="20"/>
      </w:pPr>
      <w:r>
        <w:rPr>
          <w:b/>
          <w:i w:val="0"/>
        </w:rPr>
        <w:t>1. Memory capex downturn (permanent-impairment risk: medium).</w:t>
      </w:r>
      <w:r>
        <w:rPr>
          <w:b w:val="0"/>
          <w:i w:val="0"/>
        </w:rPr>
        <w:t xml:space="preserve"> FY3/24 showed ceramics OP can fall ~35%; at peak margins, a 2027–28 NAND digestion would cut group OP by ~20% and the multiple simultaneously.</w:t>
      </w:r>
    </w:p>
    <w:p>
      <w:pPr>
        <w:pStyle w:val="ListBullet"/>
        <w:spacing w:after="20"/>
      </w:pPr>
      <w:r>
        <w:rPr>
          <w:b/>
          <w:i w:val="0"/>
        </w:rPr>
        <w:t>2. Customer/technology displacement.</w:t>
      </w:r>
      <w:r>
        <w:rPr>
          <w:b w:val="0"/>
          <w:i w:val="0"/>
        </w:rPr>
        <w:t xml:space="preserve"> Lam is the dominant customer; TEL's cryogenic etch, Lam dual-sourcing (NGK, Kyocera, in-house) or a shift to non-cryo architectures would permanently impair the segment's economics.</w:t>
      </w:r>
    </w:p>
    <w:p>
      <w:pPr>
        <w:pStyle w:val="ListBullet"/>
        <w:spacing w:after="20"/>
      </w:pPr>
      <w:r>
        <w:rPr>
          <w:b/>
          <w:i w:val="0"/>
        </w:rPr>
        <w:t>3. Housing structural decline.</w:t>
      </w:r>
      <w:r>
        <w:rPr>
          <w:b w:val="0"/>
          <w:i w:val="0"/>
        </w:rPr>
        <w:t xml:space="preserve"> Japan starts falling toward ~600k, labour shortages and Chinese competitors overseas could keep housing margins at ~3–4% indefinitely — and the housing business is still ~90% of capital employed.</w:t>
      </w:r>
    </w:p>
    <w:p>
      <w:pPr>
        <w:pStyle w:val="ListBullet"/>
        <w:spacing w:after="20"/>
      </w:pPr>
      <w:r>
        <w:rPr>
          <w:b/>
          <w:i w:val="0"/>
        </w:rPr>
        <w:t>High expectations?</w:t>
      </w:r>
      <w:r>
        <w:rPr>
          <w:b w:val="0"/>
          <w:i w:val="0"/>
        </w:rPr>
        <w:t xml:space="preserve"> Consensus EPS (~¥295 FY3/27) is above guidance (¥280) after a Q1 miss; the share price at ¥9,500 discounted ~30x FY3/28E. At ¥6,097 expectations are lower but not washed out (21.8x FY3/27E).</w:t>
      </w:r>
    </w:p>
    <w:p>
      <w:pPr>
        <w:pStyle w:val="Heading2"/>
      </w:pPr>
      <w:r>
        <w:t>20.3 Pre-mortem: "It is October 2027 and TOTO is ¥3,800 — what happened?"</w:t>
      </w:r>
    </w:p>
    <w:p>
      <w:pPr>
        <w:pStyle w:val="ListBullet"/>
        <w:spacing w:after="20"/>
      </w:pPr>
      <w:r>
        <w:rPr>
          <w:b w:val="0"/>
          <w:i w:val="0"/>
        </w:rPr>
        <w:t>H1 FY3/27 confirmed ceramics stagnation, not timing; Lam guided NAND customers to pause after 2026 pull-forward.</w:t>
      </w:r>
    </w:p>
    <w:p>
      <w:pPr>
        <w:pStyle w:val="ListBullet"/>
        <w:spacing w:after="20"/>
      </w:pPr>
      <w:r>
        <w:rPr>
          <w:b w:val="0"/>
          <w:i w:val="0"/>
        </w:rPr>
        <w:t>The Dec 2026 price rise triggered share loss to LIXIL/Panasonic and a Q4 volume air-pocket; Japan housing OP fell below ¥15bn.</w:t>
      </w:r>
    </w:p>
    <w:p>
      <w:pPr>
        <w:pStyle w:val="ListBullet"/>
        <w:spacing w:after="20"/>
      </w:pPr>
      <w:r>
        <w:rPr>
          <w:b w:val="0"/>
          <w:i w:val="0"/>
        </w:rPr>
        <w:t>China break-even slipped again; another impairment was taken.</w:t>
      </w:r>
    </w:p>
    <w:p>
      <w:pPr>
        <w:pStyle w:val="ListBullet"/>
        <w:spacing w:after="20"/>
      </w:pPr>
      <w:r>
        <w:rPr>
          <w:b w:val="0"/>
          <w:i w:val="0"/>
        </w:rPr>
        <w:t>STAGE3 (Apr 2027) focused on capex and ¥1tn sales, with no ROE or buyback target; Palliser exited; the stock de-rated to a housing multiple (~14x P/E on ~¥270 EPS).</w:t>
      </w:r>
    </w:p>
    <w:p>
      <w:pPr>
        <w:pStyle w:val="Heading2"/>
      </w:pPr>
      <w:r>
        <w:t>20.4 Are multiples too high?</w:t>
      </w:r>
    </w:p>
    <w:p>
      <w:pPr>
        <w:spacing w:after="80"/>
      </w:pPr>
      <w:r>
        <w:rPr>
          <w:b w:val="0"/>
          <w:i w:val="0"/>
        </w:rPr>
        <w:t>On consolidated metrics, yes (regression: ~50% premium to margin-implied EV/Sales; 21.8x FY3/27E P/E vs ~14x for Japanese housing peers). On SOTP, no: housing at peer multiples leaves ceramics at ~15x FY3/28E EBIT. The question is therefore not "is TOTO expensive" but "is the ceramics growth durable" — a cyclical-semiconductor question being underwritten by investors who mostly own TOTO as a defensive housing name.</w:t>
      </w:r>
    </w:p>
    <w:p>
      <w:pPr>
        <w:pStyle w:val="Heading2"/>
      </w:pPr>
      <w:r>
        <w:t>20.5 Contrarian view: what the market refuses to see</w:t>
      </w:r>
    </w:p>
    <w:tbl>
      <w:tblPr>
        <w:tblW w:type="auto" w:w="0"/>
        <w:tblLook w:firstColumn="1" w:firstRow="1" w:lastColumn="0" w:lastRow="0" w:noHBand="0" w:noVBand="1" w:val="04A0"/>
      </w:tblPr>
      <w:tblGrid>
        <w:gridCol w:w="9866"/>
      </w:tblGrid>
      <w:tr>
        <w:tc>
          <w:tcPr>
            <w:tcW w:type="dxa" w:w="9866"/>
            <w:shd w:val="clear" w:color="auto" w:fill="2B3A55"/>
          </w:tcPr>
          <w:p>
            <w:r/>
            <w:r>
              <w:rPr>
                <w:b/>
                <w:i w:val="0"/>
                <w:color w:val="FFFFFF"/>
                <w:sz w:val="18"/>
              </w:rPr>
              <w:t>The market is debating ceramics growth; it is ignoring the housing optionality and the balance sheet.</w:t>
            </w:r>
            <w:r>
              <w:rPr>
                <w:b w:val="0"/>
                <w:i w:val="0"/>
                <w:color w:val="FFFFFF"/>
                <w:sz w:val="18"/>
              </w:rPr>
              <w:t xml:space="preserve"> Housing earned ~¥31bn of OP in FY3/25 even with China losing money; China at break-even plus the largest Japan price increase in a decade could add ~¥12–15bn of OP by FY3/28 — worth ~¥700/share at 9x — and that is not cyclical semiconductor exposure. Meanwhile ~¥200bn of excess capital is a call option on Japanese governance reform. Even if ceramics stalls, the downside is cushioned by self-help that the momentum-driven sell-off in August ignored.</w:t>
            </w:r>
          </w:p>
        </w:tc>
      </w:tr>
    </w:tbl>
    <w:p/>
    <w:p>
      <w:pPr>
        <w:pStyle w:val="Heading1"/>
      </w:pPr>
      <w:r>
        <w:t>21. Scenario Analysis</w:t>
      </w:r>
    </w:p>
    <w:tbl>
      <w:tblPr>
        <w:tblStyle w:val="TableGrid"/>
        <w:tblW w:type="auto" w:w="0"/>
        <w:jc w:val="center"/>
        <w:tblLayout w:type="fixed"/>
        <w:tblLook w:firstColumn="1" w:firstRow="1" w:lastColumn="0" w:lastRow="0" w:noHBand="0" w:noVBand="1" w:val="04A0"/>
      </w:tblPr>
      <w:tblGrid>
        <w:gridCol w:w="1233"/>
        <w:gridCol w:w="1233"/>
        <w:gridCol w:w="1233"/>
        <w:gridCol w:w="1233"/>
        <w:gridCol w:w="1233"/>
        <w:gridCol w:w="1233"/>
        <w:gridCol w:w="1233"/>
        <w:gridCol w:w="1233"/>
      </w:tblGrid>
      <w:tr>
        <w:tc>
          <w:tcPr>
            <w:tcW w:type="dxa" w:w="1448"/>
            <w:shd w:val="clear" w:color="auto" w:fill="16243D"/>
          </w:tcPr>
          <w:p>
            <w:r/>
            <w:r>
              <w:rPr>
                <w:b/>
                <w:i w:val="0"/>
                <w:color w:val="FFFFFF"/>
                <w:sz w:val="15"/>
              </w:rPr>
              <w:t>Scenario (prob.)</w:t>
            </w:r>
          </w:p>
        </w:tc>
        <w:tc>
          <w:tcPr>
            <w:tcW w:type="dxa" w:w="1448"/>
            <w:shd w:val="clear" w:color="auto" w:fill="16243D"/>
          </w:tcPr>
          <w:p>
            <w:r/>
            <w:r>
              <w:rPr>
                <w:b/>
                <w:i w:val="0"/>
                <w:color w:val="FFFFFF"/>
                <w:sz w:val="15"/>
              </w:rPr>
              <w:t>Ceramics sales FY3/29E</w:t>
            </w:r>
          </w:p>
        </w:tc>
        <w:tc>
          <w:tcPr>
            <w:tcW w:type="dxa" w:w="905"/>
            <w:shd w:val="clear" w:color="auto" w:fill="16243D"/>
          </w:tcPr>
          <w:p>
            <w:r/>
            <w:r>
              <w:rPr>
                <w:b/>
                <w:i w:val="0"/>
                <w:color w:val="FFFFFF"/>
                <w:sz w:val="15"/>
              </w:rPr>
              <w:t>Ceramics margin</w:t>
            </w:r>
          </w:p>
        </w:tc>
        <w:tc>
          <w:tcPr>
            <w:tcW w:type="dxa" w:w="1177"/>
            <w:shd w:val="clear" w:color="auto" w:fill="16243D"/>
          </w:tcPr>
          <w:p>
            <w:r/>
            <w:r>
              <w:rPr>
                <w:b/>
                <w:i w:val="0"/>
                <w:color w:val="FFFFFF"/>
                <w:sz w:val="15"/>
              </w:rPr>
              <w:t>Housing OP FY3/29E</w:t>
            </w:r>
          </w:p>
        </w:tc>
        <w:tc>
          <w:tcPr>
            <w:tcW w:type="dxa" w:w="1086"/>
            <w:shd w:val="clear" w:color="auto" w:fill="16243D"/>
          </w:tcPr>
          <w:p>
            <w:r/>
            <w:r>
              <w:rPr>
                <w:b/>
                <w:i w:val="0"/>
                <w:color w:val="FFFFFF"/>
                <w:sz w:val="15"/>
              </w:rPr>
              <w:t>Group EPS FY3/29E</w:t>
            </w:r>
          </w:p>
        </w:tc>
        <w:tc>
          <w:tcPr>
            <w:tcW w:type="dxa" w:w="1991"/>
            <w:shd w:val="clear" w:color="auto" w:fill="16243D"/>
          </w:tcPr>
          <w:p>
            <w:r/>
            <w:r>
              <w:rPr>
                <w:b/>
                <w:i w:val="0"/>
                <w:color w:val="FFFFFF"/>
                <w:sz w:val="15"/>
              </w:rPr>
              <w:t>Multiple</w:t>
            </w:r>
          </w:p>
        </w:tc>
        <w:tc>
          <w:tcPr>
            <w:tcW w:type="dxa" w:w="1086"/>
            <w:shd w:val="clear" w:color="auto" w:fill="16243D"/>
          </w:tcPr>
          <w:p>
            <w:r/>
            <w:r>
              <w:rPr>
                <w:b/>
                <w:i w:val="0"/>
                <w:color w:val="FFFFFF"/>
                <w:sz w:val="15"/>
              </w:rPr>
              <w:t>Value / share</w:t>
            </w:r>
          </w:p>
        </w:tc>
        <w:tc>
          <w:tcPr>
            <w:tcW w:type="dxa" w:w="724"/>
            <w:shd w:val="clear" w:color="auto" w:fill="16243D"/>
          </w:tcPr>
          <w:p>
            <w:r/>
            <w:r>
              <w:rPr>
                <w:b/>
                <w:i w:val="0"/>
                <w:color w:val="FFFFFF"/>
                <w:sz w:val="15"/>
              </w:rPr>
              <w:t>vs price</w:t>
            </w:r>
          </w:p>
        </w:tc>
      </w:tr>
      <w:tr>
        <w:tc>
          <w:tcPr>
            <w:tcW w:type="dxa" w:w="1448"/>
          </w:tcPr>
          <w:p>
            <w:r/>
            <w:r>
              <w:rPr>
                <w:b/>
                <w:i w:val="0"/>
                <w:sz w:val="15"/>
              </w:rPr>
              <w:t>Bull (25%)</w:t>
            </w:r>
          </w:p>
        </w:tc>
        <w:tc>
          <w:tcPr>
            <w:tcW w:type="dxa" w:w="1448"/>
          </w:tcPr>
          <w:p>
            <w:r/>
            <w:r>
              <w:rPr>
                <w:b w:val="0"/>
                <w:i w:val="0"/>
                <w:sz w:val="15"/>
              </w:rPr>
              <w:t>¥125bn (+23% CAGR)</w:t>
            </w:r>
          </w:p>
        </w:tc>
        <w:tc>
          <w:tcPr>
            <w:tcW w:type="dxa" w:w="905"/>
          </w:tcPr>
          <w:p>
            <w:r/>
            <w:r>
              <w:rPr>
                <w:b w:val="0"/>
                <w:i w:val="0"/>
                <w:sz w:val="15"/>
              </w:rPr>
              <w:t>44%</w:t>
            </w:r>
          </w:p>
        </w:tc>
        <w:tc>
          <w:tcPr>
            <w:tcW w:type="dxa" w:w="1177"/>
          </w:tcPr>
          <w:p>
            <w:r/>
            <w:r>
              <w:rPr>
                <w:b w:val="0"/>
                <w:i w:val="0"/>
                <w:sz w:val="15"/>
              </w:rPr>
              <w:t>¥50bn</w:t>
            </w:r>
          </w:p>
        </w:tc>
        <w:tc>
          <w:tcPr>
            <w:tcW w:type="dxa" w:w="1086"/>
          </w:tcPr>
          <w:p>
            <w:r/>
            <w:r>
              <w:rPr>
                <w:b w:val="0"/>
                <w:i w:val="0"/>
                <w:sz w:val="15"/>
              </w:rPr>
              <w:t>~¥470</w:t>
            </w:r>
          </w:p>
        </w:tc>
        <w:tc>
          <w:tcPr>
            <w:tcW w:type="dxa" w:w="1991"/>
          </w:tcPr>
          <w:p>
            <w:r/>
            <w:r>
              <w:rPr>
                <w:b w:val="0"/>
                <w:i w:val="0"/>
                <w:sz w:val="15"/>
              </w:rPr>
              <w:t>Ceramics 22x EBIT; housing 12x</w:t>
            </w:r>
          </w:p>
        </w:tc>
        <w:tc>
          <w:tcPr>
            <w:tcW w:type="dxa" w:w="1086"/>
          </w:tcPr>
          <w:p>
            <w:r/>
            <w:r>
              <w:rPr>
                <w:b/>
                <w:i w:val="0"/>
                <w:sz w:val="15"/>
              </w:rPr>
              <w:t>~¥10,000</w:t>
            </w:r>
          </w:p>
        </w:tc>
        <w:tc>
          <w:tcPr>
            <w:tcW w:type="dxa" w:w="724"/>
          </w:tcPr>
          <w:p>
            <w:r/>
            <w:r>
              <w:rPr>
                <w:b w:val="0"/>
                <w:i w:val="0"/>
                <w:sz w:val="15"/>
              </w:rPr>
              <w:t>+64%</w:t>
            </w:r>
          </w:p>
        </w:tc>
      </w:tr>
      <w:tr>
        <w:tc>
          <w:tcPr>
            <w:tcW w:type="dxa" w:w="1448"/>
            <w:shd w:val="clear" w:color="auto" w:fill="F1F3F7"/>
          </w:tcPr>
          <w:p>
            <w:r/>
            <w:r>
              <w:rPr>
                <w:b/>
                <w:i w:val="0"/>
                <w:sz w:val="15"/>
              </w:rPr>
              <w:t>Base (50%)</w:t>
            </w:r>
          </w:p>
        </w:tc>
        <w:tc>
          <w:tcPr>
            <w:tcW w:type="dxa" w:w="1448"/>
            <w:shd w:val="clear" w:color="auto" w:fill="F1F3F7"/>
          </w:tcPr>
          <w:p>
            <w:r/>
            <w:r>
              <w:rPr>
                <w:b w:val="0"/>
                <w:i w:val="0"/>
                <w:sz w:val="15"/>
              </w:rPr>
              <w:t>¥110bn (+18% CAGR)</w:t>
            </w:r>
          </w:p>
        </w:tc>
        <w:tc>
          <w:tcPr>
            <w:tcW w:type="dxa" w:w="905"/>
            <w:shd w:val="clear" w:color="auto" w:fill="F1F3F7"/>
          </w:tcPr>
          <w:p>
            <w:r/>
            <w:r>
              <w:rPr>
                <w:b w:val="0"/>
                <w:i w:val="0"/>
                <w:sz w:val="15"/>
              </w:rPr>
              <w:t>42%</w:t>
            </w:r>
          </w:p>
        </w:tc>
        <w:tc>
          <w:tcPr>
            <w:tcW w:type="dxa" w:w="1177"/>
            <w:shd w:val="clear" w:color="auto" w:fill="F1F3F7"/>
          </w:tcPr>
          <w:p>
            <w:r/>
            <w:r>
              <w:rPr>
                <w:b w:val="0"/>
                <w:i w:val="0"/>
                <w:sz w:val="15"/>
              </w:rPr>
              <w:t>¥41bn (FY28)</w:t>
            </w:r>
          </w:p>
        </w:tc>
        <w:tc>
          <w:tcPr>
            <w:tcW w:type="dxa" w:w="1086"/>
            <w:shd w:val="clear" w:color="auto" w:fill="F1F3F7"/>
          </w:tcPr>
          <w:p>
            <w:r/>
            <w:r>
              <w:rPr>
                <w:b w:val="0"/>
                <w:i w:val="0"/>
                <w:sz w:val="15"/>
              </w:rPr>
              <w:t>~¥396</w:t>
            </w:r>
          </w:p>
        </w:tc>
        <w:tc>
          <w:tcPr>
            <w:tcW w:type="dxa" w:w="1991"/>
            <w:shd w:val="clear" w:color="auto" w:fill="F1F3F7"/>
          </w:tcPr>
          <w:p>
            <w:r/>
            <w:r>
              <w:rPr>
                <w:b w:val="0"/>
                <w:i w:val="0"/>
                <w:sz w:val="15"/>
              </w:rPr>
              <w:t>SOTP: 18x / 9x (FY3/28E)</w:t>
            </w:r>
          </w:p>
        </w:tc>
        <w:tc>
          <w:tcPr>
            <w:tcW w:type="dxa" w:w="1086"/>
            <w:shd w:val="clear" w:color="auto" w:fill="F1F3F7"/>
          </w:tcPr>
          <w:p>
            <w:r/>
            <w:r>
              <w:rPr>
                <w:b/>
                <w:i w:val="0"/>
                <w:sz w:val="15"/>
              </w:rPr>
              <w:t>~¥7,200</w:t>
            </w:r>
          </w:p>
        </w:tc>
        <w:tc>
          <w:tcPr>
            <w:tcW w:type="dxa" w:w="724"/>
            <w:shd w:val="clear" w:color="auto" w:fill="F1F3F7"/>
          </w:tcPr>
          <w:p>
            <w:r/>
            <w:r>
              <w:rPr>
                <w:b w:val="0"/>
                <w:i w:val="0"/>
                <w:sz w:val="15"/>
              </w:rPr>
              <w:t>+18%</w:t>
            </w:r>
          </w:p>
        </w:tc>
      </w:tr>
      <w:tr>
        <w:tc>
          <w:tcPr>
            <w:tcW w:type="dxa" w:w="1448"/>
          </w:tcPr>
          <w:p>
            <w:r/>
            <w:r>
              <w:rPr>
                <w:b/>
                <w:i w:val="0"/>
                <w:sz w:val="15"/>
              </w:rPr>
              <w:t>Bear (25%)</w:t>
            </w:r>
          </w:p>
        </w:tc>
        <w:tc>
          <w:tcPr>
            <w:tcW w:type="dxa" w:w="1448"/>
          </w:tcPr>
          <w:p>
            <w:r/>
            <w:r>
              <w:rPr>
                <w:b w:val="0"/>
                <w:i w:val="0"/>
                <w:sz w:val="15"/>
              </w:rPr>
              <w:t>¥60bn (flat, downturn)</w:t>
            </w:r>
          </w:p>
        </w:tc>
        <w:tc>
          <w:tcPr>
            <w:tcW w:type="dxa" w:w="905"/>
          </w:tcPr>
          <w:p>
            <w:r/>
            <w:r>
              <w:rPr>
                <w:b w:val="0"/>
                <w:i w:val="0"/>
                <w:sz w:val="15"/>
              </w:rPr>
              <w:t>35%</w:t>
            </w:r>
          </w:p>
        </w:tc>
        <w:tc>
          <w:tcPr>
            <w:tcW w:type="dxa" w:w="1177"/>
          </w:tcPr>
          <w:p>
            <w:r/>
            <w:r>
              <w:rPr>
                <w:b w:val="0"/>
                <w:i w:val="0"/>
                <w:sz w:val="15"/>
              </w:rPr>
              <w:t>¥26bn</w:t>
            </w:r>
          </w:p>
        </w:tc>
        <w:tc>
          <w:tcPr>
            <w:tcW w:type="dxa" w:w="1086"/>
          </w:tcPr>
          <w:p>
            <w:r/>
            <w:r>
              <w:rPr>
                <w:b w:val="0"/>
                <w:i w:val="0"/>
                <w:sz w:val="15"/>
              </w:rPr>
              <w:t>~¥220</w:t>
            </w:r>
          </w:p>
        </w:tc>
        <w:tc>
          <w:tcPr>
            <w:tcW w:type="dxa" w:w="1991"/>
          </w:tcPr>
          <w:p>
            <w:r/>
            <w:r>
              <w:rPr>
                <w:b w:val="0"/>
                <w:i w:val="0"/>
                <w:sz w:val="15"/>
              </w:rPr>
              <w:t>Ceramics 12x; housing 8x; P/E ~16x</w:t>
            </w:r>
          </w:p>
        </w:tc>
        <w:tc>
          <w:tcPr>
            <w:tcW w:type="dxa" w:w="1086"/>
          </w:tcPr>
          <w:p>
            <w:r/>
            <w:r>
              <w:rPr>
                <w:b/>
                <w:i w:val="0"/>
                <w:sz w:val="15"/>
              </w:rPr>
              <w:t>~¥3,500</w:t>
            </w:r>
          </w:p>
        </w:tc>
        <w:tc>
          <w:tcPr>
            <w:tcW w:type="dxa" w:w="724"/>
          </w:tcPr>
          <w:p>
            <w:r/>
            <w:r>
              <w:rPr>
                <w:b w:val="0"/>
                <w:i w:val="0"/>
                <w:sz w:val="15"/>
              </w:rPr>
              <w:t>-43%</w:t>
            </w:r>
          </w:p>
        </w:tc>
      </w:tr>
      <w:tr>
        <w:tc>
          <w:tcPr>
            <w:tcW w:type="dxa" w:w="1448"/>
            <w:shd w:val="clear" w:color="auto" w:fill="F1F3F7"/>
          </w:tcPr>
          <w:p>
            <w:r/>
            <w:r>
              <w:rPr>
                <w:b/>
                <w:i w:val="0"/>
                <w:sz w:val="15"/>
              </w:rPr>
              <w:t>Probability-weighted</w:t>
            </w:r>
          </w:p>
        </w:tc>
        <w:tc>
          <w:tcPr>
            <w:tcW w:type="dxa" w:w="1448"/>
            <w:shd w:val="clear" w:color="auto" w:fill="F1F3F7"/>
          </w:tcPr>
          <w:p>
            <w:r/>
          </w:p>
        </w:tc>
        <w:tc>
          <w:tcPr>
            <w:tcW w:type="dxa" w:w="905"/>
            <w:shd w:val="clear" w:color="auto" w:fill="F1F3F7"/>
          </w:tcPr>
          <w:p>
            <w:r/>
          </w:p>
        </w:tc>
        <w:tc>
          <w:tcPr>
            <w:tcW w:type="dxa" w:w="1177"/>
            <w:shd w:val="clear" w:color="auto" w:fill="F1F3F7"/>
          </w:tcPr>
          <w:p>
            <w:r/>
          </w:p>
        </w:tc>
        <w:tc>
          <w:tcPr>
            <w:tcW w:type="dxa" w:w="1086"/>
            <w:shd w:val="clear" w:color="auto" w:fill="F1F3F7"/>
          </w:tcPr>
          <w:p>
            <w:r/>
          </w:p>
        </w:tc>
        <w:tc>
          <w:tcPr>
            <w:tcW w:type="dxa" w:w="1991"/>
            <w:shd w:val="clear" w:color="auto" w:fill="F1F3F7"/>
          </w:tcPr>
          <w:p>
            <w:r/>
          </w:p>
        </w:tc>
        <w:tc>
          <w:tcPr>
            <w:tcW w:type="dxa" w:w="1086"/>
            <w:shd w:val="clear" w:color="auto" w:fill="F1F3F7"/>
          </w:tcPr>
          <w:p>
            <w:r/>
            <w:r>
              <w:rPr>
                <w:b/>
                <w:i w:val="0"/>
                <w:sz w:val="15"/>
              </w:rPr>
              <w:t>~¥6,975</w:t>
            </w:r>
          </w:p>
        </w:tc>
        <w:tc>
          <w:tcPr>
            <w:tcW w:type="dxa" w:w="724"/>
            <w:shd w:val="clear" w:color="auto" w:fill="F1F3F7"/>
          </w:tcPr>
          <w:p>
            <w:r/>
            <w:r>
              <w:rPr>
                <w:b/>
                <w:i w:val="0"/>
                <w:sz w:val="15"/>
              </w:rPr>
              <w:t>+14%</w:t>
            </w:r>
          </w:p>
        </w:tc>
      </w:tr>
    </w:tbl>
    <w:p/>
    <w:p>
      <w:r>
        <w:drawing>
          <wp:inline xmlns:a="http://schemas.openxmlformats.org/drawingml/2006/main" xmlns:pic="http://schemas.openxmlformats.org/drawingml/2006/picture">
            <wp:extent cx="5950799" cy="2104551"/>
            <wp:docPr id="6" name="Picture 6"/>
            <wp:cNvGraphicFramePr>
              <a:graphicFrameLocks noChangeAspect="1"/>
            </wp:cNvGraphicFramePr>
            <a:graphic>
              <a:graphicData uri="http://schemas.openxmlformats.org/drawingml/2006/picture">
                <pic:pic>
                  <pic:nvPicPr>
                    <pic:cNvPr id="0" name="football.png"/>
                    <pic:cNvPicPr/>
                  </pic:nvPicPr>
                  <pic:blipFill>
                    <a:blip r:embed="rId15"/>
                    <a:stretch>
                      <a:fillRect/>
                    </a:stretch>
                  </pic:blipFill>
                  <pic:spPr>
                    <a:xfrm>
                      <a:off x="0" y="0"/>
                      <a:ext cx="5950799" cy="2104551"/>
                    </a:xfrm>
                    <a:prstGeom prst="rect"/>
                  </pic:spPr>
                </pic:pic>
              </a:graphicData>
            </a:graphic>
          </wp:inline>
        </w:drawing>
      </w:r>
    </w:p>
    <w:p>
      <w:r>
        <w:rPr>
          <w:b w:val="0"/>
          <w:i/>
          <w:color w:val="5E6878"/>
          <w:sz w:val="14"/>
        </w:rPr>
        <w:t>Valuation range ("football field"), JPY per share.</w:t>
      </w:r>
    </w:p>
    <w:p>
      <w:pPr>
        <w:spacing w:after="80"/>
      </w:pPr>
      <w:r>
        <w:rPr>
          <w:b/>
          <w:i w:val="0"/>
        </w:rPr>
        <w:t>Positioning implication:</w:t>
      </w:r>
      <w:r>
        <w:rPr>
          <w:b w:val="0"/>
          <w:i w:val="0"/>
        </w:rPr>
        <w:t xml:space="preserve"> the asymmetry (+64% / -43%) is acceptable but not compelling at full size; we would size as a mid-weight event-driven position into H1 results (~30 Oct 2026) and add on confirmation of ceramics re-acceleration or a STAGE3 capital-return framework.</w:t>
      </w:r>
    </w:p>
    <w:p>
      <w:pPr>
        <w:pStyle w:val="Heading1"/>
      </w:pPr>
      <w:r>
        <w:t>22. Questions for the CEO / Chairman (ordered by information value)</w:t>
      </w:r>
    </w:p>
    <w:tbl>
      <w:tblPr>
        <w:tblStyle w:val="TableGrid"/>
        <w:tblW w:type="auto" w:w="0"/>
        <w:jc w:val="center"/>
        <w:tblLayout w:type="fixed"/>
        <w:tblLook w:firstColumn="1" w:firstRow="1" w:lastColumn="0" w:lastRow="0" w:noHBand="0" w:noVBand="1" w:val="04A0"/>
      </w:tblPr>
      <w:tblGrid>
        <w:gridCol w:w="4933"/>
        <w:gridCol w:w="4933"/>
      </w:tblGrid>
      <w:tr>
        <w:tc>
          <w:tcPr>
            <w:tcW w:type="dxa" w:w="420"/>
            <w:shd w:val="clear" w:color="auto" w:fill="16243D"/>
          </w:tcPr>
          <w:p>
            <w:r/>
            <w:r>
              <w:rPr>
                <w:b/>
                <w:i w:val="0"/>
                <w:color w:val="FFFFFF"/>
                <w:sz w:val="15"/>
              </w:rPr>
              <w:t>#</w:t>
            </w:r>
          </w:p>
        </w:tc>
        <w:tc>
          <w:tcPr>
            <w:tcW w:type="dxa" w:w="9445"/>
            <w:shd w:val="clear" w:color="auto" w:fill="16243D"/>
          </w:tcPr>
          <w:p>
            <w:r/>
            <w:r>
              <w:rPr>
                <w:b/>
                <w:i w:val="0"/>
                <w:color w:val="FFFFFF"/>
                <w:sz w:val="15"/>
              </w:rPr>
              <w:t>Question</w:t>
            </w:r>
          </w:p>
        </w:tc>
      </w:tr>
      <w:tr>
        <w:tc>
          <w:tcPr>
            <w:tcW w:type="dxa" w:w="420"/>
          </w:tcPr>
          <w:p>
            <w:r/>
            <w:r>
              <w:rPr>
                <w:b w:val="0"/>
                <w:i w:val="0"/>
                <w:sz w:val="15"/>
              </w:rPr>
              <w:t>1</w:t>
            </w:r>
          </w:p>
        </w:tc>
        <w:tc>
          <w:tcPr>
            <w:tcW w:type="dxa" w:w="9445"/>
          </w:tcPr>
          <w:p>
            <w:r/>
            <w:r>
              <w:rPr>
                <w:b w:val="0"/>
                <w:i w:val="0"/>
                <w:sz w:val="15"/>
              </w:rPr>
              <w:t>What share of Advanced Ceramics revenue comes from Lam Research, and do you hold sole-source or dual-source positions on Lam's current cryogenic etch platforms?</w:t>
            </w:r>
          </w:p>
        </w:tc>
      </w:tr>
      <w:tr>
        <w:tc>
          <w:tcPr>
            <w:tcW w:type="dxa" w:w="420"/>
            <w:shd w:val="clear" w:color="auto" w:fill="F1F3F7"/>
          </w:tcPr>
          <w:p>
            <w:r/>
            <w:r>
              <w:rPr>
                <w:b w:val="0"/>
                <w:i w:val="0"/>
                <w:sz w:val="15"/>
              </w:rPr>
              <w:t>2</w:t>
            </w:r>
          </w:p>
        </w:tc>
        <w:tc>
          <w:tcPr>
            <w:tcW w:type="dxa" w:w="9445"/>
            <w:shd w:val="clear" w:color="auto" w:fill="F1F3F7"/>
          </w:tcPr>
          <w:p>
            <w:r/>
            <w:r>
              <w:rPr>
                <w:b w:val="0"/>
                <w:i w:val="0"/>
                <w:sz w:val="15"/>
              </w:rPr>
              <w:t>Was the Q1 FY3/27 ESC shortfall purely shipment timing — what is the H1 order intake and book-to-bill for ceramics?</w:t>
            </w:r>
          </w:p>
        </w:tc>
      </w:tr>
      <w:tr>
        <w:tc>
          <w:tcPr>
            <w:tcW w:type="dxa" w:w="420"/>
          </w:tcPr>
          <w:p>
            <w:r/>
            <w:r>
              <w:rPr>
                <w:b w:val="0"/>
                <w:i w:val="0"/>
                <w:sz w:val="15"/>
              </w:rPr>
              <w:t>3</w:t>
            </w:r>
          </w:p>
        </w:tc>
        <w:tc>
          <w:tcPr>
            <w:tcW w:type="dxa" w:w="9445"/>
          </w:tcPr>
          <w:p>
            <w:r/>
            <w:r>
              <w:rPr>
                <w:b w:val="0"/>
                <w:i w:val="0"/>
                <w:sz w:val="15"/>
              </w:rPr>
              <w:t>How do you see Tokyo Electron's cryogenic etch entry affecting your position — are you qualified, or in qualification, with TEL?</w:t>
            </w:r>
          </w:p>
        </w:tc>
      </w:tr>
      <w:tr>
        <w:tc>
          <w:tcPr>
            <w:tcW w:type="dxa" w:w="420"/>
            <w:shd w:val="clear" w:color="auto" w:fill="F1F3F7"/>
          </w:tcPr>
          <w:p>
            <w:r/>
            <w:r>
              <w:rPr>
                <w:b w:val="0"/>
                <w:i w:val="0"/>
                <w:sz w:val="15"/>
              </w:rPr>
              <w:t>4</w:t>
            </w:r>
          </w:p>
        </w:tc>
        <w:tc>
          <w:tcPr>
            <w:tcW w:type="dxa" w:w="9445"/>
            <w:shd w:val="clear" w:color="auto" w:fill="F1F3F7"/>
          </w:tcPr>
          <w:p>
            <w:r/>
            <w:r>
              <w:rPr>
                <w:b w:val="0"/>
                <w:i w:val="0"/>
                <w:sz w:val="15"/>
              </w:rPr>
              <w:t>What return-on-capital hurdle and payback do you apply to the ~¥80bn ceramics programme, and what demand visibility underwrites capacity beyond Buzen?</w:t>
            </w:r>
          </w:p>
        </w:tc>
      </w:tr>
      <w:tr>
        <w:tc>
          <w:tcPr>
            <w:tcW w:type="dxa" w:w="420"/>
          </w:tcPr>
          <w:p>
            <w:r/>
            <w:r>
              <w:rPr>
                <w:b w:val="0"/>
                <w:i w:val="0"/>
                <w:sz w:val="15"/>
              </w:rPr>
              <w:t>5</w:t>
            </w:r>
          </w:p>
        </w:tc>
        <w:tc>
          <w:tcPr>
            <w:tcW w:type="dxa" w:w="9445"/>
          </w:tcPr>
          <w:p>
            <w:r/>
            <w:r>
              <w:rPr>
                <w:b w:val="0"/>
                <w:i w:val="0"/>
                <w:sz w:val="15"/>
              </w:rPr>
              <w:t>Will the next mid-term plan (STAGE3) include explicit ROE (≥10–12%), equity-ratio and total-shareholder-return targets?</w:t>
            </w:r>
          </w:p>
        </w:tc>
      </w:tr>
      <w:tr>
        <w:tc>
          <w:tcPr>
            <w:tcW w:type="dxa" w:w="420"/>
            <w:shd w:val="clear" w:color="auto" w:fill="F1F3F7"/>
          </w:tcPr>
          <w:p>
            <w:r/>
            <w:r>
              <w:rPr>
                <w:b w:val="0"/>
                <w:i w:val="0"/>
                <w:sz w:val="15"/>
              </w:rPr>
              <w:t>6</w:t>
            </w:r>
          </w:p>
        </w:tc>
        <w:tc>
          <w:tcPr>
            <w:tcW w:type="dxa" w:w="9445"/>
            <w:shd w:val="clear" w:color="auto" w:fill="F1F3F7"/>
          </w:tcPr>
          <w:p>
            <w:r/>
            <w:r>
              <w:rPr>
                <w:b w:val="0"/>
                <w:i w:val="0"/>
                <w:sz w:val="15"/>
              </w:rPr>
              <w:t>What is your target equity ratio, and how much of the ~¥60–76bn cross-shareholding portfolio will be sold by FY3/29?</w:t>
            </w:r>
          </w:p>
        </w:tc>
      </w:tr>
      <w:tr>
        <w:tc>
          <w:tcPr>
            <w:tcW w:type="dxa" w:w="420"/>
          </w:tcPr>
          <w:p>
            <w:r/>
            <w:r>
              <w:rPr>
                <w:b w:val="0"/>
                <w:i w:val="0"/>
                <w:sz w:val="15"/>
              </w:rPr>
              <w:t>7</w:t>
            </w:r>
          </w:p>
        </w:tc>
        <w:tc>
          <w:tcPr>
            <w:tcW w:type="dxa" w:w="9445"/>
          </w:tcPr>
          <w:p>
            <w:r/>
            <w:r>
              <w:rPr>
                <w:b w:val="0"/>
                <w:i w:val="0"/>
                <w:sz w:val="15"/>
              </w:rPr>
              <w:t>Would the board consider structural options for ceramics (separate listing, tracking disclosure, minority partner) if the SOTP gap persists?</w:t>
            </w:r>
          </w:p>
        </w:tc>
      </w:tr>
      <w:tr>
        <w:tc>
          <w:tcPr>
            <w:tcW w:type="dxa" w:w="420"/>
            <w:shd w:val="clear" w:color="auto" w:fill="F1F3F7"/>
          </w:tcPr>
          <w:p>
            <w:r/>
            <w:r>
              <w:rPr>
                <w:b w:val="0"/>
                <w:i w:val="0"/>
                <w:sz w:val="15"/>
              </w:rPr>
              <w:t>8</w:t>
            </w:r>
          </w:p>
        </w:tc>
        <w:tc>
          <w:tcPr>
            <w:tcW w:type="dxa" w:w="9445"/>
            <w:shd w:val="clear" w:color="auto" w:fill="F1F3F7"/>
          </w:tcPr>
          <w:p>
            <w:r/>
            <w:r>
              <w:rPr>
                <w:b w:val="0"/>
                <w:i w:val="0"/>
                <w:sz w:val="15"/>
              </w:rPr>
              <w:t>What is your realistic early read on volume elasticity to the 1 Dec 2026 price rise, and will LIXIL and Panasonic follow?</w:t>
            </w:r>
          </w:p>
        </w:tc>
      </w:tr>
      <w:tr>
        <w:tc>
          <w:tcPr>
            <w:tcW w:type="dxa" w:w="420"/>
          </w:tcPr>
          <w:p>
            <w:r/>
            <w:r>
              <w:rPr>
                <w:b w:val="0"/>
                <w:i w:val="0"/>
                <w:sz w:val="15"/>
              </w:rPr>
              <w:t>9</w:t>
            </w:r>
          </w:p>
        </w:tc>
        <w:tc>
          <w:tcPr>
            <w:tcW w:type="dxa" w:w="9445"/>
          </w:tcPr>
          <w:p>
            <w:r/>
            <w:r>
              <w:rPr>
                <w:b w:val="0"/>
                <w:i w:val="0"/>
                <w:sz w:val="15"/>
              </w:rPr>
              <w:t>What exactly must happen for China to break even in FY3/27, and what is the remaining capital at risk there?</w:t>
            </w:r>
          </w:p>
        </w:tc>
      </w:tr>
      <w:tr>
        <w:tc>
          <w:tcPr>
            <w:tcW w:type="dxa" w:w="420"/>
            <w:shd w:val="clear" w:color="auto" w:fill="F1F3F7"/>
          </w:tcPr>
          <w:p>
            <w:r/>
            <w:r>
              <w:rPr>
                <w:b w:val="0"/>
                <w:i w:val="0"/>
                <w:sz w:val="15"/>
              </w:rPr>
              <w:t>10</w:t>
            </w:r>
          </w:p>
        </w:tc>
        <w:tc>
          <w:tcPr>
            <w:tcW w:type="dxa" w:w="9445"/>
            <w:shd w:val="clear" w:color="auto" w:fill="F1F3F7"/>
          </w:tcPr>
          <w:p>
            <w:r/>
            <w:r>
              <w:rPr>
                <w:b w:val="0"/>
                <w:i w:val="0"/>
                <w:sz w:val="15"/>
              </w:rPr>
              <w:t>How much of US Washlet/toilet supply is now tariff-exposed, and what is the margin target for the Americas once Georgia is at full utilisation?</w:t>
            </w:r>
          </w:p>
        </w:tc>
      </w:tr>
      <w:tr>
        <w:tc>
          <w:tcPr>
            <w:tcW w:type="dxa" w:w="420"/>
          </w:tcPr>
          <w:p>
            <w:r/>
            <w:r>
              <w:rPr>
                <w:b w:val="0"/>
                <w:i w:val="0"/>
                <w:sz w:val="15"/>
              </w:rPr>
              <w:t>11</w:t>
            </w:r>
          </w:p>
        </w:tc>
        <w:tc>
          <w:tcPr>
            <w:tcW w:type="dxa" w:w="9445"/>
          </w:tcPr>
          <w:p>
            <w:r/>
            <w:r>
              <w:rPr>
                <w:b w:val="0"/>
                <w:i w:val="0"/>
                <w:sz w:val="15"/>
              </w:rPr>
              <w:t>How do you allocate corporate costs between housing and ceramics, and what is the standalone ROIC of each segment?</w:t>
            </w:r>
          </w:p>
        </w:tc>
      </w:tr>
      <w:tr>
        <w:tc>
          <w:tcPr>
            <w:tcW w:type="dxa" w:w="420"/>
            <w:shd w:val="clear" w:color="auto" w:fill="F1F3F7"/>
          </w:tcPr>
          <w:p>
            <w:r/>
            <w:r>
              <w:rPr>
                <w:b w:val="0"/>
                <w:i w:val="0"/>
                <w:sz w:val="15"/>
              </w:rPr>
              <w:t>12</w:t>
            </w:r>
          </w:p>
        </w:tc>
        <w:tc>
          <w:tcPr>
            <w:tcW w:type="dxa" w:w="9445"/>
            <w:shd w:val="clear" w:color="auto" w:fill="F1F3F7"/>
          </w:tcPr>
          <w:p>
            <w:r/>
            <w:r>
              <w:rPr>
                <w:b w:val="0"/>
                <w:i w:val="0"/>
                <w:sz w:val="15"/>
              </w:rPr>
              <w:t>What is the replacement-cycle share of ceramics revenue and how resilient was it in the FY3/24 downturn?</w:t>
            </w:r>
          </w:p>
        </w:tc>
      </w:tr>
      <w:tr>
        <w:tc>
          <w:tcPr>
            <w:tcW w:type="dxa" w:w="420"/>
          </w:tcPr>
          <w:p>
            <w:r/>
            <w:r>
              <w:rPr>
                <w:b w:val="0"/>
                <w:i w:val="0"/>
                <w:sz w:val="15"/>
              </w:rPr>
              <w:t>13</w:t>
            </w:r>
          </w:p>
        </w:tc>
        <w:tc>
          <w:tcPr>
            <w:tcW w:type="dxa" w:w="9445"/>
          </w:tcPr>
          <w:p>
            <w:r/>
            <w:r>
              <w:rPr>
                <w:b w:val="0"/>
                <w:i w:val="0"/>
                <w:sz w:val="15"/>
              </w:rPr>
              <w:t>How will executive pay be linked to ROE/TSR rather than operating profit?</w:t>
            </w:r>
          </w:p>
        </w:tc>
      </w:tr>
      <w:tr>
        <w:tc>
          <w:tcPr>
            <w:tcW w:type="dxa" w:w="420"/>
            <w:shd w:val="clear" w:color="auto" w:fill="F1F3F7"/>
          </w:tcPr>
          <w:p>
            <w:r/>
            <w:r>
              <w:rPr>
                <w:b w:val="0"/>
                <w:i w:val="0"/>
                <w:sz w:val="15"/>
              </w:rPr>
              <w:t>14</w:t>
            </w:r>
          </w:p>
        </w:tc>
        <w:tc>
          <w:tcPr>
            <w:tcW w:type="dxa" w:w="9445"/>
            <w:shd w:val="clear" w:color="auto" w:fill="F1F3F7"/>
          </w:tcPr>
          <w:p>
            <w:r/>
            <w:r>
              <w:rPr>
                <w:b w:val="0"/>
                <w:i w:val="0"/>
                <w:sz w:val="15"/>
              </w:rPr>
              <w:t>Is the ¥1tn sales target for FY3/31 still the right North Star, or should the company target profit and capital efficiency instead?</w:t>
            </w:r>
          </w:p>
        </w:tc>
      </w:tr>
      <w:tr>
        <w:tc>
          <w:tcPr>
            <w:tcW w:type="dxa" w:w="420"/>
          </w:tcPr>
          <w:p>
            <w:r/>
            <w:r>
              <w:rPr>
                <w:b w:val="0"/>
                <w:i w:val="0"/>
                <w:sz w:val="15"/>
              </w:rPr>
              <w:t>15</w:t>
            </w:r>
          </w:p>
        </w:tc>
        <w:tc>
          <w:tcPr>
            <w:tcW w:type="dxa" w:w="9445"/>
          </w:tcPr>
          <w:p>
            <w:r/>
            <w:r>
              <w:rPr>
                <w:b w:val="0"/>
                <w:i w:val="0"/>
                <w:sz w:val="15"/>
              </w:rPr>
              <w:t>What is your engagement status with Palliser and other large shareholders after the June 2026 AGM?</w:t>
            </w:r>
          </w:p>
        </w:tc>
      </w:tr>
    </w:tbl>
    <w:p/>
    <w:p>
      <w:pPr>
        <w:pStyle w:val="Heading1"/>
      </w:pPr>
      <w:r>
        <w:t>23. Short-Seller / Forensic View</w:t>
      </w:r>
    </w:p>
    <w:p>
      <w:pPr>
        <w:pStyle w:val="Heading2"/>
      </w:pPr>
      <w:r>
        <w:t>23.1 Dismantling the bull case</w:t>
      </w:r>
    </w:p>
    <w:p>
      <w:pPr>
        <w:pStyle w:val="ListBullet"/>
        <w:spacing w:after="20"/>
      </w:pPr>
      <w:r>
        <w:rPr>
          <w:b/>
          <w:i w:val="0"/>
        </w:rPr>
        <w:t>Structural break:</w:t>
      </w:r>
      <w:r>
        <w:rPr>
          <w:b w:val="0"/>
          <w:i w:val="0"/>
        </w:rPr>
        <w:t xml:space="preserve"> the profit pool now depends on one technology (cryo-ESC), one customer (Lam) and one end market (NAND). A shift in etch architecture, a Lam dual-source decision or TEL share gains would hit &gt;50% of group OP — with no offset from a ~4%-margin housing business.</w:t>
      </w:r>
    </w:p>
    <w:p>
      <w:pPr>
        <w:pStyle w:val="ListBullet"/>
        <w:spacing w:after="20"/>
      </w:pPr>
      <w:r>
        <w:rPr>
          <w:b/>
          <w:i w:val="0"/>
        </w:rPr>
        <w:t>Concentration shift:</w:t>
      </w:r>
      <w:r>
        <w:rPr>
          <w:b w:val="0"/>
          <w:i w:val="0"/>
        </w:rPr>
        <w:t xml:space="preserve"> if Lam moved 25% of its cryo-ESC volume to a second source, we estimate ceramics OP would fall ~¥8–10bn (-30%) and the SOTP would lose ~¥1,000/share.</w:t>
      </w:r>
    </w:p>
    <w:p>
      <w:pPr>
        <w:pStyle w:val="ListBullet"/>
        <w:spacing w:after="20"/>
      </w:pPr>
      <w:r>
        <w:rPr>
          <w:b/>
          <w:i w:val="0"/>
        </w:rPr>
        <w:t>Weaker moat than bulls think:</w:t>
      </w:r>
      <w:r>
        <w:rPr>
          <w:b w:val="0"/>
          <w:i w:val="0"/>
        </w:rPr>
        <w:t xml:space="preserve"> AMAT and Lam both have in-house ESC capability; Shinko is now JIC-backed with deep pockets; NGK and Kyocera have scale in AlN. Margins of 43% invite competition and customer push-back on price.</w:t>
      </w:r>
    </w:p>
    <w:p>
      <w:pPr>
        <w:pStyle w:val="ListBullet"/>
        <w:spacing w:after="20"/>
      </w:pPr>
      <w:r>
        <w:rPr>
          <w:b/>
          <w:i w:val="0"/>
        </w:rPr>
        <w:t>Most underestimated competitor:</w:t>
      </w:r>
      <w:r>
        <w:rPr>
          <w:b w:val="0"/>
          <w:i w:val="0"/>
        </w:rPr>
        <w:t xml:space="preserve"> Tokyo Electron — not as an ESC maker, but as a cryo-etch tool maker whose success would re-allocate the installed base away from Lam's platform where TOTO is embedded.</w:t>
      </w:r>
    </w:p>
    <w:p>
      <w:pPr>
        <w:pStyle w:val="ListBullet"/>
        <w:spacing w:after="20"/>
      </w:pPr>
      <w:r>
        <w:rPr>
          <w:b/>
          <w:i w:val="0"/>
        </w:rPr>
        <w:t>Worst capital allocation:</w:t>
      </w:r>
      <w:r>
        <w:rPr>
          <w:b w:val="0"/>
          <w:i w:val="0"/>
        </w:rPr>
        <w:t xml:space="preserve"> China (two plants built in 1995/2001, ~¥49bn written off 2024–26); decades of over-capitalisation (equity ratio ~64%, ROE &lt;8%).</w:t>
      </w:r>
    </w:p>
    <w:p>
      <w:pPr>
        <w:pStyle w:val="ListBullet"/>
        <w:spacing w:after="20"/>
      </w:pPr>
      <w:r>
        <w:rPr>
          <w:b/>
          <w:i w:val="0"/>
        </w:rPr>
        <w:t>Incentives:</w:t>
      </w:r>
      <w:r>
        <w:rPr>
          <w:b w:val="0"/>
          <w:i w:val="0"/>
        </w:rPr>
        <w:t xml:space="preserve"> bonuses tied to operating profit and sales growth (¥1tn target), not ROE/TSR — encourages capex over buybacks.</w:t>
      </w:r>
    </w:p>
    <w:p>
      <w:pPr>
        <w:pStyle w:val="ListBullet"/>
        <w:spacing w:after="20"/>
      </w:pPr>
      <w:r>
        <w:rPr>
          <w:b/>
          <w:i w:val="0"/>
        </w:rPr>
        <w:t>What must hold for ¥6,097:</w:t>
      </w:r>
      <w:r>
        <w:rPr>
          <w:b w:val="0"/>
          <w:i w:val="0"/>
        </w:rPr>
        <w:t xml:space="preserve"> ceramics compounding ~18% p.a. at &gt;40% margins through FY3/29 and housing margins recovering to ~5–6%. </w:t>
      </w:r>
      <w:r>
        <w:rPr>
          <w:b/>
          <w:i w:val="0"/>
        </w:rPr>
        <w:t>If growth disappoints 20–30%</w:t>
      </w:r>
      <w:r>
        <w:rPr>
          <w:b w:val="0"/>
          <w:i w:val="0"/>
        </w:rPr>
        <w:t xml:space="preserve"> (ceramics FY3/29E ~¥80–90bn, EPS ~¥300–320), fair value on a 17x P/E is ~¥5,100–5,400 (-12% to -16%); with a cyclical de-rating to 14x, ~¥4,300 (-30%).</w:t>
      </w:r>
    </w:p>
    <w:p>
      <w:pPr>
        <w:pStyle w:val="ListBullet"/>
        <w:spacing w:after="20"/>
      </w:pPr>
      <w:r>
        <w:rPr>
          <w:b/>
          <w:i w:val="0"/>
        </w:rPr>
        <w:t>Single permanent-impairment scenario:</w:t>
      </w:r>
      <w:r>
        <w:rPr>
          <w:b w:val="0"/>
          <w:i w:val="0"/>
        </w:rPr>
        <w:t xml:space="preserve"> NAND makers adopt a non-cryogenic high-aspect-ratio etch route (or TEL wins the next node) while Lam qualifies a second ESC source — plausibility ~10–15% over 3 years.</w:t>
      </w:r>
    </w:p>
    <w:p>
      <w:pPr>
        <w:pStyle w:val="Heading2"/>
      </w:pPr>
      <w:r>
        <w:t>23.2 Red flags and accounting risks</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835"/>
            <w:shd w:val="clear" w:color="auto" w:fill="16243D"/>
          </w:tcPr>
          <w:p>
            <w:r/>
            <w:r>
              <w:rPr>
                <w:b/>
                <w:i w:val="0"/>
                <w:color w:val="FFFFFF"/>
                <w:sz w:val="15"/>
              </w:rPr>
              <w:t>Area</w:t>
            </w:r>
          </w:p>
        </w:tc>
        <w:tc>
          <w:tcPr>
            <w:tcW w:type="dxa" w:w="6882"/>
            <w:shd w:val="clear" w:color="auto" w:fill="16243D"/>
          </w:tcPr>
          <w:p>
            <w:r/>
            <w:r>
              <w:rPr>
                <w:b/>
                <w:i w:val="0"/>
                <w:color w:val="FFFFFF"/>
                <w:sz w:val="15"/>
              </w:rPr>
              <w:t>Observation</w:t>
            </w:r>
          </w:p>
        </w:tc>
        <w:tc>
          <w:tcPr>
            <w:tcW w:type="dxa" w:w="1147"/>
            <w:shd w:val="clear" w:color="auto" w:fill="16243D"/>
          </w:tcPr>
          <w:p>
            <w:r/>
            <w:r>
              <w:rPr>
                <w:b/>
                <w:i w:val="0"/>
                <w:color w:val="FFFFFF"/>
                <w:sz w:val="15"/>
              </w:rPr>
              <w:t>Risk level</w:t>
            </w:r>
          </w:p>
        </w:tc>
      </w:tr>
      <w:tr>
        <w:tc>
          <w:tcPr>
            <w:tcW w:type="dxa" w:w="1835"/>
          </w:tcPr>
          <w:p>
            <w:r/>
            <w:r>
              <w:rPr>
                <w:b w:val="0"/>
                <w:i w:val="0"/>
                <w:sz w:val="15"/>
              </w:rPr>
              <w:t>Revenue recognition</w:t>
            </w:r>
          </w:p>
        </w:tc>
        <w:tc>
          <w:tcPr>
            <w:tcW w:type="dxa" w:w="6882"/>
          </w:tcPr>
          <w:p>
            <w:r/>
            <w:r>
              <w:rPr>
                <w:b w:val="0"/>
                <w:i w:val="0"/>
                <w:sz w:val="15"/>
              </w:rPr>
              <w:t>Ceramics recognised on shipment; Q1 FY3/27 "timing" miss shows lumpiness — watch for channel/stock-building at the customer</w:t>
            </w:r>
          </w:p>
        </w:tc>
        <w:tc>
          <w:tcPr>
            <w:tcW w:type="dxa" w:w="1147"/>
          </w:tcPr>
          <w:p>
            <w:r/>
            <w:r>
              <w:rPr>
                <w:b w:val="0"/>
                <w:i w:val="0"/>
                <w:sz w:val="15"/>
              </w:rPr>
              <w:t>Medium</w:t>
            </w:r>
          </w:p>
        </w:tc>
      </w:tr>
      <w:tr>
        <w:tc>
          <w:tcPr>
            <w:tcW w:type="dxa" w:w="1835"/>
            <w:shd w:val="clear" w:color="auto" w:fill="F1F3F7"/>
          </w:tcPr>
          <w:p>
            <w:r/>
            <w:r>
              <w:rPr>
                <w:b w:val="0"/>
                <w:i w:val="0"/>
                <w:sz w:val="15"/>
              </w:rPr>
              <w:t>Segment reporting</w:t>
            </w:r>
          </w:p>
        </w:tc>
        <w:tc>
          <w:tcPr>
            <w:tcW w:type="dxa" w:w="6882"/>
            <w:shd w:val="clear" w:color="auto" w:fill="F1F3F7"/>
          </w:tcPr>
          <w:p>
            <w:r/>
            <w:r>
              <w:rPr>
                <w:b w:val="0"/>
                <w:i w:val="0"/>
                <w:sz w:val="15"/>
              </w:rPr>
              <w:t>FY3/26 change from three to two segments merges Japan and overseas housing — reduces visibility of China losses; corporate-cost allocation to ceramics opaque</w:t>
            </w:r>
          </w:p>
        </w:tc>
        <w:tc>
          <w:tcPr>
            <w:tcW w:type="dxa" w:w="1147"/>
            <w:shd w:val="clear" w:color="auto" w:fill="F1F3F7"/>
          </w:tcPr>
          <w:p>
            <w:r/>
            <w:r>
              <w:rPr>
                <w:b w:val="0"/>
                <w:i w:val="0"/>
                <w:sz w:val="15"/>
              </w:rPr>
              <w:t>Medium</w:t>
            </w:r>
          </w:p>
        </w:tc>
      </w:tr>
      <w:tr>
        <w:tc>
          <w:tcPr>
            <w:tcW w:type="dxa" w:w="1835"/>
          </w:tcPr>
          <w:p>
            <w:r/>
            <w:r>
              <w:rPr>
                <w:b w:val="0"/>
                <w:i w:val="0"/>
                <w:sz w:val="15"/>
              </w:rPr>
              <w:t>Impairments</w:t>
            </w:r>
          </w:p>
        </w:tc>
        <w:tc>
          <w:tcPr>
            <w:tcW w:type="dxa" w:w="6882"/>
          </w:tcPr>
          <w:p>
            <w:r/>
            <w:r>
              <w:rPr>
                <w:b w:val="0"/>
                <w:i w:val="0"/>
                <w:sz w:val="15"/>
              </w:rPr>
              <w:t>¥34.1bn (FY3/25) + ~¥15bn (FY3/26) China charges: recurring "one-offs"; remaining China assets and the Americas plant are the next tests</w:t>
            </w:r>
          </w:p>
        </w:tc>
        <w:tc>
          <w:tcPr>
            <w:tcW w:type="dxa" w:w="1147"/>
          </w:tcPr>
          <w:p>
            <w:r/>
            <w:r>
              <w:rPr>
                <w:b w:val="0"/>
                <w:i w:val="0"/>
                <w:sz w:val="15"/>
              </w:rPr>
              <w:t>Medium</w:t>
            </w:r>
          </w:p>
        </w:tc>
      </w:tr>
      <w:tr>
        <w:tc>
          <w:tcPr>
            <w:tcW w:type="dxa" w:w="1835"/>
            <w:shd w:val="clear" w:color="auto" w:fill="F1F3F7"/>
          </w:tcPr>
          <w:p>
            <w:r/>
            <w:r>
              <w:rPr>
                <w:b w:val="0"/>
                <w:i w:val="0"/>
                <w:sz w:val="15"/>
              </w:rPr>
              <w:t>Non-operating income</w:t>
            </w:r>
          </w:p>
        </w:tc>
        <w:tc>
          <w:tcPr>
            <w:tcW w:type="dxa" w:w="6882"/>
            <w:shd w:val="clear" w:color="auto" w:fill="F1F3F7"/>
          </w:tcPr>
          <w:p>
            <w:r/>
            <w:r>
              <w:rPr>
                <w:b w:val="0"/>
                <w:i w:val="0"/>
                <w:sz w:val="15"/>
              </w:rPr>
              <w:t>Ordinary income exceeded OP by ¥6.9bn in FY3/26 (FX gains, dividends) — NI quality lower than headline</w:t>
            </w:r>
          </w:p>
        </w:tc>
        <w:tc>
          <w:tcPr>
            <w:tcW w:type="dxa" w:w="1147"/>
            <w:shd w:val="clear" w:color="auto" w:fill="F1F3F7"/>
          </w:tcPr>
          <w:p>
            <w:r/>
            <w:r>
              <w:rPr>
                <w:b w:val="0"/>
                <w:i w:val="0"/>
                <w:sz w:val="15"/>
              </w:rPr>
              <w:t>Low–Medium</w:t>
            </w:r>
          </w:p>
        </w:tc>
      </w:tr>
      <w:tr>
        <w:tc>
          <w:tcPr>
            <w:tcW w:type="dxa" w:w="1835"/>
          </w:tcPr>
          <w:p>
            <w:r/>
            <w:r>
              <w:rPr>
                <w:b w:val="0"/>
                <w:i w:val="0"/>
                <w:sz w:val="15"/>
              </w:rPr>
              <w:t>Leases</w:t>
            </w:r>
          </w:p>
        </w:tc>
        <w:tc>
          <w:tcPr>
            <w:tcW w:type="dxa" w:w="6882"/>
          </w:tcPr>
          <w:p>
            <w:r/>
            <w:r>
              <w:rPr>
                <w:b w:val="0"/>
                <w:i w:val="0"/>
                <w:sz w:val="15"/>
              </w:rPr>
              <w:t>Showrooms/logistics leases (J-GAAP: limited on-balance recognition) — understate EV slightly</w:t>
            </w:r>
          </w:p>
        </w:tc>
        <w:tc>
          <w:tcPr>
            <w:tcW w:type="dxa" w:w="1147"/>
          </w:tcPr>
          <w:p>
            <w:r/>
            <w:r>
              <w:rPr>
                <w:b w:val="0"/>
                <w:i w:val="0"/>
                <w:sz w:val="15"/>
              </w:rPr>
              <w:t>Low</w:t>
            </w:r>
          </w:p>
        </w:tc>
      </w:tr>
      <w:tr>
        <w:tc>
          <w:tcPr>
            <w:tcW w:type="dxa" w:w="1835"/>
            <w:shd w:val="clear" w:color="auto" w:fill="F1F3F7"/>
          </w:tcPr>
          <w:p>
            <w:r/>
            <w:r>
              <w:rPr>
                <w:b w:val="0"/>
                <w:i w:val="0"/>
                <w:sz w:val="15"/>
              </w:rPr>
              <w:t>Related parties</w:t>
            </w:r>
          </w:p>
        </w:tc>
        <w:tc>
          <w:tcPr>
            <w:tcW w:type="dxa" w:w="6882"/>
            <w:shd w:val="clear" w:color="auto" w:fill="F1F3F7"/>
          </w:tcPr>
          <w:p>
            <w:r/>
            <w:r>
              <w:rPr>
                <w:b w:val="0"/>
                <w:i w:val="0"/>
                <w:sz w:val="15"/>
              </w:rPr>
              <w:t>None material identified; Morimura group JV is small</w:t>
            </w:r>
          </w:p>
        </w:tc>
        <w:tc>
          <w:tcPr>
            <w:tcW w:type="dxa" w:w="1147"/>
            <w:shd w:val="clear" w:color="auto" w:fill="F1F3F7"/>
          </w:tcPr>
          <w:p>
            <w:r/>
            <w:r>
              <w:rPr>
                <w:b w:val="0"/>
                <w:i w:val="0"/>
                <w:sz w:val="15"/>
              </w:rPr>
              <w:t>Low</w:t>
            </w:r>
          </w:p>
        </w:tc>
      </w:tr>
      <w:tr>
        <w:tc>
          <w:tcPr>
            <w:tcW w:type="dxa" w:w="1835"/>
          </w:tcPr>
          <w:p>
            <w:r/>
            <w:r>
              <w:rPr>
                <w:b w:val="0"/>
                <w:i w:val="0"/>
                <w:sz w:val="15"/>
              </w:rPr>
              <w:t>Contingencies / provisions</w:t>
            </w:r>
          </w:p>
        </w:tc>
        <w:tc>
          <w:tcPr>
            <w:tcW w:type="dxa" w:w="6882"/>
          </w:tcPr>
          <w:p>
            <w:r/>
            <w:r>
              <w:rPr>
                <w:b w:val="0"/>
                <w:i w:val="0"/>
                <w:sz w:val="15"/>
              </w:rPr>
              <w:t>Product-safety recalls (Washlet 96Z series fire risk; faucet leaks) — warranty provisions could rise</w:t>
            </w:r>
          </w:p>
        </w:tc>
        <w:tc>
          <w:tcPr>
            <w:tcW w:type="dxa" w:w="1147"/>
          </w:tcPr>
          <w:p>
            <w:r/>
            <w:r>
              <w:rPr>
                <w:b w:val="0"/>
                <w:i w:val="0"/>
                <w:sz w:val="15"/>
              </w:rPr>
              <w:t>Low–Medium</w:t>
            </w:r>
          </w:p>
        </w:tc>
      </w:tr>
      <w:tr>
        <w:tc>
          <w:tcPr>
            <w:tcW w:type="dxa" w:w="1835"/>
            <w:shd w:val="clear" w:color="auto" w:fill="F1F3F7"/>
          </w:tcPr>
          <w:p>
            <w:r/>
            <w:r>
              <w:rPr>
                <w:b w:val="0"/>
                <w:i w:val="0"/>
                <w:sz w:val="15"/>
              </w:rPr>
              <w:t>Pensions</w:t>
            </w:r>
          </w:p>
        </w:tc>
        <w:tc>
          <w:tcPr>
            <w:tcW w:type="dxa" w:w="6882"/>
            <w:shd w:val="clear" w:color="auto" w:fill="F1F3F7"/>
          </w:tcPr>
          <w:p>
            <w:r/>
            <w:r>
              <w:rPr>
                <w:b w:val="0"/>
                <w:i w:val="0"/>
                <w:sz w:val="15"/>
              </w:rPr>
              <w:t>Japanese DB obligations; discount-rate sensitivity</w:t>
            </w:r>
          </w:p>
        </w:tc>
        <w:tc>
          <w:tcPr>
            <w:tcW w:type="dxa" w:w="1147"/>
            <w:shd w:val="clear" w:color="auto" w:fill="F1F3F7"/>
          </w:tcPr>
          <w:p>
            <w:r/>
            <w:r>
              <w:rPr>
                <w:b w:val="0"/>
                <w:i w:val="0"/>
                <w:sz w:val="15"/>
              </w:rPr>
              <w:t>Low</w:t>
            </w:r>
          </w:p>
        </w:tc>
      </w:tr>
      <w:tr>
        <w:tc>
          <w:tcPr>
            <w:tcW w:type="dxa" w:w="1835"/>
          </w:tcPr>
          <w:p>
            <w:r/>
            <w:r>
              <w:rPr>
                <w:b w:val="0"/>
                <w:i w:val="0"/>
                <w:sz w:val="15"/>
              </w:rPr>
              <w:t>Stock-based compensation</w:t>
            </w:r>
          </w:p>
        </w:tc>
        <w:tc>
          <w:tcPr>
            <w:tcW w:type="dxa" w:w="6882"/>
          </w:tcPr>
          <w:p>
            <w:r/>
            <w:r>
              <w:rPr>
                <w:b w:val="0"/>
                <w:i w:val="0"/>
                <w:sz w:val="15"/>
              </w:rPr>
              <w:t>Minimal; pay mostly cash bonus — no dilution, but weak alignment</w:t>
            </w:r>
          </w:p>
        </w:tc>
        <w:tc>
          <w:tcPr>
            <w:tcW w:type="dxa" w:w="1147"/>
          </w:tcPr>
          <w:p>
            <w:r/>
            <w:r>
              <w:rPr>
                <w:b w:val="0"/>
                <w:i w:val="0"/>
                <w:sz w:val="15"/>
              </w:rPr>
              <w:t>Low</w:t>
            </w:r>
          </w:p>
        </w:tc>
      </w:tr>
      <w:tr>
        <w:tc>
          <w:tcPr>
            <w:tcW w:type="dxa" w:w="1835"/>
            <w:shd w:val="clear" w:color="auto" w:fill="F1F3F7"/>
          </w:tcPr>
          <w:p>
            <w:r/>
            <w:r>
              <w:rPr>
                <w:b w:val="0"/>
                <w:i w:val="0"/>
                <w:sz w:val="15"/>
              </w:rPr>
              <w:t>Goodwill / intangibles</w:t>
            </w:r>
          </w:p>
        </w:tc>
        <w:tc>
          <w:tcPr>
            <w:tcW w:type="dxa" w:w="6882"/>
            <w:shd w:val="clear" w:color="auto" w:fill="F1F3F7"/>
          </w:tcPr>
          <w:p>
            <w:r/>
            <w:r>
              <w:rPr>
                <w:b w:val="0"/>
                <w:i w:val="0"/>
                <w:sz w:val="15"/>
              </w:rPr>
              <w:t>Minimal (organic grower) — positive</w:t>
            </w:r>
          </w:p>
        </w:tc>
        <w:tc>
          <w:tcPr>
            <w:tcW w:type="dxa" w:w="1147"/>
            <w:shd w:val="clear" w:color="auto" w:fill="F1F3F7"/>
          </w:tcPr>
          <w:p>
            <w:r/>
            <w:r>
              <w:rPr>
                <w:b w:val="0"/>
                <w:i w:val="0"/>
                <w:sz w:val="15"/>
              </w:rPr>
              <w:t>Low</w:t>
            </w:r>
          </w:p>
        </w:tc>
      </w:tr>
      <w:tr>
        <w:tc>
          <w:tcPr>
            <w:tcW w:type="dxa" w:w="1835"/>
          </w:tcPr>
          <w:p>
            <w:r/>
            <w:r>
              <w:rPr>
                <w:b w:val="0"/>
                <w:i w:val="0"/>
                <w:sz w:val="15"/>
              </w:rPr>
              <w:t>Cash flow</w:t>
            </w:r>
          </w:p>
        </w:tc>
        <w:tc>
          <w:tcPr>
            <w:tcW w:type="dxa" w:w="6882"/>
          </w:tcPr>
          <w:p>
            <w:r/>
            <w:r>
              <w:rPr>
                <w:b w:val="0"/>
                <w:i w:val="0"/>
                <w:sz w:val="15"/>
              </w:rPr>
              <w:t>FCF ~¥35bn (OCF ¥71bn – capex ¥36bn); capex rising to ¥45–55bn will compress FCF as dividends rise</w:t>
            </w:r>
          </w:p>
        </w:tc>
        <w:tc>
          <w:tcPr>
            <w:tcW w:type="dxa" w:w="1147"/>
          </w:tcPr>
          <w:p>
            <w:r/>
            <w:r>
              <w:rPr>
                <w:b w:val="0"/>
                <w:i w:val="0"/>
                <w:sz w:val="15"/>
              </w:rPr>
              <w:t>Medium</w:t>
            </w:r>
          </w:p>
        </w:tc>
      </w:tr>
      <w:tr>
        <w:tc>
          <w:tcPr>
            <w:tcW w:type="dxa" w:w="1835"/>
            <w:shd w:val="clear" w:color="auto" w:fill="F1F3F7"/>
          </w:tcPr>
          <w:p>
            <w:r/>
            <w:r>
              <w:rPr>
                <w:b w:val="0"/>
                <w:i w:val="0"/>
                <w:sz w:val="15"/>
              </w:rPr>
              <w:t>Cross-holding gains</w:t>
            </w:r>
          </w:p>
        </w:tc>
        <w:tc>
          <w:tcPr>
            <w:tcW w:type="dxa" w:w="6882"/>
            <w:shd w:val="clear" w:color="auto" w:fill="F1F3F7"/>
          </w:tcPr>
          <w:p>
            <w:r/>
            <w:r>
              <w:rPr>
                <w:b w:val="0"/>
                <w:i w:val="0"/>
                <w:sz w:val="15"/>
              </w:rPr>
              <w:t>Gains on sale flatter extraordinary income during the unwind</w:t>
            </w:r>
          </w:p>
        </w:tc>
        <w:tc>
          <w:tcPr>
            <w:tcW w:type="dxa" w:w="1147"/>
            <w:shd w:val="clear" w:color="auto" w:fill="F1F3F7"/>
          </w:tcPr>
          <w:p>
            <w:r/>
            <w:r>
              <w:rPr>
                <w:b w:val="0"/>
                <w:i w:val="0"/>
                <w:sz w:val="15"/>
              </w:rPr>
              <w:t>Low</w:t>
            </w:r>
          </w:p>
        </w:tc>
      </w:tr>
    </w:tbl>
    <w:p/>
    <w:p>
      <w:pPr>
        <w:pStyle w:val="Heading1"/>
      </w:pPr>
      <w:r>
        <w:t>24. Timeline and Catalyst Calendar</w:t>
      </w:r>
    </w:p>
    <w:p>
      <w:pPr>
        <w:pStyle w:val="Heading2"/>
      </w:pPr>
      <w:r>
        <w:t>24.1 Key past events</w:t>
      </w:r>
    </w:p>
    <w:tbl>
      <w:tblPr>
        <w:tblStyle w:val="TableGrid"/>
        <w:tblW w:type="auto" w:w="0"/>
        <w:jc w:val="center"/>
        <w:tblLayout w:type="fixed"/>
        <w:tblLook w:firstColumn="1" w:firstRow="1" w:lastColumn="0" w:lastRow="0" w:noHBand="0" w:noVBand="1" w:val="04A0"/>
      </w:tblPr>
      <w:tblGrid>
        <w:gridCol w:w="4933"/>
        <w:gridCol w:w="4933"/>
      </w:tblGrid>
      <w:tr>
        <w:tc>
          <w:tcPr>
            <w:tcW w:type="dxa" w:w="1379"/>
            <w:shd w:val="clear" w:color="auto" w:fill="16243D"/>
          </w:tcPr>
          <w:p>
            <w:r/>
            <w:r>
              <w:rPr>
                <w:b/>
                <w:i w:val="0"/>
                <w:color w:val="FFFFFF"/>
                <w:sz w:val="15"/>
              </w:rPr>
              <w:t>Date</w:t>
            </w:r>
          </w:p>
        </w:tc>
        <w:tc>
          <w:tcPr>
            <w:tcW w:type="dxa" w:w="8486"/>
            <w:shd w:val="clear" w:color="auto" w:fill="16243D"/>
          </w:tcPr>
          <w:p>
            <w:r/>
            <w:r>
              <w:rPr>
                <w:b/>
                <w:i w:val="0"/>
                <w:color w:val="FFFFFF"/>
                <w:sz w:val="15"/>
              </w:rPr>
              <w:t>Event</w:t>
            </w:r>
          </w:p>
        </w:tc>
      </w:tr>
      <w:tr>
        <w:tc>
          <w:tcPr>
            <w:tcW w:type="dxa" w:w="1379"/>
          </w:tcPr>
          <w:p>
            <w:r/>
            <w:r>
              <w:rPr>
                <w:b w:val="0"/>
                <w:i w:val="0"/>
                <w:sz w:val="15"/>
              </w:rPr>
              <w:t>1917</w:t>
            </w:r>
          </w:p>
        </w:tc>
        <w:tc>
          <w:tcPr>
            <w:tcW w:type="dxa" w:w="8486"/>
          </w:tcPr>
          <w:p>
            <w:r/>
            <w:r>
              <w:rPr>
                <w:b w:val="0"/>
                <w:i w:val="0"/>
                <w:sz w:val="15"/>
              </w:rPr>
              <w:t>Toyo Toki founded in Kokura (Kitakyushu) — Morimura group</w:t>
            </w:r>
          </w:p>
        </w:tc>
      </w:tr>
      <w:tr>
        <w:tc>
          <w:tcPr>
            <w:tcW w:type="dxa" w:w="1379"/>
            <w:shd w:val="clear" w:color="auto" w:fill="F1F3F7"/>
          </w:tcPr>
          <w:p>
            <w:r/>
            <w:r>
              <w:rPr>
                <w:b w:val="0"/>
                <w:i w:val="0"/>
                <w:sz w:val="15"/>
              </w:rPr>
              <w:t>1976</w:t>
            </w:r>
          </w:p>
        </w:tc>
        <w:tc>
          <w:tcPr>
            <w:tcW w:type="dxa" w:w="8486"/>
            <w:shd w:val="clear" w:color="auto" w:fill="F1F3F7"/>
          </w:tcPr>
          <w:p>
            <w:r/>
            <w:r>
              <w:rPr>
                <w:b w:val="0"/>
                <w:i w:val="0"/>
                <w:sz w:val="15"/>
              </w:rPr>
              <w:t>Fine-ceramics research begins</w:t>
            </w:r>
          </w:p>
        </w:tc>
      </w:tr>
      <w:tr>
        <w:tc>
          <w:tcPr>
            <w:tcW w:type="dxa" w:w="1379"/>
          </w:tcPr>
          <w:p>
            <w:r/>
            <w:r>
              <w:rPr>
                <w:b w:val="0"/>
                <w:i w:val="0"/>
                <w:sz w:val="15"/>
              </w:rPr>
              <w:t>1980</w:t>
            </w:r>
          </w:p>
        </w:tc>
        <w:tc>
          <w:tcPr>
            <w:tcW w:type="dxa" w:w="8486"/>
          </w:tcPr>
          <w:p>
            <w:r/>
            <w:r>
              <w:rPr>
                <w:b w:val="0"/>
                <w:i w:val="0"/>
                <w:sz w:val="15"/>
              </w:rPr>
              <w:t>Washlet launched</w:t>
            </w:r>
          </w:p>
        </w:tc>
      </w:tr>
      <w:tr>
        <w:tc>
          <w:tcPr>
            <w:tcW w:type="dxa" w:w="1379"/>
            <w:shd w:val="clear" w:color="auto" w:fill="F1F3F7"/>
          </w:tcPr>
          <w:p>
            <w:r/>
            <w:r>
              <w:rPr>
                <w:b w:val="0"/>
                <w:i w:val="0"/>
                <w:sz w:val="15"/>
              </w:rPr>
              <w:t>1988</w:t>
            </w:r>
          </w:p>
        </w:tc>
        <w:tc>
          <w:tcPr>
            <w:tcW w:type="dxa" w:w="8486"/>
            <w:shd w:val="clear" w:color="auto" w:fill="F1F3F7"/>
          </w:tcPr>
          <w:p>
            <w:r/>
            <w:r>
              <w:rPr>
                <w:b w:val="0"/>
                <w:i w:val="0"/>
                <w:sz w:val="15"/>
              </w:rPr>
              <w:t>Mass production of electrostatic chucks</w:t>
            </w:r>
          </w:p>
        </w:tc>
      </w:tr>
      <w:tr>
        <w:tc>
          <w:tcPr>
            <w:tcW w:type="dxa" w:w="1379"/>
          </w:tcPr>
          <w:p>
            <w:r/>
            <w:r>
              <w:rPr>
                <w:b w:val="0"/>
                <w:i w:val="0"/>
                <w:sz w:val="15"/>
              </w:rPr>
              <w:t>c.1990</w:t>
            </w:r>
          </w:p>
        </w:tc>
        <w:tc>
          <w:tcPr>
            <w:tcW w:type="dxa" w:w="8486"/>
          </w:tcPr>
          <w:p>
            <w:r/>
            <w:r>
              <w:rPr>
                <w:b w:val="0"/>
                <w:i w:val="0"/>
                <w:sz w:val="15"/>
              </w:rPr>
              <w:t>Co-development with Lam Research begins</w:t>
            </w:r>
          </w:p>
        </w:tc>
      </w:tr>
      <w:tr>
        <w:tc>
          <w:tcPr>
            <w:tcW w:type="dxa" w:w="1379"/>
            <w:shd w:val="clear" w:color="auto" w:fill="F1F3F7"/>
          </w:tcPr>
          <w:p>
            <w:r/>
            <w:r>
              <w:rPr>
                <w:b w:val="0"/>
                <w:i w:val="0"/>
                <w:sz w:val="15"/>
              </w:rPr>
              <w:t>1995 / 2001</w:t>
            </w:r>
          </w:p>
        </w:tc>
        <w:tc>
          <w:tcPr>
            <w:tcW w:type="dxa" w:w="8486"/>
            <w:shd w:val="clear" w:color="auto" w:fill="F1F3F7"/>
          </w:tcPr>
          <w:p>
            <w:r/>
            <w:r>
              <w:rPr>
                <w:b w:val="0"/>
                <w:i w:val="0"/>
                <w:sz w:val="15"/>
              </w:rPr>
              <w:t>TOTO Beijing / TOTO East China (Shanghai) established</w:t>
            </w:r>
          </w:p>
        </w:tc>
      </w:tr>
      <w:tr>
        <w:tc>
          <w:tcPr>
            <w:tcW w:type="dxa" w:w="1379"/>
          </w:tcPr>
          <w:p>
            <w:r/>
            <w:r>
              <w:rPr>
                <w:b w:val="0"/>
                <w:i w:val="0"/>
                <w:sz w:val="15"/>
              </w:rPr>
              <w:t>2007</w:t>
            </w:r>
          </w:p>
        </w:tc>
        <w:tc>
          <w:tcPr>
            <w:tcW w:type="dxa" w:w="8486"/>
          </w:tcPr>
          <w:p>
            <w:r/>
            <w:r>
              <w:rPr>
                <w:b w:val="0"/>
                <w:i w:val="0"/>
                <w:sz w:val="15"/>
              </w:rPr>
              <w:t>Renamed TOTO Ltd.</w:t>
            </w:r>
          </w:p>
        </w:tc>
      </w:tr>
      <w:tr>
        <w:tc>
          <w:tcPr>
            <w:tcW w:type="dxa" w:w="1379"/>
            <w:shd w:val="clear" w:color="auto" w:fill="F1F3F7"/>
          </w:tcPr>
          <w:p>
            <w:r/>
            <w:r>
              <w:rPr>
                <w:b w:val="0"/>
                <w:i w:val="0"/>
                <w:sz w:val="15"/>
              </w:rPr>
              <w:t>2014</w:t>
            </w:r>
          </w:p>
        </w:tc>
        <w:tc>
          <w:tcPr>
            <w:tcW w:type="dxa" w:w="8486"/>
            <w:shd w:val="clear" w:color="auto" w:fill="F1F3F7"/>
          </w:tcPr>
          <w:p>
            <w:r/>
            <w:r>
              <w:rPr>
                <w:b w:val="0"/>
                <w:i w:val="0"/>
                <w:sz w:val="15"/>
              </w:rPr>
              <w:t>India plant (Halol, Gujarat)</w:t>
            </w:r>
          </w:p>
        </w:tc>
      </w:tr>
      <w:tr>
        <w:tc>
          <w:tcPr>
            <w:tcW w:type="dxa" w:w="1379"/>
          </w:tcPr>
          <w:p>
            <w:r/>
            <w:r>
              <w:rPr>
                <w:b w:val="0"/>
                <w:i w:val="0"/>
                <w:sz w:val="15"/>
              </w:rPr>
              <w:t>Apr 2021</w:t>
            </w:r>
          </w:p>
        </w:tc>
        <w:tc>
          <w:tcPr>
            <w:tcW w:type="dxa" w:w="8486"/>
          </w:tcPr>
          <w:p>
            <w:r/>
            <w:r>
              <w:rPr>
                <w:b w:val="0"/>
                <w:i w:val="0"/>
                <w:sz w:val="15"/>
              </w:rPr>
              <w:t>TOTO WILL2030 long-term vision</w:t>
            </w:r>
          </w:p>
        </w:tc>
      </w:tr>
      <w:tr>
        <w:tc>
          <w:tcPr>
            <w:tcW w:type="dxa" w:w="1379"/>
            <w:shd w:val="clear" w:color="auto" w:fill="F1F3F7"/>
          </w:tcPr>
          <w:p>
            <w:r/>
            <w:r>
              <w:rPr>
                <w:b w:val="0"/>
                <w:i w:val="0"/>
                <w:sz w:val="15"/>
              </w:rPr>
              <w:t>Jul 2022</w:t>
            </w:r>
          </w:p>
        </w:tc>
        <w:tc>
          <w:tcPr>
            <w:tcW w:type="dxa" w:w="8486"/>
            <w:shd w:val="clear" w:color="auto" w:fill="F1F3F7"/>
          </w:tcPr>
          <w:p>
            <w:r/>
            <w:r>
              <w:rPr>
                <w:b w:val="0"/>
                <w:i w:val="0"/>
                <w:sz w:val="15"/>
              </w:rPr>
              <w:t>Vietnam 4th plant</w:t>
            </w:r>
          </w:p>
        </w:tc>
      </w:tr>
      <w:tr>
        <w:tc>
          <w:tcPr>
            <w:tcW w:type="dxa" w:w="1379"/>
          </w:tcPr>
          <w:p>
            <w:r/>
            <w:r>
              <w:rPr>
                <w:b w:val="0"/>
                <w:i w:val="0"/>
                <w:sz w:val="15"/>
              </w:rPr>
              <w:t>Oct 2023</w:t>
            </w:r>
          </w:p>
        </w:tc>
        <w:tc>
          <w:tcPr>
            <w:tcW w:type="dxa" w:w="8486"/>
          </w:tcPr>
          <w:p>
            <w:r/>
            <w:r>
              <w:rPr>
                <w:b w:val="0"/>
                <w:i w:val="0"/>
                <w:sz w:val="15"/>
              </w:rPr>
              <w:t>FY guidance cut (China)</w:t>
            </w:r>
          </w:p>
        </w:tc>
      </w:tr>
      <w:tr>
        <w:tc>
          <w:tcPr>
            <w:tcW w:type="dxa" w:w="1379"/>
            <w:shd w:val="clear" w:color="auto" w:fill="F1F3F7"/>
          </w:tcPr>
          <w:p>
            <w:r/>
            <w:r>
              <w:rPr>
                <w:b w:val="0"/>
                <w:i w:val="0"/>
                <w:sz w:val="15"/>
              </w:rPr>
              <w:t>Apr 2024</w:t>
            </w:r>
          </w:p>
        </w:tc>
        <w:tc>
          <w:tcPr>
            <w:tcW w:type="dxa" w:w="8486"/>
            <w:shd w:val="clear" w:color="auto" w:fill="F1F3F7"/>
          </w:tcPr>
          <w:p>
            <w:r/>
            <w:r>
              <w:rPr>
                <w:b w:val="0"/>
                <w:i w:val="0"/>
                <w:sz w:val="15"/>
              </w:rPr>
              <w:t>WILL2030 STAGE2 (¥175bn strategic capex)</w:t>
            </w:r>
          </w:p>
        </w:tc>
      </w:tr>
      <w:tr>
        <w:tc>
          <w:tcPr>
            <w:tcW w:type="dxa" w:w="1379"/>
          </w:tcPr>
          <w:p>
            <w:r/>
            <w:r>
              <w:rPr>
                <w:b w:val="0"/>
                <w:i w:val="0"/>
                <w:sz w:val="15"/>
              </w:rPr>
              <w:t>Oct 2024</w:t>
            </w:r>
          </w:p>
        </w:tc>
        <w:tc>
          <w:tcPr>
            <w:tcW w:type="dxa" w:w="8486"/>
          </w:tcPr>
          <w:p>
            <w:r/>
            <w:r>
              <w:rPr>
                <w:b w:val="0"/>
                <w:i w:val="0"/>
                <w:sz w:val="15"/>
              </w:rPr>
              <w:t>¥34bn China impairment; stock -12.5%</w:t>
            </w:r>
          </w:p>
        </w:tc>
      </w:tr>
      <w:tr>
        <w:tc>
          <w:tcPr>
            <w:tcW w:type="dxa" w:w="1379"/>
            <w:shd w:val="clear" w:color="auto" w:fill="F1F3F7"/>
          </w:tcPr>
          <w:p>
            <w:r/>
            <w:r>
              <w:rPr>
                <w:b w:val="0"/>
                <w:i w:val="0"/>
                <w:sz w:val="15"/>
              </w:rPr>
              <w:t>Apr 2025</w:t>
            </w:r>
          </w:p>
        </w:tc>
        <w:tc>
          <w:tcPr>
            <w:tcW w:type="dxa" w:w="8486"/>
            <w:shd w:val="clear" w:color="auto" w:fill="F1F3F7"/>
          </w:tcPr>
          <w:p>
            <w:r/>
            <w:r>
              <w:rPr>
                <w:b w:val="0"/>
                <w:i w:val="0"/>
                <w:sz w:val="15"/>
              </w:rPr>
              <w:t>Tamura becomes President; China plant closures; ¥20bn buyback</w:t>
            </w:r>
          </w:p>
        </w:tc>
      </w:tr>
      <w:tr>
        <w:tc>
          <w:tcPr>
            <w:tcW w:type="dxa" w:w="1379"/>
          </w:tcPr>
          <w:p>
            <w:r/>
            <w:r>
              <w:rPr>
                <w:b w:val="0"/>
                <w:i w:val="0"/>
                <w:sz w:val="15"/>
              </w:rPr>
              <w:t>Fall 2025</w:t>
            </w:r>
          </w:p>
        </w:tc>
        <w:tc>
          <w:tcPr>
            <w:tcW w:type="dxa" w:w="8486"/>
          </w:tcPr>
          <w:p>
            <w:r/>
            <w:r>
              <w:rPr>
                <w:b w:val="0"/>
                <w:i w:val="0"/>
                <w:sz w:val="15"/>
              </w:rPr>
              <w:t>Georgia (US) plant production</w:t>
            </w:r>
          </w:p>
        </w:tc>
      </w:tr>
      <w:tr>
        <w:tc>
          <w:tcPr>
            <w:tcW w:type="dxa" w:w="1379"/>
            <w:shd w:val="clear" w:color="auto" w:fill="F1F3F7"/>
          </w:tcPr>
          <w:p>
            <w:r/>
            <w:r>
              <w:rPr>
                <w:b w:val="0"/>
                <w:i w:val="0"/>
                <w:sz w:val="15"/>
              </w:rPr>
              <w:t>Jan 2026</w:t>
            </w:r>
          </w:p>
        </w:tc>
        <w:tc>
          <w:tcPr>
            <w:tcW w:type="dxa" w:w="8486"/>
            <w:shd w:val="clear" w:color="auto" w:fill="F1F3F7"/>
          </w:tcPr>
          <w:p>
            <w:r/>
            <w:r>
              <w:rPr>
                <w:b w:val="0"/>
                <w:i w:val="0"/>
                <w:sz w:val="15"/>
              </w:rPr>
              <w:t>Goldman upgrade; stock +11%</w:t>
            </w:r>
          </w:p>
        </w:tc>
      </w:tr>
      <w:tr>
        <w:tc>
          <w:tcPr>
            <w:tcW w:type="dxa" w:w="1379"/>
          </w:tcPr>
          <w:p>
            <w:r/>
            <w:r>
              <w:rPr>
                <w:b w:val="0"/>
                <w:i w:val="0"/>
                <w:sz w:val="15"/>
              </w:rPr>
              <w:t>Feb 2026</w:t>
            </w:r>
          </w:p>
        </w:tc>
        <w:tc>
          <w:tcPr>
            <w:tcW w:type="dxa" w:w="8486"/>
          </w:tcPr>
          <w:p>
            <w:r/>
            <w:r>
              <w:rPr>
                <w:b w:val="0"/>
                <w:i w:val="0"/>
                <w:sz w:val="15"/>
              </w:rPr>
              <w:t>Palliser Capital Value Enhancement Plan</w:t>
            </w:r>
          </w:p>
        </w:tc>
      </w:tr>
      <w:tr>
        <w:tc>
          <w:tcPr>
            <w:tcW w:type="dxa" w:w="1379"/>
            <w:shd w:val="clear" w:color="auto" w:fill="F1F3F7"/>
          </w:tcPr>
          <w:p>
            <w:r/>
            <w:r>
              <w:rPr>
                <w:b w:val="0"/>
                <w:i w:val="0"/>
                <w:sz w:val="15"/>
              </w:rPr>
              <w:t>Apr–May 2026</w:t>
            </w:r>
          </w:p>
        </w:tc>
        <w:tc>
          <w:tcPr>
            <w:tcW w:type="dxa" w:w="8486"/>
            <w:shd w:val="clear" w:color="auto" w:fill="F1F3F7"/>
          </w:tcPr>
          <w:p>
            <w:r/>
            <w:r>
              <w:rPr>
                <w:b w:val="0"/>
                <w:i w:val="0"/>
                <w:sz w:val="15"/>
              </w:rPr>
              <w:t>Record FY3/26; ceramics disclosure; limit-up</w:t>
            </w:r>
          </w:p>
        </w:tc>
      </w:tr>
      <w:tr>
        <w:tc>
          <w:tcPr>
            <w:tcW w:type="dxa" w:w="1379"/>
          </w:tcPr>
          <w:p>
            <w:r/>
            <w:r>
              <w:rPr>
                <w:b w:val="0"/>
                <w:i w:val="0"/>
                <w:sz w:val="15"/>
              </w:rPr>
              <w:t>Jun 2026</w:t>
            </w:r>
          </w:p>
        </w:tc>
        <w:tc>
          <w:tcPr>
            <w:tcW w:type="dxa" w:w="8486"/>
          </w:tcPr>
          <w:p>
            <w:r/>
            <w:r>
              <w:rPr>
                <w:b w:val="0"/>
                <w:i w:val="0"/>
                <w:sz w:val="15"/>
              </w:rPr>
              <w:t>ATH ¥9,500; board cut to 10</w:t>
            </w:r>
          </w:p>
        </w:tc>
      </w:tr>
      <w:tr>
        <w:tc>
          <w:tcPr>
            <w:tcW w:type="dxa" w:w="1379"/>
            <w:shd w:val="clear" w:color="auto" w:fill="F1F3F7"/>
          </w:tcPr>
          <w:p>
            <w:r/>
            <w:r>
              <w:rPr>
                <w:b w:val="0"/>
                <w:i w:val="0"/>
                <w:sz w:val="15"/>
              </w:rPr>
              <w:t>Jul–Aug 2026</w:t>
            </w:r>
          </w:p>
        </w:tc>
        <w:tc>
          <w:tcPr>
            <w:tcW w:type="dxa" w:w="8486"/>
            <w:shd w:val="clear" w:color="auto" w:fill="F1F3F7"/>
          </w:tcPr>
          <w:p>
            <w:r/>
            <w:r>
              <w:rPr>
                <w:b w:val="0"/>
                <w:i w:val="0"/>
                <w:sz w:val="15"/>
              </w:rPr>
              <w:t>Q1 miss (-11.4%); Dec 2026 price rise announced</w:t>
            </w:r>
          </w:p>
        </w:tc>
      </w:tr>
    </w:tbl>
    <w:p/>
    <w:p>
      <w:pPr>
        <w:pStyle w:val="Heading2"/>
      </w:pPr>
      <w:r>
        <w:t>24.2 Upcoming catalysts</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1606"/>
            <w:shd w:val="clear" w:color="auto" w:fill="16243D"/>
          </w:tcPr>
          <w:p>
            <w:r/>
            <w:r>
              <w:rPr>
                <w:b/>
                <w:i w:val="0"/>
                <w:color w:val="FFFFFF"/>
                <w:sz w:val="15"/>
              </w:rPr>
              <w:t>Date</w:t>
            </w:r>
          </w:p>
        </w:tc>
        <w:tc>
          <w:tcPr>
            <w:tcW w:type="dxa" w:w="6882"/>
            <w:shd w:val="clear" w:color="auto" w:fill="16243D"/>
          </w:tcPr>
          <w:p>
            <w:r/>
            <w:r>
              <w:rPr>
                <w:b/>
                <w:i w:val="0"/>
                <w:color w:val="FFFFFF"/>
                <w:sz w:val="15"/>
              </w:rPr>
              <w:t>Event</w:t>
            </w:r>
          </w:p>
        </w:tc>
        <w:tc>
          <w:tcPr>
            <w:tcW w:type="dxa" w:w="1376"/>
            <w:shd w:val="clear" w:color="auto" w:fill="16243D"/>
          </w:tcPr>
          <w:p>
            <w:r/>
            <w:r>
              <w:rPr>
                <w:b/>
                <w:i w:val="0"/>
                <w:color w:val="FFFFFF"/>
                <w:sz w:val="15"/>
              </w:rPr>
              <w:t>Importance</w:t>
            </w:r>
          </w:p>
        </w:tc>
      </w:tr>
      <w:tr>
        <w:tc>
          <w:tcPr>
            <w:tcW w:type="dxa" w:w="1606"/>
          </w:tcPr>
          <w:p>
            <w:r/>
            <w:r>
              <w:rPr>
                <w:b w:val="0"/>
                <w:i w:val="0"/>
                <w:sz w:val="15"/>
              </w:rPr>
              <w:t>Oct–Nov 2026</w:t>
            </w:r>
          </w:p>
        </w:tc>
        <w:tc>
          <w:tcPr>
            <w:tcW w:type="dxa" w:w="6882"/>
          </w:tcPr>
          <w:p>
            <w:r/>
            <w:r>
              <w:rPr>
                <w:b w:val="0"/>
                <w:i w:val="0"/>
                <w:sz w:val="15"/>
              </w:rPr>
              <w:t>Japan pre-buying ahead of 1 Dec price increase</w:t>
            </w:r>
          </w:p>
        </w:tc>
        <w:tc>
          <w:tcPr>
            <w:tcW w:type="dxa" w:w="1376"/>
          </w:tcPr>
          <w:p>
            <w:r/>
            <w:r>
              <w:rPr>
                <w:b w:val="0"/>
                <w:i w:val="0"/>
                <w:sz w:val="15"/>
              </w:rPr>
              <w:t>Medium</w:t>
            </w:r>
          </w:p>
        </w:tc>
      </w:tr>
      <w:tr>
        <w:tc>
          <w:tcPr>
            <w:tcW w:type="dxa" w:w="1606"/>
            <w:shd w:val="clear" w:color="auto" w:fill="F1F3F7"/>
          </w:tcPr>
          <w:p>
            <w:r/>
            <w:r>
              <w:rPr>
                <w:b w:val="0"/>
                <w:i w:val="0"/>
                <w:sz w:val="15"/>
              </w:rPr>
              <w:t>21 Oct 2026</w:t>
            </w:r>
          </w:p>
        </w:tc>
        <w:tc>
          <w:tcPr>
            <w:tcW w:type="dxa" w:w="6882"/>
            <w:shd w:val="clear" w:color="auto" w:fill="F1F3F7"/>
          </w:tcPr>
          <w:p>
            <w:r/>
            <w:r>
              <w:rPr>
                <w:b w:val="0"/>
                <w:i w:val="0"/>
                <w:sz w:val="15"/>
              </w:rPr>
              <w:t>Lam Research Sep-quarter results (NAND/cryo commentary)</w:t>
            </w:r>
          </w:p>
        </w:tc>
        <w:tc>
          <w:tcPr>
            <w:tcW w:type="dxa" w:w="1376"/>
            <w:shd w:val="clear" w:color="auto" w:fill="F1F3F7"/>
          </w:tcPr>
          <w:p>
            <w:r/>
            <w:r>
              <w:rPr>
                <w:b/>
                <w:i w:val="0"/>
                <w:sz w:val="15"/>
              </w:rPr>
              <w:t>High</w:t>
            </w:r>
          </w:p>
        </w:tc>
      </w:tr>
      <w:tr>
        <w:tc>
          <w:tcPr>
            <w:tcW w:type="dxa" w:w="1606"/>
          </w:tcPr>
          <w:p>
            <w:r/>
            <w:r>
              <w:rPr>
                <w:b w:val="0"/>
                <w:i w:val="0"/>
                <w:sz w:val="15"/>
              </w:rPr>
              <w:t>~30 Oct 2026</w:t>
            </w:r>
          </w:p>
        </w:tc>
        <w:tc>
          <w:tcPr>
            <w:tcW w:type="dxa" w:w="6882"/>
          </w:tcPr>
          <w:p>
            <w:r/>
            <w:r>
              <w:rPr>
                <w:b/>
                <w:i w:val="0"/>
                <w:sz w:val="15"/>
              </w:rPr>
              <w:t>TOTO H1 FY3/27 results</w:t>
            </w:r>
            <w:r>
              <w:rPr>
                <w:b w:val="0"/>
                <w:i w:val="0"/>
                <w:sz w:val="15"/>
              </w:rPr>
              <w:t xml:space="preserve"> — ceramics timing, guidance</w:t>
            </w:r>
          </w:p>
        </w:tc>
        <w:tc>
          <w:tcPr>
            <w:tcW w:type="dxa" w:w="1376"/>
          </w:tcPr>
          <w:p>
            <w:r/>
            <w:r>
              <w:rPr>
                <w:b/>
                <w:i w:val="0"/>
                <w:sz w:val="15"/>
              </w:rPr>
              <w:t>Critical</w:t>
            </w:r>
          </w:p>
        </w:tc>
      </w:tr>
      <w:tr>
        <w:tc>
          <w:tcPr>
            <w:tcW w:type="dxa" w:w="1606"/>
            <w:shd w:val="clear" w:color="auto" w:fill="F1F3F7"/>
          </w:tcPr>
          <w:p>
            <w:r/>
            <w:r>
              <w:rPr>
                <w:b w:val="0"/>
                <w:i w:val="0"/>
                <w:sz w:val="15"/>
              </w:rPr>
              <w:t>~mid-Nov 2026</w:t>
            </w:r>
          </w:p>
        </w:tc>
        <w:tc>
          <w:tcPr>
            <w:tcW w:type="dxa" w:w="6882"/>
            <w:shd w:val="clear" w:color="auto" w:fill="F1F3F7"/>
          </w:tcPr>
          <w:p>
            <w:r/>
            <w:r>
              <w:rPr>
                <w:b w:val="0"/>
                <w:i w:val="0"/>
                <w:sz w:val="15"/>
              </w:rPr>
              <w:t>Applied Materials results; Japan housing starts (monthly)</w:t>
            </w:r>
          </w:p>
        </w:tc>
        <w:tc>
          <w:tcPr>
            <w:tcW w:type="dxa" w:w="1376"/>
            <w:shd w:val="clear" w:color="auto" w:fill="F1F3F7"/>
          </w:tcPr>
          <w:p>
            <w:r/>
            <w:r>
              <w:rPr>
                <w:b w:val="0"/>
                <w:i w:val="0"/>
                <w:sz w:val="15"/>
              </w:rPr>
              <w:t>Medium</w:t>
            </w:r>
          </w:p>
        </w:tc>
      </w:tr>
      <w:tr>
        <w:tc>
          <w:tcPr>
            <w:tcW w:type="dxa" w:w="1606"/>
          </w:tcPr>
          <w:p>
            <w:r/>
            <w:r>
              <w:rPr>
                <w:b w:val="0"/>
                <w:i w:val="0"/>
                <w:sz w:val="15"/>
              </w:rPr>
              <w:t>1 Dec 2026</w:t>
            </w:r>
          </w:p>
        </w:tc>
        <w:tc>
          <w:tcPr>
            <w:tcW w:type="dxa" w:w="6882"/>
          </w:tcPr>
          <w:p>
            <w:r/>
            <w:r>
              <w:rPr>
                <w:b w:val="0"/>
                <w:i w:val="0"/>
                <w:sz w:val="15"/>
              </w:rPr>
              <w:t>Japan price increase effective (8–13%)</w:t>
            </w:r>
          </w:p>
        </w:tc>
        <w:tc>
          <w:tcPr>
            <w:tcW w:type="dxa" w:w="1376"/>
          </w:tcPr>
          <w:p>
            <w:r/>
            <w:r>
              <w:rPr>
                <w:b w:val="0"/>
                <w:i w:val="0"/>
                <w:sz w:val="15"/>
              </w:rPr>
              <w:t>High</w:t>
            </w:r>
          </w:p>
        </w:tc>
      </w:tr>
      <w:tr>
        <w:tc>
          <w:tcPr>
            <w:tcW w:type="dxa" w:w="1606"/>
            <w:shd w:val="clear" w:color="auto" w:fill="F1F3F7"/>
          </w:tcPr>
          <w:p>
            <w:r/>
            <w:r>
              <w:rPr>
                <w:b w:val="0"/>
                <w:i w:val="0"/>
                <w:sz w:val="15"/>
              </w:rPr>
              <w:t>Jan 2027</w:t>
            </w:r>
          </w:p>
        </w:tc>
        <w:tc>
          <w:tcPr>
            <w:tcW w:type="dxa" w:w="6882"/>
            <w:shd w:val="clear" w:color="auto" w:fill="F1F3F7"/>
          </w:tcPr>
          <w:p>
            <w:r/>
            <w:r>
              <w:rPr>
                <w:b w:val="0"/>
                <w:i w:val="0"/>
                <w:sz w:val="15"/>
              </w:rPr>
              <w:t>Buzen ESC kiln complete (+20% capacity)</w:t>
            </w:r>
          </w:p>
        </w:tc>
        <w:tc>
          <w:tcPr>
            <w:tcW w:type="dxa" w:w="1376"/>
            <w:shd w:val="clear" w:color="auto" w:fill="F1F3F7"/>
          </w:tcPr>
          <w:p>
            <w:r/>
            <w:r>
              <w:rPr>
                <w:b w:val="0"/>
                <w:i w:val="0"/>
                <w:sz w:val="15"/>
              </w:rPr>
              <w:t>High</w:t>
            </w:r>
          </w:p>
        </w:tc>
      </w:tr>
      <w:tr>
        <w:tc>
          <w:tcPr>
            <w:tcW w:type="dxa" w:w="1606"/>
          </w:tcPr>
          <w:p>
            <w:r/>
            <w:r>
              <w:rPr>
                <w:b w:val="0"/>
                <w:i w:val="0"/>
                <w:sz w:val="15"/>
              </w:rPr>
              <w:t>~29 Jan 2027</w:t>
            </w:r>
          </w:p>
        </w:tc>
        <w:tc>
          <w:tcPr>
            <w:tcW w:type="dxa" w:w="6882"/>
          </w:tcPr>
          <w:p>
            <w:r/>
            <w:r>
              <w:rPr>
                <w:b w:val="0"/>
                <w:i w:val="0"/>
                <w:sz w:val="15"/>
              </w:rPr>
              <w:t>TOTO Q3 FY3/27 results</w:t>
            </w:r>
          </w:p>
        </w:tc>
        <w:tc>
          <w:tcPr>
            <w:tcW w:type="dxa" w:w="1376"/>
          </w:tcPr>
          <w:p>
            <w:r/>
            <w:r>
              <w:rPr>
                <w:b w:val="0"/>
                <w:i w:val="0"/>
                <w:sz w:val="15"/>
              </w:rPr>
              <w:t>High</w:t>
            </w:r>
          </w:p>
        </w:tc>
      </w:tr>
      <w:tr>
        <w:tc>
          <w:tcPr>
            <w:tcW w:type="dxa" w:w="1606"/>
            <w:shd w:val="clear" w:color="auto" w:fill="F1F3F7"/>
          </w:tcPr>
          <w:p>
            <w:r/>
            <w:r>
              <w:rPr>
                <w:b w:val="0"/>
                <w:i w:val="0"/>
                <w:sz w:val="15"/>
              </w:rPr>
              <w:t>~late Apr 2027</w:t>
            </w:r>
          </w:p>
        </w:tc>
        <w:tc>
          <w:tcPr>
            <w:tcW w:type="dxa" w:w="6882"/>
            <w:shd w:val="clear" w:color="auto" w:fill="F1F3F7"/>
          </w:tcPr>
          <w:p>
            <w:r/>
            <w:r>
              <w:rPr>
                <w:b/>
                <w:i w:val="0"/>
                <w:sz w:val="15"/>
              </w:rPr>
              <w:t>FY3/27 results + WILL2030 STAGE3 mid-term plan</w:t>
            </w:r>
            <w:r>
              <w:rPr>
                <w:b w:val="0"/>
                <w:i w:val="0"/>
                <w:sz w:val="15"/>
              </w:rPr>
              <w:t xml:space="preserve"> (capital allocation, ROE, returns)</w:t>
            </w:r>
          </w:p>
        </w:tc>
        <w:tc>
          <w:tcPr>
            <w:tcW w:type="dxa" w:w="1376"/>
            <w:shd w:val="clear" w:color="auto" w:fill="F1F3F7"/>
          </w:tcPr>
          <w:p>
            <w:r/>
            <w:r>
              <w:rPr>
                <w:b/>
                <w:i w:val="0"/>
                <w:sz w:val="15"/>
              </w:rPr>
              <w:t>Critical</w:t>
            </w:r>
          </w:p>
        </w:tc>
      </w:tr>
      <w:tr>
        <w:tc>
          <w:tcPr>
            <w:tcW w:type="dxa" w:w="1606"/>
          </w:tcPr>
          <w:p>
            <w:r/>
            <w:r>
              <w:rPr>
                <w:b w:val="0"/>
                <w:i w:val="0"/>
                <w:sz w:val="15"/>
              </w:rPr>
              <w:t>Jun 2027</w:t>
            </w:r>
          </w:p>
        </w:tc>
        <w:tc>
          <w:tcPr>
            <w:tcW w:type="dxa" w:w="6882"/>
          </w:tcPr>
          <w:p>
            <w:r/>
            <w:r>
              <w:rPr>
                <w:b w:val="0"/>
                <w:i w:val="0"/>
                <w:sz w:val="15"/>
              </w:rPr>
              <w:t>AGM — possible activist engagement</w:t>
            </w:r>
          </w:p>
        </w:tc>
        <w:tc>
          <w:tcPr>
            <w:tcW w:type="dxa" w:w="1376"/>
          </w:tcPr>
          <w:p>
            <w:r/>
            <w:r>
              <w:rPr>
                <w:b w:val="0"/>
                <w:i w:val="0"/>
                <w:sz w:val="15"/>
              </w:rPr>
              <w:t>Medium</w:t>
            </w:r>
          </w:p>
        </w:tc>
      </w:tr>
      <w:tr>
        <w:tc>
          <w:tcPr>
            <w:tcW w:type="dxa" w:w="1606"/>
            <w:shd w:val="clear" w:color="auto" w:fill="F1F3F7"/>
          </w:tcPr>
          <w:p>
            <w:r/>
            <w:r>
              <w:rPr>
                <w:b w:val="0"/>
                <w:i w:val="0"/>
                <w:sz w:val="15"/>
              </w:rPr>
              <w:t>Ongoing</w:t>
            </w:r>
          </w:p>
        </w:tc>
        <w:tc>
          <w:tcPr>
            <w:tcW w:type="dxa" w:w="6882"/>
            <w:shd w:val="clear" w:color="auto" w:fill="F1F3F7"/>
          </w:tcPr>
          <w:p>
            <w:r/>
            <w:r>
              <w:rPr>
                <w:b w:val="0"/>
                <w:i w:val="0"/>
                <w:sz w:val="15"/>
              </w:rPr>
              <w:t>US tariff decisions; Palliser/large-holding filings; cross-holding sales</w:t>
            </w:r>
          </w:p>
        </w:tc>
        <w:tc>
          <w:tcPr>
            <w:tcW w:type="dxa" w:w="1376"/>
            <w:shd w:val="clear" w:color="auto" w:fill="F1F3F7"/>
          </w:tcPr>
          <w:p>
            <w:r/>
            <w:r>
              <w:rPr>
                <w:b w:val="0"/>
                <w:i w:val="0"/>
                <w:sz w:val="15"/>
              </w:rPr>
              <w:t>Medium</w:t>
            </w:r>
          </w:p>
        </w:tc>
      </w:tr>
      <w:tr>
        <w:tc>
          <w:tcPr>
            <w:tcW w:type="dxa" w:w="1606"/>
          </w:tcPr>
          <w:p>
            <w:r/>
            <w:r>
              <w:rPr>
                <w:b w:val="0"/>
                <w:i w:val="0"/>
                <w:sz w:val="15"/>
              </w:rPr>
              <w:t>Apr 2028</w:t>
            </w:r>
          </w:p>
        </w:tc>
        <w:tc>
          <w:tcPr>
            <w:tcW w:type="dxa" w:w="6882"/>
          </w:tcPr>
          <w:p>
            <w:r/>
            <w:r>
              <w:rPr>
                <w:b w:val="0"/>
                <w:i w:val="0"/>
                <w:sz w:val="15"/>
              </w:rPr>
              <w:t>Chigasaki ceramics R&amp;D building complete</w:t>
            </w:r>
          </w:p>
        </w:tc>
        <w:tc>
          <w:tcPr>
            <w:tcW w:type="dxa" w:w="1376"/>
          </w:tcPr>
          <w:p>
            <w:r/>
            <w:r>
              <w:rPr>
                <w:b w:val="0"/>
                <w:i w:val="0"/>
                <w:sz w:val="15"/>
              </w:rPr>
              <w:t>Low</w:t>
            </w:r>
          </w:p>
        </w:tc>
      </w:tr>
    </w:tbl>
    <w:p/>
    <w:p>
      <w:pPr>
        <w:pStyle w:val="Heading1"/>
      </w:pPr>
      <w:r>
        <w:t>25. Data Notes and Disclaimer</w:t>
      </w:r>
    </w:p>
    <w:p>
      <w:pPr>
        <w:spacing w:after="80"/>
      </w:pPr>
      <w:r>
        <w:rPr>
          <w:b w:val="0"/>
          <w:i w:val="0"/>
        </w:rPr>
        <w:t>This report was prepared on 4 October 2026 using publicly reported information (company press releases, results summaries and presentations as reported by Nikkei, Bloomberg, Reuters, Japan Times, Kabutan, Data-Max, Reform Online, LIMO, BusinessWire and data aggregators). Direct access to TDnet, EDINET and the TOTO IR site was not available in the research environment, so several items — notably the five-year segment history (FY3/22–FY3/24), balance-sheet line items, board backgrounds, treasury shares and short interest — are reconstructions or estimates and are marked "e", "~" or "n/d". Forecasts, valuations, scenario probabilities and the regression are the author's own. Peer data are indicative and dated Jul–Sep 2026. Verify all marked figures against primary filings before relying on them. This document is for professional investors, is not investment advice and does not constitute an offer to buy or sell securities.</w:t>
      </w:r>
    </w:p>
    <w:sectPr w:rsidR="00FC693F" w:rsidRPr="0006063C" w:rsidSect="00034616">
      <w:head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E6878"/>
        <w:sz w:val="14"/>
      </w:rPr>
      <w:t>TOTO Ltd (5332 JP)  |  Equity Research | 4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624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6FD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6243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