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00"/>
        <w:jc w:val="start"/>
        <w:rPr/>
      </w:pPr>
      <w:r>
        <w:rPr/>
        <w:t>DevBrain v2 Developer Context Specification</w:t>
      </w:r>
    </w:p>
    <w:p>
      <w:pPr>
        <w:pStyle w:val="BodyTextsubtitle"/>
        <w:bidi w:val="0"/>
        <w:jc w:val="start"/>
        <w:rPr/>
      </w:pPr>
      <w:r>
        <w:rPr/>
        <w:t>Version 2.0  |  Conceptual and operational design</w:t>
      </w:r>
    </w:p>
    <w:p>
      <w:pPr>
        <w:pStyle w:val="BodyText"/>
        <w:bidi w:val="0"/>
        <w:jc w:val="start"/>
        <w:rPr/>
      </w:pPr>
      <w:r>
        <w:rPr/>
        <w:t>DevBrain is a portable developer context layer for AI coding assistants such as Codex and Claude Code. It gives an assistant a stable way to understand a developer's engineering standards, collaboration preferences, safety boundaries, and task workflows while preserving the active project's own facts. The design goal is better decisions with less repeated prompting and less unnecessary context.</w:t>
      </w:r>
    </w:p>
    <w:p>
      <w:pPr>
        <w:pStyle w:val="BodyText"/>
        <w:bidi w:val="0"/>
        <w:jc w:val="start"/>
        <w:rPr/>
      </w:pPr>
      <w:r>
        <w:rPr/>
        <w:t>This specification describes the current v2 system at a general level. The maintained Markdown and YAML files in the repository are the operational source of truth. A coding assistant loads a small session baseline, reads project instructions, and selects further modules only when a task needs them.</w:t>
      </w:r>
    </w:p>
    <w:p>
      <w:pPr>
        <w:pStyle w:val="Heading2"/>
        <w:bidi w:val="0"/>
        <w:jc w:val="start"/>
        <w:rPr/>
      </w:pPr>
      <w:r>
        <w:rPr/>
        <w:t>1 Product boundary</w:t>
      </w:r>
    </w:p>
    <w:p>
      <w:pPr>
        <w:pStyle w:val="BodyText"/>
        <w:bidi w:val="0"/>
        <w:jc w:val="start"/>
        <w:rPr/>
      </w:pPr>
      <w:r>
        <w:rPr/>
        <w:t>DevBrain is a knowledge and instruction system. It is not an AI model, a second agent, a replacement for an assistant, a daemon, a database, a graphical application, or a single giant prompt. The assistant still performs reasoning and tool calls through its own host. DevBrain guides those decisions; host permissions and platform rules govern what actions can execute.</w:t>
      </w:r>
    </w:p>
    <w:p>
      <w:pPr>
        <w:pStyle w:val="BodyText"/>
        <w:bidi w:val="0"/>
        <w:jc w:val="start"/>
        <w:rPr/>
      </w:pPr>
      <w:r>
        <w:rPr/>
        <w:t>The system is designed for developers who want to describe an outcome in natural language while retaining control over scope, data, security, and maintainability. It supports creative implementation where details are reversible and project evidence is strong. It does not invent product requirements or override an explicit, newer decision from the user.</w:t>
      </w:r>
    </w:p>
    <w:p>
      <w:pPr>
        <w:pStyle w:val="Heading2"/>
        <w:bidi w:val="0"/>
        <w:jc w:val="start"/>
        <w:rPr/>
      </w:pPr>
      <w:r>
        <w:rPr/>
        <w:t>2 Information architecture</w:t>
      </w:r>
    </w:p>
    <w:p>
      <w:pPr>
        <w:pStyle w:val="BodyText"/>
        <w:bidi w:val="0"/>
        <w:jc w:val="start"/>
        <w:rPr/>
      </w:pPr>
      <w:r>
        <w:rPr>
          <w:rStyle w:val="Strong"/>
        </w:rPr>
        <w:t>Session and decisions.</w:t>
      </w:r>
      <w:r>
        <w:rPr/>
        <w:t xml:space="preserve"> </w:t>
      </w:r>
      <w:r>
        <w:rPr>
          <w:rStyle w:val="SourceText"/>
        </w:rPr>
        <w:t>runtime/</w:t>
      </w:r>
      <w:r>
        <w:rPr/>
        <w:t xml:space="preserve"> contains the baseline, selective task map, and compatibility pointers. </w:t>
      </w:r>
      <w:r>
        <w:rPr>
          <w:rStyle w:val="SourceText"/>
        </w:rPr>
        <w:t>core/</w:t>
      </w:r>
      <w:r>
        <w:rPr/>
        <w:t xml:space="preserve"> contains engineering, UI, design system, frontend, backend, and performance principles. Detailed risk and data guidance lives in </w:t>
      </w:r>
      <w:r>
        <w:rPr>
          <w:rStyle w:val="SourceText"/>
        </w:rPr>
        <w:t>safety/</w:t>
      </w:r>
      <w:r>
        <w:rPr/>
        <w:t>. Only the baseline is routinely loaded; deeper material is selected for a relevant decision.</w:t>
      </w:r>
    </w:p>
    <w:p>
      <w:pPr>
        <w:pStyle w:val="BodyText"/>
        <w:bidi w:val="0"/>
        <w:jc w:val="start"/>
        <w:rPr/>
      </w:pPr>
      <w:r>
        <w:rPr>
          <w:rStyle w:val="Strong"/>
        </w:rPr>
        <w:t>Task execution.</w:t>
      </w:r>
      <w:r>
        <w:rPr/>
        <w:t xml:space="preserve"> </w:t>
      </w:r>
      <w:r>
        <w:rPr>
          <w:rStyle w:val="SourceText"/>
        </w:rPr>
        <w:t>workflows/</w:t>
      </w:r>
      <w:r>
        <w:rPr/>
        <w:t xml:space="preserve"> describes task procedures, while </w:t>
      </w:r>
      <w:r>
        <w:rPr>
          <w:rStyle w:val="SourceText"/>
        </w:rPr>
        <w:t>prompts/</w:t>
      </w:r>
      <w:r>
        <w:rPr/>
        <w:t xml:space="preserve"> records compressed command intent. </w:t>
      </w:r>
      <w:r>
        <w:rPr>
          <w:rStyle w:val="SourceText"/>
        </w:rPr>
        <w:t>skills/</w:t>
      </w:r>
      <w:r>
        <w:rPr/>
        <w:t xml:space="preserve"> holds four focused packages whose references are read progressively. These areas are chosen by task rather than scanned at session start.</w:t>
      </w:r>
    </w:p>
    <w:p>
      <w:pPr>
        <w:pStyle w:val="BodyText"/>
        <w:bidi w:val="0"/>
        <w:jc w:val="start"/>
        <w:rPr/>
      </w:pPr>
      <w:r>
        <w:rPr>
          <w:rStyle w:val="Strong"/>
        </w:rPr>
        <w:t>Setup and review.</w:t>
      </w:r>
      <w:r>
        <w:rPr/>
        <w:t xml:space="preserve"> </w:t>
      </w:r>
      <w:r>
        <w:rPr>
          <w:rStyle w:val="SourceText"/>
        </w:rPr>
        <w:t>adapters/</w:t>
      </w:r>
      <w:r>
        <w:rPr/>
        <w:t xml:space="preserve"> and </w:t>
      </w:r>
      <w:r>
        <w:rPr>
          <w:rStyle w:val="SourceText"/>
        </w:rPr>
        <w:t>install/</w:t>
      </w:r>
      <w:r>
        <w:rPr/>
        <w:t xml:space="preserve"> provide host bootstrap and portable installation. </w:t>
      </w:r>
      <w:r>
        <w:rPr>
          <w:rStyle w:val="SourceText"/>
        </w:rPr>
        <w:t>project-templates/</w:t>
      </w:r>
      <w:r>
        <w:rPr/>
        <w:t xml:space="preserve"> illustrates project-specific context. </w:t>
      </w:r>
      <w:r>
        <w:rPr>
          <w:rStyle w:val="SourceText"/>
        </w:rPr>
        <w:t>evaluation/</w:t>
      </w:r>
      <w:r>
        <w:rPr/>
        <w:t xml:space="preserve">, </w:t>
      </w:r>
      <w:r>
        <w:rPr>
          <w:rStyle w:val="SourceText"/>
        </w:rPr>
        <w:t>docs/</w:t>
      </w:r>
      <w:r>
        <w:rPr/>
        <w:t xml:space="preserve">, and </w:t>
      </w:r>
      <w:r>
        <w:rPr>
          <w:rStyle w:val="SourceText"/>
        </w:rPr>
        <w:t>source/</w:t>
      </w:r>
      <w:r>
        <w:rPr/>
        <w:t xml:space="preserve"> support checking, explanation, and conceptual provenance during maintenance.</w:t>
      </w:r>
    </w:p>
    <w:p>
      <w:pPr>
        <w:pStyle w:val="BodyText"/>
        <w:bidi w:val="0"/>
        <w:jc w:val="start"/>
        <w:rPr/>
      </w:pPr>
      <w:r>
        <w:rPr/>
        <w:t>The baseline deliberately repeats a small number of critical safety and precedence rules so they remain available. Other material is linked through the task map. Skill references, source documents, changelogs, and maintenance reports are excluded from normal startup context.</w:t>
      </w:r>
    </w:p>
    <w:p>
      <w:pPr>
        <w:pStyle w:val="Heading2"/>
        <w:bidi w:val="0"/>
        <w:jc w:val="start"/>
        <w:rPr/>
      </w:pPr>
      <w:r>
        <w:rPr/>
        <w:t>3 Session lifecycle and instruction precedence</w:t>
      </w:r>
    </w:p>
    <w:p>
      <w:pPr>
        <w:pStyle w:val="BodyText"/>
        <w:bidi w:val="0"/>
        <w:jc w:val="start"/>
        <w:rPr/>
      </w:pPr>
      <w:r>
        <w:rPr/>
        <w:t xml:space="preserve">An installed Codex or Claude bootstrap identifies the DevBrain repository and instructs the host to read </w:t>
      </w:r>
      <w:r>
        <w:rPr>
          <w:rStyle w:val="SourceText"/>
        </w:rPr>
        <w:t>runtime/session-baseline.md</w:t>
      </w:r>
      <w:r>
        <w:rPr/>
        <w:t xml:space="preserve"> once at the start of a coding session before substantial work. The assistant then reads applicable project instructions and task evidence. The baseline is reused for later messages and reloaded only after an explicit request, a DevBrain update, a repository change, material context loss, or uncertainty about active rules.</w:t>
      </w:r>
    </w:p>
    <w:p>
      <w:pPr>
        <w:pStyle w:val="BodyText"/>
        <w:bidi w:val="0"/>
        <w:jc w:val="start"/>
        <w:rPr/>
      </w:pPr>
      <w:r>
        <w:rPr/>
        <w:t>When instructions conflict, the assistant uses this order:</w:t>
      </w:r>
    </w:p>
    <w:p>
      <w:pPr>
        <w:pStyle w:val="BodyText"/>
        <w:numPr>
          <w:ilvl w:val="0"/>
          <w:numId w:val="1"/>
        </w:numPr>
        <w:tabs>
          <w:tab w:val="clear" w:pos="1134"/>
          <w:tab w:val="left" w:pos="709" w:leader="none"/>
        </w:tabs>
        <w:bidi w:val="0"/>
        <w:spacing w:before="0" w:after="0"/>
        <w:ind w:hanging="283" w:start="709"/>
        <w:jc w:val="start"/>
        <w:rPr/>
      </w:pPr>
      <w:r>
        <w:rPr/>
        <w:t xml:space="preserve">System and platform instructions, permissions, and safety requirements. </w:t>
      </w:r>
    </w:p>
    <w:p>
      <w:pPr>
        <w:pStyle w:val="BodyText"/>
        <w:numPr>
          <w:ilvl w:val="0"/>
          <w:numId w:val="1"/>
        </w:numPr>
        <w:tabs>
          <w:tab w:val="clear" w:pos="1134"/>
          <w:tab w:val="left" w:pos="709" w:leader="none"/>
        </w:tabs>
        <w:bidi w:val="0"/>
        <w:spacing w:before="0" w:after="0"/>
        <w:ind w:hanging="283" w:start="709"/>
        <w:jc w:val="start"/>
        <w:rPr/>
      </w:pPr>
      <w:r>
        <w:rPr/>
        <w:t xml:space="preserve">The user's latest explicit instruction for the active task. </w:t>
      </w:r>
    </w:p>
    <w:p>
      <w:pPr>
        <w:pStyle w:val="BodyText"/>
        <w:numPr>
          <w:ilvl w:val="0"/>
          <w:numId w:val="1"/>
        </w:numPr>
        <w:tabs>
          <w:tab w:val="clear" w:pos="1134"/>
          <w:tab w:val="left" w:pos="709" w:leader="none"/>
        </w:tabs>
        <w:bidi w:val="0"/>
        <w:spacing w:before="0" w:after="0"/>
        <w:ind w:hanging="283" w:start="709"/>
        <w:jc w:val="start"/>
        <w:rPr/>
      </w:pPr>
      <w:r>
        <w:rPr/>
        <w:t xml:space="preserve">Applicable project-specific </w:t>
      </w:r>
      <w:r>
        <w:rPr>
          <w:rStyle w:val="SourceText"/>
        </w:rPr>
        <w:t>AGENTS.md</w:t>
      </w:r>
      <w:r>
        <w:rPr/>
        <w:t xml:space="preserve"> or </w:t>
      </w:r>
      <w:r>
        <w:rPr>
          <w:rStyle w:val="SourceText"/>
        </w:rPr>
        <w:t>CLAUDE.md</w:t>
      </w:r>
      <w:r>
        <w:rPr/>
        <w:t xml:space="preserve">. </w:t>
      </w:r>
    </w:p>
    <w:p>
      <w:pPr>
        <w:pStyle w:val="BodyText"/>
        <w:numPr>
          <w:ilvl w:val="0"/>
          <w:numId w:val="1"/>
        </w:numPr>
        <w:tabs>
          <w:tab w:val="clear" w:pos="1134"/>
          <w:tab w:val="left" w:pos="709" w:leader="none"/>
        </w:tabs>
        <w:bidi w:val="0"/>
        <w:spacing w:before="0" w:after="0"/>
        <w:ind w:hanging="283" w:start="709"/>
        <w:jc w:val="start"/>
        <w:rPr/>
      </w:pPr>
      <w:r>
        <w:rPr/>
        <w:t xml:space="preserve">DevBrain safety rules. </w:t>
      </w:r>
    </w:p>
    <w:p>
      <w:pPr>
        <w:pStyle w:val="BodyText"/>
        <w:numPr>
          <w:ilvl w:val="0"/>
          <w:numId w:val="1"/>
        </w:numPr>
        <w:tabs>
          <w:tab w:val="clear" w:pos="1134"/>
          <w:tab w:val="left" w:pos="709" w:leader="none"/>
        </w:tabs>
        <w:bidi w:val="0"/>
        <w:spacing w:before="0" w:after="0"/>
        <w:ind w:hanging="283" w:start="709"/>
        <w:jc w:val="start"/>
        <w:rPr/>
      </w:pPr>
      <w:r>
        <w:rPr/>
        <w:t xml:space="preserve">DevBrain global principles. </w:t>
      </w:r>
    </w:p>
    <w:p>
      <w:pPr>
        <w:pStyle w:val="BodyText"/>
        <w:numPr>
          <w:ilvl w:val="0"/>
          <w:numId w:val="1"/>
        </w:numPr>
        <w:tabs>
          <w:tab w:val="clear" w:pos="1134"/>
          <w:tab w:val="left" w:pos="709" w:leader="none"/>
        </w:tabs>
        <w:bidi w:val="0"/>
        <w:spacing w:before="0" w:after="0"/>
        <w:ind w:hanging="283" w:start="709"/>
        <w:jc w:val="start"/>
        <w:rPr/>
      </w:pPr>
      <w:r>
        <w:rPr/>
        <w:t xml:space="preserve">Adapter defaults. </w:t>
      </w:r>
    </w:p>
    <w:p>
      <w:pPr>
        <w:pStyle w:val="BodyText"/>
        <w:numPr>
          <w:ilvl w:val="0"/>
          <w:numId w:val="1"/>
        </w:numPr>
        <w:tabs>
          <w:tab w:val="clear" w:pos="1134"/>
          <w:tab w:val="left" w:pos="709" w:leader="none"/>
        </w:tabs>
        <w:bidi w:val="0"/>
        <w:ind w:hanging="283" w:start="709"/>
        <w:jc w:val="start"/>
        <w:rPr/>
      </w:pPr>
      <w:r>
        <w:rPr/>
        <w:t xml:space="preserve">Earlier assistant recommendations. </w:t>
      </w:r>
    </w:p>
    <w:p>
      <w:pPr>
        <w:pStyle w:val="BodyText"/>
        <w:bidi w:val="0"/>
        <w:jc w:val="start"/>
        <w:rPr/>
      </w:pPr>
      <w:r>
        <w:rPr/>
        <w:t>A newer user decision replaces an older one for the same choice. It does not erase unrelated project facts or authorize an undisclosed high-risk action. A specific approval remains valid for its stated target and scope; a general request to avoid questions is not a substitute for that approval.</w:t>
      </w:r>
    </w:p>
    <w:p>
      <w:pPr>
        <w:pStyle w:val="Heading2"/>
        <w:bidi w:val="0"/>
        <w:jc w:val="start"/>
        <w:rPr/>
      </w:pPr>
      <w:r>
        <w:rPr/>
        <w:t>4 Global principles and project facts</w:t>
      </w:r>
    </w:p>
    <w:p>
      <w:pPr>
        <w:pStyle w:val="BodyText"/>
        <w:bidi w:val="0"/>
        <w:jc w:val="start"/>
        <w:rPr/>
      </w:pPr>
      <w:r>
        <w:rPr/>
        <w:t>DevBrain stores how the developer evaluates quality and makes decisions: clear code, maintainability, bounded abstraction, safe refactoring, contextual UI quality, contract awareness, performance evidence, and collaboration with an AI assistant. It should not prescribe a universal stack, visual theme, component library, endpoint, database schema, business rule, client identity, or machine path.</w:t>
      </w:r>
    </w:p>
    <w:p>
      <w:pPr>
        <w:pStyle w:val="BodyText"/>
        <w:bidi w:val="0"/>
        <w:jc w:val="start"/>
        <w:rPr/>
      </w:pPr>
      <w:r>
        <w:rPr/>
        <w:t>Each project's instructions provide its actual stack, package versions, visual identity, tokens, target users, API contracts, permissions, deployment method, sensitive files, and validation commands. The assistant must inspect the active implementation and project instructions before making a material decision. A principle that travels between projects belongs in DevBrain; a fact that changes with the project belongs in project context.</w:t>
      </w:r>
    </w:p>
    <w:p>
      <w:pPr>
        <w:pStyle w:val="Heading2"/>
        <w:bidi w:val="0"/>
        <w:jc w:val="start"/>
        <w:rPr/>
      </w:pPr>
      <w:r>
        <w:rPr/>
        <w:t>5 Risk and authorization</w:t>
      </w:r>
    </w:p>
    <w:p>
      <w:pPr>
        <w:pStyle w:val="BodyText"/>
        <w:bidi w:val="0"/>
        <w:jc w:val="start"/>
        <w:rPr/>
      </w:pPr>
      <w:r>
        <w:rPr>
          <w:rStyle w:val="Strong"/>
        </w:rPr>
        <w:t>Low risk.</w:t>
      </w:r>
      <w:r>
        <w:rPr/>
        <w:t xml:space="preserve"> UI polish, responsive and accessibility improvements, states, naming, isolated cleanup, documentation, relevant tests, and small performance improvements supported by evidence can be implemented directly when the task is clear. Validation remains proportionate.</w:t>
      </w:r>
    </w:p>
    <w:p>
      <w:pPr>
        <w:pStyle w:val="BodyText"/>
        <w:bidi w:val="0"/>
        <w:jc w:val="start"/>
        <w:rPr/>
      </w:pPr>
      <w:r>
        <w:rPr>
          <w:rStyle w:val="Strong"/>
        </w:rPr>
        <w:t>Medium risk.</w:t>
      </w:r>
      <w:r>
        <w:rPr/>
        <w:t xml:space="preserve"> Multi-file refactoring, shared components across features, page or service boundaries, query and state restructuring, compatible API integration, and feature-level redesign require impact analysis. The assistant maps consumers, contracts, reversibility, and validation, then proceeds without an extra approval gate.</w:t>
      </w:r>
    </w:p>
    <w:p>
      <w:pPr>
        <w:pStyle w:val="BodyText"/>
        <w:bidi w:val="0"/>
        <w:jc w:val="start"/>
        <w:rPr/>
      </w:pPr>
      <w:r>
        <w:rPr>
          <w:rStyle w:val="Strong"/>
        </w:rPr>
        <w:t>High risk.</w:t>
      </w:r>
      <w:r>
        <w:rPr/>
        <w:t xml:space="preserve"> Client or production data, destructive migration, authentication or permission boundaries, payment, deployment, secrets, breaking APIs, risky database changes, Git commit, push, or history, system administration, and hard-to-reverse actions require specific confirmation before execution.</w:t>
      </w:r>
    </w:p>
    <w:p>
      <w:pPr>
        <w:pStyle w:val="BodyText"/>
        <w:bidi w:val="0"/>
        <w:jc w:val="start"/>
        <w:rPr/>
      </w:pPr>
      <w:r>
        <w:rPr/>
        <w:t>Risk depends on impact, data, security, consumers, and reversibility rather than file count. A local authentication edit or one-line breaking contract change can still be high risk. Read-only investigation does not itself change a protected boundary. For data operations, the assistant determines environment, ownership, classification, exposure, and recovery before any mutation; unknown data ownership is treated as high risk.</w:t>
      </w:r>
    </w:p>
    <w:p>
      <w:pPr>
        <w:pStyle w:val="BodyText"/>
        <w:bidi w:val="0"/>
        <w:jc w:val="start"/>
        <w:rPr/>
      </w:pPr>
      <w:r>
        <w:rPr/>
        <w:t xml:space="preserve">Git command listings and commit-message requests produce text only. Permission to run </w:t>
      </w:r>
      <w:r>
        <w:rPr>
          <w:rStyle w:val="SourceText"/>
        </w:rPr>
        <w:t>git add</w:t>
      </w:r>
      <w:r>
        <w:rPr/>
        <w:t>, commit, or push is separate for each operation. The assistant must preserve existing user and staged changes and avoid broad staging commands that capture unrelated work.</w:t>
      </w:r>
    </w:p>
    <w:p>
      <w:pPr>
        <w:pStyle w:val="Heading2"/>
        <w:bidi w:val="0"/>
        <w:jc w:val="start"/>
        <w:rPr/>
      </w:pPr>
      <w:r>
        <w:rPr/>
        <w:t>6 Creative autonomy and requirement interpretation</w:t>
      </w:r>
    </w:p>
    <w:p>
      <w:pPr>
        <w:pStyle w:val="BodyText"/>
        <w:bidi w:val="0"/>
        <w:jc w:val="start"/>
        <w:rPr/>
      </w:pPr>
      <w:r>
        <w:rPr/>
        <w:t>The assistant should finish the requested outcome with appropriate polish. Within low- and medium-risk work it may improve hierarchy, composition, spacing, responsiveness, loading and error states, accessibility, feedback, naming, reuse, and architecture when these improvements are relevant and reversible. The active project's design language remains the reference.</w:t>
      </w:r>
    </w:p>
    <w:p>
      <w:pPr>
        <w:pStyle w:val="BodyText"/>
        <w:bidi w:val="0"/>
        <w:jc w:val="start"/>
        <w:rPr/>
      </w:pPr>
      <w:r>
        <w:rPr/>
        <w:t>Quality overdelivery does not create new business features, workflows, endpoints, API fields, database changes, authentication behavior, permission rules, or data semantics without a basis in the requirement. The assistant resolves small implementation ambiguities from the prompt, project instructions, code, precedent, contracts, and tests. It asks about remaining choices that materially alter a business outcome, data, an API contract, security, or an irreversible effect.</w:t>
      </w:r>
    </w:p>
    <w:p>
      <w:pPr>
        <w:pStyle w:val="Heading2"/>
        <w:bidi w:val="0"/>
        <w:jc w:val="start"/>
        <w:rPr/>
      </w:pPr>
      <w:r>
        <w:rPr/>
        <w:t>7 Frontend and design system guidance</w:t>
      </w:r>
    </w:p>
    <w:p>
      <w:pPr>
        <w:pStyle w:val="BodyText"/>
        <w:bidi w:val="0"/>
        <w:jc w:val="start"/>
        <w:rPr/>
      </w:pPr>
      <w:r>
        <w:rPr/>
        <w:t>Before changing a screen, the assistant inspects the project's visual identity, existing screens, theme and tokens, component library, shared patterns, target user, primary task, information density, and responsive context. It considers loading, empty, error, disabled, and success states as well as keyboard access and interaction feedback. A clean, professional result should fit the project rather than follow a global visual template. Gradients, glass effects, rounded cards, shadows, and animation are not automatic signs of quality.</w:t>
      </w:r>
    </w:p>
    <w:p>
      <w:pPr>
        <w:pStyle w:val="BodyText"/>
        <w:bidi w:val="0"/>
        <w:jc w:val="start"/>
        <w:rPr/>
      </w:pPr>
      <w:r>
        <w:rPr/>
        <w:t>Frontend responsibility is organized around an application shell, route or page, domain feature, reusable pattern or primitive, hook or query, and service or API client. This is a boundary guide, not a mandatory import chain. Shared components are introduced for real reuse and stable responsibility, not merely because two markup blocks look similar. A design system supplies foundations and consistency while the project supplies its own visual identity.</w:t>
      </w:r>
    </w:p>
    <w:p>
      <w:pPr>
        <w:pStyle w:val="Heading2"/>
        <w:bidi w:val="0"/>
        <w:jc w:val="start"/>
        <w:rPr/>
      </w:pPr>
      <w:r>
        <w:rPr/>
        <w:t>8 Backend and API guidance</w:t>
      </w:r>
    </w:p>
    <w:p>
      <w:pPr>
        <w:pStyle w:val="BodyText"/>
        <w:bidi w:val="0"/>
        <w:jc w:val="start"/>
        <w:rPr/>
      </w:pPr>
      <w:r>
        <w:rPr/>
        <w:t>Backend responsibility follows router, middleware, handler or controller, service or use case, data access, and model boundaries where the project architecture supports them. Handlers should remain thin, business rules should have clear ownership, and validation or DTO translation should occur at transport boundaries. The assistant reads existing API contracts and consumers before changing an integration.</w:t>
      </w:r>
    </w:p>
    <w:p>
      <w:pPr>
        <w:pStyle w:val="BodyText"/>
        <w:bidi w:val="0"/>
        <w:jc w:val="start"/>
        <w:rPr/>
      </w:pPr>
      <w:r>
        <w:rPr/>
        <w:t>Request payloads, responses, status codes, error envelopes, authentication, permissions, tenant scope, transactions, idempotency, and backward compatibility are material parts of the behavior. Authorization stays server-side. The assistant does not mutate production data or execute a destructive migration without specific authorization.</w:t>
      </w:r>
    </w:p>
    <w:p>
      <w:pPr>
        <w:pStyle w:val="Heading2"/>
        <w:bidi w:val="0"/>
        <w:jc w:val="start"/>
        <w:rPr/>
      </w:pPr>
      <w:r>
        <w:rPr/>
        <w:t>9 Task workflows and skills</w:t>
      </w:r>
    </w:p>
    <w:p>
      <w:pPr>
        <w:pStyle w:val="BodyText"/>
        <w:bidi w:val="0"/>
        <w:jc w:val="start"/>
        <w:rPr/>
      </w:pPr>
      <w:r>
        <w:rPr/>
        <w:t>The task map routes requests to the smallest useful set of modules. A UI task may select the UI principles and workflow; an API task may select backend principles, API workflow, and data protection; a Git command-listing request selects its text-only workflow. A simple spelling fix needs no deep module scan.</w:t>
      </w:r>
    </w:p>
    <w:p>
      <w:pPr>
        <w:pStyle w:val="BodyText"/>
        <w:bidi w:val="0"/>
        <w:jc w:val="start"/>
        <w:rPr/>
      </w:pPr>
      <w:r>
        <w:rPr/>
        <w:t xml:space="preserve">The four custom skills have separate purposes: </w:t>
      </w:r>
      <w:r>
        <w:rPr>
          <w:rStyle w:val="SourceText"/>
        </w:rPr>
        <w:t>enterprise-ui-ux</w:t>
      </w:r>
      <w:r>
        <w:rPr/>
        <w:t xml:space="preserve"> for operational interfaces; </w:t>
      </w:r>
      <w:r>
        <w:rPr>
          <w:rStyle w:val="SourceText"/>
        </w:rPr>
        <w:t>marketing-portfolio-ui-ux</w:t>
      </w:r>
      <w:r>
        <w:rPr/>
        <w:t xml:space="preserve"> for narrative and conversion surfaces; </w:t>
      </w:r>
      <w:r>
        <w:rPr>
          <w:rStyle w:val="SourceText"/>
        </w:rPr>
        <w:t>design-system-architect</w:t>
      </w:r>
      <w:r>
        <w:rPr/>
        <w:t xml:space="preserve"> for tokens and shared UI contracts; and </w:t>
      </w:r>
      <w:r>
        <w:rPr>
          <w:rStyle w:val="SourceText"/>
        </w:rPr>
        <w:t>architecture-refactor</w:t>
      </w:r>
      <w:r>
        <w:rPr/>
        <w:t xml:space="preserve"> for responsibility, dependency, and data boundaries. The assistant chooses a primary skill by outcome, adds another only for a distinct subtask, and reads reference files only when a concrete decision needs them.</w:t>
      </w:r>
    </w:p>
    <w:p>
      <w:pPr>
        <w:pStyle w:val="BodyText"/>
        <w:bidi w:val="0"/>
        <w:jc w:val="start"/>
        <w:rPr/>
      </w:pPr>
      <w:r>
        <w:rPr/>
        <w:t>Compressed prompt commands specify intent, routing, output, and forbidden operations. They do not expand authorization. A UI command cannot authorize an API change, and a commit-message command cannot authorize a Git commit.</w:t>
      </w:r>
    </w:p>
    <w:p>
      <w:pPr>
        <w:pStyle w:val="Heading2"/>
        <w:bidi w:val="0"/>
        <w:jc w:val="start"/>
        <w:rPr/>
      </w:pPr>
      <w:r>
        <w:rPr/>
        <w:t>10 Portability and installation</w:t>
      </w:r>
    </w:p>
    <w:p>
      <w:pPr>
        <w:pStyle w:val="BodyText"/>
        <w:bidi w:val="0"/>
        <w:jc w:val="start"/>
        <w:rPr/>
      </w:pPr>
      <w:r>
        <w:rPr/>
        <w:t>Repository files use relative paths and placeholders rather than a developer's username, drive, or machine path. The PowerShell installer resolves the repository and user home at installation time, then writes a concrete path only into the local Codex or Claude loader. It installs a small managed bootstrap and four skills without administrator privileges, registry edits, a product CLI, or a background service.</w:t>
      </w:r>
    </w:p>
    <w:p>
      <w:pPr>
        <w:pStyle w:val="BodyText"/>
        <w:bidi w:val="0"/>
        <w:jc w:val="start"/>
        <w:rPr/>
      </w:pPr>
      <w:r>
        <w:rPr/>
        <w:t xml:space="preserve">Installation supports preview with </w:t>
      </w:r>
      <w:r>
        <w:rPr>
          <w:rStyle w:val="SourceText"/>
        </w:rPr>
        <w:t>-WhatIf</w:t>
      </w:r>
      <w:r>
        <w:rPr/>
        <w:t xml:space="preserve">, selective host installation, </w:t>
      </w:r>
      <w:r>
        <w:rPr>
          <w:rStyle w:val="SourceText"/>
        </w:rPr>
        <w:t>-SkipSkills</w:t>
      </w:r>
      <w:r>
        <w:rPr/>
        <w:t>, explicit profile paths, update, and backups. Managed markers limit loader edits to a known block, preserving other personal instructions. Preflight rejects invalid markers and linked paths. Installer integration uses simulated home directories; routine DevBrain maintenance does not install into the user's real home.</w:t>
      </w:r>
    </w:p>
    <w:p>
      <w:pPr>
        <w:pStyle w:val="Heading2"/>
        <w:bidi w:val="0"/>
        <w:jc w:val="start"/>
        <w:rPr/>
      </w:pPr>
      <w:r>
        <w:rPr/>
        <w:t>11 Evaluation and maintenance</w:t>
      </w:r>
    </w:p>
    <w:p>
      <w:pPr>
        <w:pStyle w:val="BodyText"/>
        <w:bidi w:val="0"/>
        <w:jc w:val="start"/>
        <w:rPr/>
      </w:pPr>
      <w:r>
        <w:rPr/>
        <w:t>The evaluation suite contains 24 behavioral scenarios covering UI improvement, redesign, marketing, refactoring, API contracts, authentication, data mutation, migration, Git listings, conflicting prompts, ambiguity, and skill selection. Each scenario records the expected context, autonomy, approval, touched files, validation, and forbidden behavior. Structural checks validate YAML, references, scripts, paths, and suite shape; they do not prove that a model followed every scenario in a live session.</w:t>
      </w:r>
    </w:p>
    <w:p>
      <w:pPr>
        <w:pStyle w:val="BodyText"/>
        <w:bidi w:val="0"/>
        <w:jc w:val="start"/>
        <w:rPr/>
      </w:pPr>
      <w:r>
        <w:rPr/>
        <w:t>DevBrain maintenance should update the narrowest canonical module, inspect downstream references, and validate the change. The baseline stays small enough to load routinely without dropping essential precedence or safety. Documentation and evaluation record the intended behavior and limits; actual Codex and Claude behavior must be observed separately when those claims matter.</w:t>
      </w:r>
    </w:p>
    <w:p>
      <w:pPr>
        <w:pStyle w:val="Heading2"/>
        <w:bidi w:val="0"/>
        <w:jc w:val="start"/>
        <w:rPr/>
      </w:pPr>
      <w:r>
        <w:rPr/>
        <w:t>12 Interpretation of this specification</w:t>
      </w:r>
    </w:p>
    <w:p>
      <w:pPr>
        <w:pStyle w:val="BodyText"/>
        <w:bidi w:val="0"/>
        <w:spacing w:before="0" w:after="120"/>
        <w:jc w:val="start"/>
        <w:rPr/>
      </w:pPr>
      <w:r>
        <w:rPr/>
        <w:t>This document explains the design and quality standard of DevBrain v2 for review and discussion. It is deliberately general and contains no private biography, client project facts, credentials, or device-specific paths. The assistant's active rules come from the maintained runtime, project context, applicable platform instructions, and the latest user request.</w:t>
      </w:r>
    </w:p>
    <w:sectPr>
      <w:type w:val="nextPage"/>
      <w:pgSz w:w="11906" w:h="16838"/>
      <w:pgMar w:left="1191" w:right="1191" w:gutter="0" w:header="0" w:top="1134" w:footer="0" w:bottom="107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altName w:val="Calibri"/>
    <w:charset w:val="00" w:characterSet="windows-1252"/>
    <w:family w:val="auto"/>
    <w:pitch w:val="default"/>
  </w:font>
  <w:font w:name="Aptos Display">
    <w:altName w:val="Calibri"/>
    <w:charset w:val="00" w:characterSet="windows-1252"/>
    <w:family w:val="auto"/>
    <w:pitch w:val="default"/>
  </w:font>
  <w:font w:name="Consolas">
    <w:altName w:val="Courier New"/>
    <w:charset w:val="00" w:characterSet="windows-1252"/>
    <w:family w:val="auto"/>
    <w:pitch w:val="default"/>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ID"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ptos;Calibri;Arial;sans-serif" w:hAnsi="Aptos;Calibri;Arial;sans-serif" w:eastAsia="Aptos;Calibri;Arial;sans-serif" w:cs="Aptos;Calibri;Arial;sans-serif"/>
      <w:color w:val="171717"/>
      <w:sz w:val="21"/>
      <w:szCs w:val="21"/>
      <w:lang w:val="en-ID" w:eastAsia="zh-CN" w:bidi="hi-IN"/>
    </w:rPr>
  </w:style>
  <w:style w:type="paragraph" w:styleId="Heading1">
    <w:name w:val="heading 1"/>
    <w:basedOn w:val="Heading"/>
    <w:next w:val="BodyText"/>
    <w:qFormat/>
    <w:pPr>
      <w:spacing w:before="240" w:after="200"/>
    </w:pPr>
    <w:rPr>
      <w:rFonts w:ascii="Aptos Display;Calibri;Arial;sans-serif" w:hAnsi="Aptos Display;Calibri;Arial;sans-serif" w:eastAsia="Aptos Display;Calibri;Arial;sans-serif" w:cs="Aptos Display;Calibri;Arial;sans-serif"/>
      <w:b/>
      <w:bCs/>
      <w:color w:val="000000"/>
      <w:sz w:val="44"/>
      <w:szCs w:val="44"/>
    </w:rPr>
  </w:style>
  <w:style w:type="paragraph" w:styleId="Heading2">
    <w:name w:val="heading 2"/>
    <w:basedOn w:val="Heading"/>
    <w:next w:val="BodyText"/>
    <w:qFormat/>
    <w:pPr>
      <w:spacing w:before="320" w:after="120"/>
      <w:ind w:start="320" w:end="320"/>
      <w:outlineLvl w:val="1"/>
    </w:pPr>
    <w:rPr>
      <w:rFonts w:ascii="Aptos Display;Calibri;Arial;sans-serif" w:hAnsi="Aptos Display;Calibri;Arial;sans-serif" w:eastAsia="Aptos Display;Calibri;Arial;sans-serif" w:cs="Aptos Display;Calibri;Arial;sans-serif"/>
      <w:b/>
      <w:bCs/>
      <w:color w:val="000000"/>
      <w:sz w:val="28"/>
      <w:szCs w:val="28"/>
    </w:rPr>
  </w:style>
  <w:style w:type="paragraph" w:styleId="Heading3">
    <w:name w:val="heading 3"/>
    <w:basedOn w:val="Heading"/>
    <w:next w:val="BodyText"/>
    <w:qFormat/>
    <w:pPr>
      <w:spacing w:before="240" w:after="100"/>
      <w:ind w:start="240" w:end="240"/>
      <w:outlineLvl w:val="2"/>
    </w:pPr>
    <w:rPr>
      <w:rFonts w:ascii="Aptos Display;Calibri;Arial;sans-serif" w:hAnsi="Aptos Display;Calibri;Arial;sans-serif" w:eastAsia="Aptos Display;Calibri;Arial;sans-serif" w:cs="Aptos Display;Calibri;Arial;sans-serif"/>
      <w:b/>
      <w:bCs/>
      <w:color w:val="000000"/>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8"/>
      <w:szCs w:val="18"/>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List">
    <w:name w:val="List"/>
    <w:basedOn w:val="BodyText"/>
    <w:pPr/>
    <w:rPr>
      <w:rFonts w:cs="Arial"/>
    </w:rPr>
  </w:style>
  <w:style w:type="paragraph" w:styleId="BodyText">
    <w:name w:val="Body Text"/>
    <w:basedOn w:val="Normal"/>
    <w:pPr>
      <w:spacing w:before="0" w:after="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before="0" w:after="360"/>
    </w:pPr>
    <w:rPr>
      <w:color w:val="444444"/>
      <w:sz w:val="22"/>
      <w:szCs w:val="22"/>
    </w:rPr>
  </w:style>
  <w:style w:type="paragraph" w:styleId="TableHeading">
    <w:name w:val="Table Heading"/>
    <w:basedOn w:val="TableContents"/>
    <w:qFormat/>
    <w:pPr>
      <w:suppressLineNumbers/>
      <w:shd w:fill="E8EDF3" w:val="clear"/>
      <w:jc w:val="start"/>
    </w:pPr>
    <w:rPr>
      <w:b/>
      <w:bCs/>
      <w:color w:val="00000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LibreOffice/25.2.0.3$Windows_X86_64 LibreOffice_project/e1cf4a87eb02d755bce1a01209907ea5ddc8f069</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en-ID</dc:language>
  <cp:lastModifiedBy/>
  <cp:revision>0</cp:revision>
  <dc:subject/>
  <dc:title>DevBrain v2 Developer Context Specification</dc:title>
</cp:coreProperties>
</file>

<file path=docProps/custom.xml><?xml version="1.0" encoding="utf-8"?>
<Properties xmlns="http://schemas.openxmlformats.org/officeDocument/2006/custom-properties" xmlns:vt="http://schemas.openxmlformats.org/officeDocument/2006/docPropsVTypes"/>
</file>