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D7A"/>
          <w:sz w:val="20"/>
        </w:rPr>
        <w:t>HANDOVER PACKAGE — MAINTENANCE DOCUMENT</w:t>
      </w:r>
    </w:p>
    <w:p>
      <w:pPr>
        <w:spacing w:after="40"/>
      </w:pPr>
      <w:r>
        <w:rPr>
          <w:b/>
          <w:color w:val="201E19"/>
          <w:sz w:val="48"/>
        </w:rPr>
        <w:t>HandMirror</w:t>
      </w:r>
    </w:p>
    <w:p>
      <w:pPr>
        <w:spacing w:after="280"/>
      </w:pPr>
      <w:r>
        <w:rPr>
          <w:i/>
          <w:color w:val="6B6455"/>
          <w:sz w:val="20"/>
        </w:rPr>
        <w:t>Version 2.2 · 15 October 2026 (living document -- updated each iteration) | Team TE38 · BitDance | FIT5120, Monash University</w:t>
      </w:r>
    </w:p>
    <w:p>
      <w:pPr>
        <w:keepNext/>
        <w:spacing w:before="280" w:after="120"/>
      </w:pPr>
      <w:r>
        <w:rPr>
          <w:b/>
          <w:color w:val="1F3D7A"/>
          <w:sz w:val="28"/>
        </w:rPr>
        <w:t>1. Purpose</w:t>
      </w:r>
    </w:p>
    <w:p>
      <w:pPr>
        <w:spacing w:after="160"/>
      </w:pPr>
      <w:r>
        <w:rPr>
          <w:i w:val="0"/>
          <w:color w:val="201E19"/>
          <w:sz w:val="21"/>
        </w:rPr>
        <w:t>This document is for a future technical team extending HandMirror -- adding features, fixing bugs, retraining models, or building out the epics still on the roadmap. It assumes the reader is a competent developer new to this specific codebase.</w:t>
      </w:r>
    </w:p>
    <w:p>
      <w:pPr>
        <w:keepNext/>
        <w:spacing w:before="280" w:after="120"/>
      </w:pPr>
      <w:r>
        <w:rPr>
          <w:b/>
          <w:color w:val="1F3D7A"/>
          <w:sz w:val="28"/>
        </w:rPr>
        <w:t>2. Codebase map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3C4"/>
          <w:left w:val="single" w:sz="4" w:space="0" w:color="D9D3C4"/>
          <w:bottom w:val="single" w:sz="4" w:space="0" w:color="D9D3C4"/>
          <w:right w:val="single" w:sz="4" w:space="0" w:color="D9D3C4"/>
          <w:insideH w:val="single" w:sz="4" w:space="0" w:color="D9D3C4"/>
          <w:insideV w:val="single" w:sz="4" w:space="0" w:color="D9D3C4"/>
        </w:tblBorders>
      </w:tblPr>
      <w:tblGrid>
        <w:gridCol w:w="4986"/>
        <w:gridCol w:w="4986"/>
      </w:tblGrid>
      <w:tr>
        <w:tc>
          <w:tcPr>
            <w:tcW w:type="dxa" w:w="4986"/>
            <w:tcW w:type="dxa" w:w="3100"/>
            <w:shd w:val="clear" w:color="auto" w:fill="1F3D7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4986"/>
            <w:tcW w:type="dxa" w:w="6872"/>
            <w:shd w:val="clear" w:color="auto" w:fill="1F3D7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What's there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website/client/src/pages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One component per route: Home, SignLibrary, SignDetail, Scenario list and journey (ScenarioCategoryPage), ToLearn, LearnedSigns (shown as “Learnt”; the route stays /learned), Conversation (Sign Chat).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website/client/src/components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Shared UI. Key pieces: SmplxAvatar (3D avatar), SignDemonstration (video / 3D avatar tabs), PracticeVerify and SignCaptureModal (webcam capture), GestureSearch (sign-to-search), PersonalizeSessionPanel + PieRatioChart (personalise wizard), SavedSignsPage + TimeGroupedList (To Learn / Learnt), ResultCard (sign card with the + / ✓ buttons), BulkActions (the Select signs bar), WordPreviewModal (scenario hover preview).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website/client/src/api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Typed fetch wrappers: signs.ts (dictionary), recognize.ts (Practice / sign-to-search), signChat.ts (Sign Chat service; asks the API for the service's current URL first).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website/client/src/hooks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useSelection (multi-select state), useHoverPreview, useSignSearch, useTags and other small hooks.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website/client/src/lib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landmarks.ts (MediaPipe capture with motion-based auto-stop), smplx.ts (avatar pose format), scenarioCategories.ts (the 34 journeys and their words), pictograms.ts (journey icons), learnedSigns / toLearnSigns / idListStore (localStorage lists) and signLists.ts (the rule that a sign is on one list at most).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website/client/src/assets/pictograms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The 36 journey pictograms (Human Pictogram 2.0, recoloured).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website/client/public/smplx.glb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The 3D avatar: SMPL-X body with texture, hair and a “smile” morph target.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website/client/src/styles/theme.css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The whole design system in one file -- colour/type/radius tokens plus every page's styles.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website/server/src/routes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signs.js (dictionary and avatar poses), recognize.js (Practice and sign-to-search), signchat.js (stores and serves the Sign Chat URL).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website/server/src/recognition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features.js (landmarks → model input, a port of the Python training pipeline) and model.js (ONNX encoder and template bank).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website/server/src/utils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formatSign / pagination / video helpers, difficulty.js (level heuristic), popularity.js (popularity sort).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website/server/scripts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importRealData.js, convert_poses.py and importPoses.js (data loading -- see the Support Document).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recognition/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Model files, the interface specification (API.md), deployment notes (ASSETS.md), build scripts and the parity fixtures (test/golden.json).</w:t>
            </w:r>
          </w:p>
        </w:tc>
      </w:tr>
      <w:tr>
        <w:tc>
          <w:tcPr>
            <w:tcW w:type="dxa" w:w="4986"/>
            <w:tcW w:type="dxa" w:w="31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sign_chat/sign_chat_backend</w:t>
            </w:r>
          </w:p>
        </w:tc>
        <w:tc>
          <w:tcPr>
            <w:tcW w:type="dxa" w:w="4986"/>
            <w:tcW w:type="dxa" w:w="68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The Sign Chat model service (FastAPI), its README, Colab launcher and tests.</w:t>
            </w:r>
          </w:p>
        </w:tc>
      </w:tr>
    </w:tbl>
    <w:p>
      <w:pPr>
        <w:spacing w:after="8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6455"/>
          <w:sz w:val="18"/>
        </w:rPr>
        <w:t>Figure 1. The deployed system. Section 8 shows how a change reaches production.</w:t>
      </w:r>
    </w:p>
    <w:p>
      <w:pPr>
        <w:keepNext/>
        <w:spacing w:before="280" w:after="120"/>
      </w:pPr>
      <w:r>
        <w:rPr>
          <w:b/>
          <w:color w:val="1F3D7A"/>
          <w:sz w:val="28"/>
        </w:rPr>
        <w:t>3. Adding or editing content</w:t>
      </w:r>
    </w:p>
    <w:p>
      <w:pPr>
        <w:keepNext/>
        <w:spacing w:before="160" w:after="80"/>
      </w:pPr>
      <w:r>
        <w:rPr>
          <w:b/>
          <w:color w:val="201E19"/>
          <w:sz w:val="23"/>
        </w:rPr>
        <w:t>Signs</w:t>
      </w:r>
    </w:p>
    <w:p>
      <w:pPr>
        <w:spacing w:after="160"/>
      </w:pPr>
      <w:r>
        <w:rPr>
          <w:i w:val="0"/>
          <w:color w:val="201E19"/>
          <w:sz w:val="21"/>
        </w:rPr>
        <w:t>gloss has a UNIQUE constraint, so an insert can double as an upsert:</w:t>
      </w:r>
    </w:p>
    <w:p>
      <w:pPr>
        <w:spacing w:after="160"/>
      </w:pPr>
      <w:r>
        <w:rPr>
          <w:rFonts w:ascii="Consolas" w:hAnsi="Consolas" w:eastAsia="Consolas"/>
          <w:i w:val="0"/>
          <w:color w:val="201E19"/>
          <w:sz w:val="18"/>
        </w:rPr>
        <w:t>INSERT INTO signs (gloss, definitions, usage_notes, tags, keywords, source)</w:t>
        <w:br/>
        <w:t>VALUES ('THANK YOU',</w:t>
        <w:br/>
        <w:t xml:space="preserve">  CAST('[{"partOfSpeech":"Interjection","senses":["A polite expression of gratitude."]}]' AS JSON),</w:t>
        <w:br/>
        <w:t xml:space="preserve">  CAST('["Touch fingertips to chin.", "Move hand forward toward the other person."]' AS JSON),</w:t>
        <w:br/>
        <w:t xml:space="preserve">  CAST('["greeting"]' AS JSON),</w:t>
        <w:br/>
        <w:t xml:space="preserve">  CAST('["thanks","cheers"]' AS JSON),</w:t>
        <w:br/>
        <w:t xml:space="preserve">  'Auslan Signbank (pending verification)');</w:t>
      </w:r>
    </w:p>
    <w:p>
      <w:pPr>
        <w:spacing w:after="160"/>
      </w:pPr>
      <w:r>
        <w:rPr>
          <w:i w:val="0"/>
          <w:color w:val="201E19"/>
          <w:sz w:val="21"/>
        </w:rPr>
        <w:t>tags are visible classification chips (a sign can have several); keywords are search-only synonyms that are never shown in the UI. When in doubt: a genuine topic/category is a tag, another word someone might type to find the sign is a keyword.</w:t>
      </w:r>
    </w:p>
    <w:p>
      <w:pPr>
        <w:keepNext/>
        <w:spacing w:before="160" w:after="80"/>
      </w:pPr>
      <w:r>
        <w:rPr>
          <w:b/>
          <w:color w:val="201E19"/>
          <w:sz w:val="23"/>
        </w:rPr>
        <w:t>Scenario journeys</w:t>
      </w:r>
    </w:p>
    <w:p>
      <w:pPr>
        <w:spacing w:after="160"/>
      </w:pPr>
      <w:r>
        <w:rPr>
          <w:i w:val="0"/>
          <w:color w:val="201E19"/>
          <w:sz w:val="21"/>
        </w:rPr>
        <w:t>Journeys and their stops live in client/src/lib/scenarioCategories.ts (words are matched to signs by gloss). A new journey also needs an entry in client/src/lib/pictograms.ts mapping its id to a pictogram file.</w:t>
      </w:r>
    </w:p>
    <w:p>
      <w:pPr>
        <w:keepNext/>
        <w:spacing w:before="160" w:after="80"/>
      </w:pPr>
      <w:r>
        <w:rPr>
          <w:b/>
          <w:color w:val="201E19"/>
          <w:sz w:val="23"/>
        </w:rPr>
        <w:t>Avatar motion</w:t>
      </w:r>
    </w:p>
    <w:p>
      <w:pPr>
        <w:spacing w:after="160"/>
      </w:pPr>
      <w:r>
        <w:rPr>
          <w:i w:val="0"/>
          <w:color w:val="201E19"/>
          <w:sz w:val="21"/>
        </w:rPr>
        <w:t>Add or replace a sign's 3D motion with convert_poses.py and importPoses.js (Support Document, Section 6). The clip must be fitted to the same SMPL-X body the avatar uses (Section 6).</w:t>
      </w:r>
    </w:p>
    <w:p>
      <w:pPr>
        <w:keepNext/>
        <w:spacing w:before="280" w:after="120"/>
      </w:pPr>
      <w:r>
        <w:rPr>
          <w:b/>
          <w:color w:val="1F3D7A"/>
          <w:sz w:val="28"/>
        </w:rPr>
        <w:t>4. Extending the API</w:t>
      </w:r>
    </w:p>
    <w:p>
      <w:pPr>
        <w:pStyle w:val="ListBullet"/>
        <w:spacing w:after="60"/>
      </w:pPr>
      <w:r>
        <w:rPr>
          <w:color w:val="201E19"/>
          <w:sz w:val="21"/>
        </w:rPr>
        <w:t>One express.Router per resource, mounted in src/index.js -- follow the existing pattern in src/routes/signs.js for a new resource.</w:t>
      </w:r>
    </w:p>
    <w:p>
      <w:pPr>
        <w:pStyle w:val="ListBullet"/>
        <w:spacing w:after="60"/>
      </w:pPr>
      <w:r>
        <w:rPr>
          <w:color w:val="201E19"/>
          <w:sz w:val="21"/>
        </w:rPr>
        <w:t>Always use parameterized ? placeholders via mysql2 -- never string-concatenate user input into SQL.</w:t>
      </w:r>
    </w:p>
    <w:p>
      <w:pPr>
        <w:pStyle w:val="ListBullet"/>
        <w:spacing w:after="60"/>
      </w:pPr>
      <w:r>
        <w:rPr>
          <w:color w:val="201E19"/>
          <w:sz w:val="21"/>
        </w:rPr>
        <w:t>Map DB rows to the API's camelCase JSON shape through a small helper in src/utils/ (see formatSign.js), keeping snake_case DB columns out of the public response shape.</w:t>
      </w:r>
    </w:p>
    <w:p>
      <w:pPr>
        <w:keepNext/>
        <w:spacing w:before="280" w:after="120"/>
      </w:pPr>
      <w:r>
        <w:rPr>
          <w:b/>
          <w:color w:val="1F3D7A"/>
          <w:sz w:val="28"/>
        </w:rPr>
        <w:t>5. Practice recognition</w:t>
      </w:r>
    </w:p>
    <w:p>
      <w:pPr>
        <w:spacing w:after="160"/>
      </w:pPr>
      <w:r>
        <w:rPr>
          <w:i w:val="0"/>
          <w:color w:val="201E19"/>
          <w:sz w:val="21"/>
        </w:rPr>
        <w:t>MediaPipe Holistic runs in the browser and records 48 landmarks per frame (arms and both hands); the capture stops itself shortly after the hands come to rest. The API turns the landmarks into a fixed 96 × 98 tensor (features.js), runs the encoder (encoder.onnx, 256-dimensional output) and compares the result with the target sign's 12 stored templates by cosine distance.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75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75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6455"/>
          <w:sz w:val="18"/>
        </w:rPr>
        <w:t>Figure 2. The Practice pipeline, split between the browser and the API.</w:t>
      </w:r>
    </w:p>
    <w:p>
      <w:pPr>
        <w:pStyle w:val="ListBullet"/>
        <w:spacing w:after="60"/>
      </w:pPr>
      <w:r>
        <w:rPr>
          <w:color w:val="201E19"/>
          <w:sz w:val="21"/>
        </w:rPr>
        <w:t>Verify (Practice): matched when the distance is below τ = 0.529 -- the equal-error point on the validation split (EER 0.73%). The 0–100 score is a rescaling of that distance anchored so 60 is exactly the pass line.</w:t>
      </w:r>
    </w:p>
    <w:p>
      <w:pPr>
        <w:pStyle w:val="ListBullet"/>
        <w:spacing w:after="60"/>
      </w:pPr>
      <w:r>
        <w:rPr>
          <w:color w:val="201E19"/>
          <w:sz w:val="21"/>
        </w:rPr>
        <w:t>Left- or right-handed: the attempt is scored as captured and mirrored (other hand leading), and the closer result is kept. This slightly raises the chance of accepting a wrong sign.</w:t>
      </w:r>
    </w:p>
    <w:p>
      <w:pPr>
        <w:pStyle w:val="ListBullet"/>
        <w:spacing w:after="60"/>
      </w:pPr>
      <w:r>
        <w:rPr>
          <w:color w:val="201E19"/>
          <w:sz w:val="21"/>
        </w:rPr>
        <w:t>Identify (sign-to-search): distance to every sign; the four closest are returned with a confidence calibrated on the validation split.</w:t>
      </w:r>
    </w:p>
    <w:p>
      <w:pPr>
        <w:pStyle w:val="ListBullet"/>
        <w:spacing w:after="60"/>
      </w:pPr>
      <w:r>
        <w:rPr>
          <w:color w:val="201E19"/>
          <w:sz w:val="21"/>
        </w:rPr>
        <w:t>Any change to features.js must keep npm run test:recognition (in website/server) passing -- it checks the JavaScript pipeline against fixtures exported from the Python original.</w:t>
      </w:r>
    </w:p>
    <w:p>
      <w:pPr>
        <w:pStyle w:val="ListBullet"/>
        <w:spacing w:after="60"/>
      </w:pPr>
      <w:r>
        <w:rPr>
          <w:color w:val="201E19"/>
          <w:sz w:val="21"/>
        </w:rPr>
        <w:t>After retraining, rebuild the template bank with recognition/scripts/buildBank.mjs and follow recognition/ASSETS.md. The full contract, including capture guidance for the UI, is recognition/API.md.</w:t>
      </w:r>
    </w:p>
    <w:p>
      <w:pPr>
        <w:keepNext/>
        <w:spacing w:before="280" w:after="120"/>
      </w:pPr>
      <w:r>
        <w:rPr>
          <w:b/>
          <w:color w:val="1F3D7A"/>
          <w:sz w:val="28"/>
        </w:rPr>
        <w:t>6. The 3D avatar</w:t>
      </w:r>
    </w:p>
    <w:p>
      <w:pPr>
        <w:spacing w:after="160"/>
      </w:pPr>
      <w:r>
        <w:rPr>
          <w:i w:val="0"/>
          <w:color w:val="201E19"/>
          <w:sz w:val="21"/>
        </w:rPr>
        <w:t>SmplxAvatar loads /smplx.glb: the SMPL-X neutral body with one bone per SMPL-X joint, named after the joint, with identity rest rotations. Each frame's SMPL-X axis-angle rotations are applied straight onto those bones -- no retargeting -- so the avatar reproduces the fitted motion, including where the hands touch. On top of the motion the component adds eyes that follow the camera within ±8°, a resting smile on Sign Chat only (a morph target), and an idle pose set to the median trunk and head angle of the signing clips.</w:t>
      </w:r>
    </w:p>
    <w:p>
      <w:pPr>
        <w:spacing w:after="160"/>
      </w:pPr>
      <w:r>
        <w:rPr>
          <w:i w:val="0"/>
          <w:color w:val="201E19"/>
          <w:sz w:val="21"/>
        </w:rPr>
        <w:t>Pose clips are JSON: {fps, frames, smplx: {global_orient, body_pose (21 joints × 3), left_hand_pose and right_hand_pose (15 × 3 each)}}, stored gzipped in sign_poses. They come from SMPL-X fits of the dataset's signers; motion fitted to any other body would not line up.</w:t>
      </w:r>
    </w:p>
    <w:p>
      <w:pPr>
        <w:spacing w:after="160"/>
      </w:pPr>
      <w:r>
        <w:rPr>
          <w:i w:val="0"/>
          <w:color w:val="201E19"/>
          <w:sz w:val="21"/>
        </w:rPr>
        <w:t>The scripts that fit SMPL-X to the dataset and build smplx.glb (body, textures, clothes, hair) are in the Project Governance Portfolio as HandMirror-avatar-build-scripts.zip, with a README listing the order to run them and the input files. The SMPL-X model, BEDLAM skin and Meshcapade textures are not in the zip, because their licences forbid redistribution; download them from their official sites (Product Document, Section 4).</w:t>
      </w:r>
    </w:p>
    <w:p>
      <w:pPr>
        <w:keepNext/>
        <w:spacing w:before="280" w:after="120"/>
      </w:pPr>
      <w:r>
        <w:rPr>
          <w:b/>
          <w:color w:val="1F3D7A"/>
          <w:sz w:val="28"/>
        </w:rPr>
        <w:t>7. Sign Chat service</w:t>
      </w:r>
    </w:p>
    <w:p>
      <w:pPr>
        <w:spacing w:after="160"/>
      </w:pPr>
      <w:r>
        <w:rPr>
          <w:i w:val="0"/>
          <w:color w:val="201E19"/>
          <w:sz w:val="21"/>
        </w:rPr>
        <w:t>A separate Python service (sign_chat/sign_chat_backend). A typed message goes to a dialogue model; a signed message is first turned into text by a sign-to-text model; the reply text then goes through a text-to-sign model that produces the avatar motion the client plays. Its README covers the models, the API, a mock mode for front-end work without a GPU (SIGNCHAT_MOCK=1), and the tests (python -m pytest -q tests).</w:t>
      </w:r>
    </w:p>
    <w:p>
      <w:pPr>
        <w:spacing w:after="160"/>
      </w:pPr>
      <w:r>
        <w:rPr>
          <w:i w:val="0"/>
          <w:color w:val="201E19"/>
          <w:sz w:val="21"/>
        </w:rPr>
        <w:t>Because Colab gives the service a new URL on every restart, the URL is looked up at run time: notebook section 3 reports it to the API (PUT /api/signchat-url, routes/signchat.js, stored in app_settings), and client/src/api/signChat.ts reads it once per page load (GET), falling back to VITE_SIGNCHAT_API_BASE_URL. A permanent GPU host with a fixed address would make the hand-off unnecessary; it can stay as a fallback.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6455"/>
          <w:sz w:val="18"/>
        </w:rPr>
        <w:t>Figure 3. Finding the service, then one conversation turn.</w:t>
      </w:r>
    </w:p>
    <w:p>
      <w:pPr>
        <w:keepNext/>
        <w:spacing w:before="280" w:after="120"/>
      </w:pPr>
      <w:r>
        <w:rPr>
          <w:b/>
          <w:color w:val="1F3D7A"/>
          <w:sz w:val="28"/>
        </w:rPr>
        <w:t>8. Release process</w:t>
      </w:r>
    </w:p>
    <w:p>
      <w:pPr>
        <w:spacing w:after="160"/>
      </w:pPr>
      <w:r>
        <w:rPr>
          <w:i w:val="0"/>
          <w:color w:val="201E19"/>
          <w:sz w:val="21"/>
        </w:rPr>
        <w:t>Work is committed on develop, fast-forwarded to staging (Vercel builds a preview to check), then merged into master, which deploys the client (Vercel) and the API (Railway) automatically. Before merging to master: npm run build and npm run lint in website/client, npm run test:recognition in website/server, and a quick check of the preview. Never push straight to master.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026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6455"/>
          <w:sz w:val="18"/>
        </w:rPr>
        <w:t>Figure 4. Branches and what each one deploys.</w:t>
      </w:r>
    </w:p>
    <w:p>
      <w:pPr>
        <w:keepNext/>
        <w:spacing w:before="280" w:after="120"/>
      </w:pPr>
      <w:r>
        <w:rPr>
          <w:b/>
          <w:color w:val="1F3D7A"/>
          <w:sz w:val="28"/>
        </w:rPr>
        <w:t>9. Coding conventions observed</w:t>
      </w:r>
    </w:p>
    <w:p>
      <w:pPr>
        <w:pStyle w:val="ListBullet"/>
        <w:spacing w:after="60"/>
      </w:pPr>
      <w:r>
        <w:rPr>
          <w:color w:val="201E19"/>
          <w:sz w:val="21"/>
        </w:rPr>
        <w:t>Client: TypeScript in strict mode (React 19 + Vite); lint with npm run lint (oxlint).</w:t>
      </w:r>
    </w:p>
    <w:p>
      <w:pPr>
        <w:pStyle w:val="ListBullet"/>
        <w:spacing w:after="60"/>
      </w:pPr>
      <w:r>
        <w:rPr>
          <w:color w:val="201E19"/>
          <w:sz w:val="21"/>
        </w:rPr>
        <w:t>Server: plain CommonJS Node.js (no TypeScript, no ORM -- raw parameterized SQL via mysql2).</w:t>
      </w:r>
    </w:p>
    <w:p>
      <w:pPr>
        <w:pStyle w:val="ListBullet"/>
        <w:spacing w:after="60"/>
      </w:pPr>
      <w:r>
        <w:rPr>
          <w:color w:val="201E19"/>
          <w:sz w:val="21"/>
        </w:rPr>
        <w:t>camelCase at the API/JSON boundary; snake_case for DB columns -- translated by the format helpers, never leaked across that boundary in either direction.</w:t>
      </w:r>
    </w:p>
    <w:p>
      <w:pPr>
        <w:pStyle w:val="ListBullet"/>
        <w:spacing w:after="60"/>
      </w:pPr>
      <w:r>
        <w:rPr>
          <w:color w:val="201E19"/>
          <w:sz w:val="21"/>
        </w:rPr>
        <w:t>Design system lives entirely in client/src/styles/theme.css: IBM Plex Mono for display/labels, IBM Plex Sans for body text, with colour/spacing/radius as CSS custom properties.</w:t>
      </w:r>
    </w:p>
    <w:p>
      <w:pPr>
        <w:pStyle w:val="ListBullet"/>
        <w:spacing w:after="60"/>
      </w:pPr>
      <w:r>
        <w:rPr>
          <w:color w:val="201E19"/>
          <w:sz w:val="21"/>
        </w:rPr>
        <w:t>Comments explain why a non-obvious choice was made; keep that habit when changing the recognition or avatar code, where the reasons are not visible in the code itself.</w:t>
      </w:r>
    </w:p>
    <w:p>
      <w:pPr>
        <w:pStyle w:val="ListBullet"/>
        <w:spacing w:after="60"/>
      </w:pPr>
      <w:r>
        <w:rPr>
          <w:color w:val="201E19"/>
          <w:sz w:val="21"/>
        </w:rPr>
        <w:t>Interface wording uses Australian English (“Learnt”, “practise” as the verb); code identifiers keep their original names (learnedSigns, /learned) so saved lists and links keep working.</w:t>
      </w:r>
    </w:p>
    <w:p>
      <w:pPr>
        <w:keepNext/>
        <w:spacing w:before="280" w:after="120"/>
      </w:pPr>
      <w:r>
        <w:rPr>
          <w:b/>
          <w:color w:val="1F3D7A"/>
          <w:sz w:val="28"/>
        </w:rPr>
        <w:t>10. Standards &amp; compliance</w:t>
      </w:r>
    </w:p>
    <w:p>
      <w:pPr>
        <w:keepNext/>
        <w:spacing w:before="160" w:after="80"/>
      </w:pPr>
      <w:r>
        <w:rPr>
          <w:b/>
          <w:color w:val="201E19"/>
          <w:sz w:val="23"/>
        </w:rPr>
        <w:t>Data and asset licensing</w:t>
      </w:r>
    </w:p>
    <w:p>
      <w:pPr>
        <w:spacing w:after="160"/>
      </w:pPr>
      <w:r>
        <w:rPr>
          <w:i w:val="0"/>
          <w:color w:val="201E19"/>
          <w:sz w:val="21"/>
        </w:rPr>
        <w:t>Every sign record's source field must stay accurate. The licences of all third-party assets are listed in the Product Document, Section 4. The restricted ones are Creative Commons 4.0 non-commercial (or equivalent): the product may be used for non-commercial purposes only, and any commercial use needs a separate licence from each rights holder first. The SMPL-X model may not be redistributed, so it is not in the repository's build scripts.</w:t>
      </w:r>
    </w:p>
    <w:p>
      <w:pPr>
        <w:keepNext/>
        <w:spacing w:before="160" w:after="80"/>
      </w:pPr>
      <w:r>
        <w:rPr>
          <w:b/>
          <w:color w:val="201E19"/>
          <w:sz w:val="23"/>
        </w:rPr>
        <w:t>Privacy and security</w:t>
      </w:r>
    </w:p>
    <w:p>
      <w:pPr>
        <w:spacing w:after="160"/>
      </w:pPr>
      <w:r>
        <w:rPr>
          <w:i w:val="0"/>
          <w:color w:val="201E19"/>
          <w:sz w:val="21"/>
        </w:rPr>
        <w:t>Changes must keep the product within the Australian Privacy Principles (Privacy Act 1988) and the OWASP Top 10 measures mapped in the Support Document, Section 7 -- in particular: no new collection of personal information without a notice, parameterised SQL only, and authentication on any new write endpoint.</w:t>
      </w:r>
    </w:p>
    <w:p>
      <w:pPr>
        <w:keepNext/>
        <w:spacing w:before="160" w:after="80"/>
      </w:pPr>
      <w:r>
        <w:rPr>
          <w:b/>
          <w:color w:val="201E19"/>
          <w:sz w:val="23"/>
        </w:rPr>
        <w:t>Accessibility</w:t>
      </w:r>
    </w:p>
    <w:p>
      <w:pPr>
        <w:spacing w:after="160"/>
      </w:pPr>
      <w:r>
        <w:rPr>
          <w:i w:val="0"/>
          <w:color w:val="201E19"/>
          <w:sz w:val="21"/>
        </w:rPr>
        <w:t>Conformance level: WCAG 2.1 Level AA. Checked on 13 October 2026 with axe-core 4.10.2 (all WCAG 2.0, 2.1 and 2.2 A/AA rules) in Chrome on every page: home, library, sign detail, scenarios, scenario categories, To Learn, Learnt and Sign Chat. The demonstration videos have no audio, so captions are not required.</w:t>
      </w:r>
    </w:p>
    <w:p>
      <w:pPr>
        <w:spacing w:after="160"/>
      </w:pPr>
      <w:r>
        <w:rPr>
          <w:i w:val="0"/>
          <w:color w:val="201E19"/>
          <w:sz w:val="21"/>
        </w:rPr>
        <w:t>Keep it at AA when changing the interface: text needs a contrast of at least 4.5:1 (3:1 for large text), every control and progress bar needs an accessible name, and re-run axe on any page you change.</w:t>
      </w:r>
    </w:p>
    <w:p>
      <w:pPr>
        <w:keepNext/>
        <w:spacing w:before="160" w:after="80"/>
      </w:pPr>
      <w:r>
        <w:rPr>
          <w:b/>
          <w:color w:val="201E19"/>
          <w:sz w:val="23"/>
        </w:rPr>
        <w:t>Security hygiene going forward</w:t>
      </w:r>
    </w:p>
    <w:p>
      <w:pPr>
        <w:pStyle w:val="ListBullet"/>
        <w:spacing w:after="60"/>
      </w:pPr>
      <w:r>
        <w:rPr>
          <w:color w:val="201E19"/>
          <w:sz w:val="21"/>
        </w:rPr>
        <w:t>Secrets stay in environment variables only -- never hard-coded or committed.</w:t>
      </w:r>
    </w:p>
    <w:p>
      <w:pPr>
        <w:pStyle w:val="ListBullet"/>
        <w:spacing w:after="60"/>
      </w:pPr>
      <w:r>
        <w:rPr>
          <w:color w:val="201E19"/>
          <w:sz w:val="21"/>
        </w:rPr>
        <w:t>Add rate limiting (stricter on /api/recognize) and helmet before wider use; set CORS_ORIGIN explicitly.</w:t>
      </w:r>
    </w:p>
    <w:p>
      <w:pPr>
        <w:pStyle w:val="ListBullet"/>
        <w:spacing w:after="60"/>
      </w:pPr>
      <w:r>
        <w:rPr>
          <w:color w:val="201E19"/>
          <w:sz w:val="21"/>
        </w:rPr>
        <w:t>Any future write-capable endpoint must add real authentication/authorisation.</w:t>
      </w:r>
    </w:p>
    <w:p>
      <w:pPr>
        <w:pStyle w:val="ListBullet"/>
        <w:spacing w:after="60"/>
      </w:pPr>
      <w:r>
        <w:rPr>
          <w:color w:val="201E19"/>
          <w:sz w:val="21"/>
        </w:rPr>
        <w:t>Run npm audit periodically on both client and server and address high-severity advisories.</w:t>
      </w:r>
    </w:p>
    <w:p>
      <w:pPr>
        <w:keepNext/>
        <w:spacing w:before="280" w:after="120"/>
      </w:pPr>
      <w:r>
        <w:rPr>
          <w:b/>
          <w:color w:val="1F3D7A"/>
          <w:sz w:val="28"/>
        </w:rPr>
        <w:t>11. Roadmap / open epics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3C4"/>
          <w:left w:val="single" w:sz="4" w:space="0" w:color="D9D3C4"/>
          <w:bottom w:val="single" w:sz="4" w:space="0" w:color="D9D3C4"/>
          <w:right w:val="single" w:sz="4" w:space="0" w:color="D9D3C4"/>
          <w:insideH w:val="single" w:sz="4" w:space="0" w:color="D9D3C4"/>
          <w:insideV w:val="single" w:sz="4" w:space="0" w:color="D9D3C4"/>
        </w:tblBorders>
      </w:tblPr>
      <w:tblGrid>
        <w:gridCol w:w="4986"/>
        <w:gridCol w:w="4986"/>
      </w:tblGrid>
      <w:tr>
        <w:tc>
          <w:tcPr>
            <w:tcW w:type="dxa" w:w="4986"/>
            <w:tcW w:type="dxa" w:w="4300"/>
            <w:shd w:val="clear" w:color="auto" w:fill="1F3D7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tcW w:type="dxa" w:w="5672"/>
            <w:shd w:val="clear" w:color="auto" w:fill="1F3D7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  <w:tcW w:type="dxa" w:w="43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Basic quiz / self-check (Epic 3)</w:t>
            </w:r>
          </w:p>
        </w:tc>
        <w:tc>
          <w:tcPr>
            <w:tcW w:type="dxa" w:w="4986"/>
            <w:tcW w:type="dxa" w:w="56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Not yet built.</w:t>
            </w:r>
          </w:p>
        </w:tc>
      </w:tr>
      <w:tr>
        <w:tc>
          <w:tcPr>
            <w:tcW w:type="dxa" w:w="4986"/>
            <w:tcW w:type="dxa" w:w="43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Family mode for parent-child signing (Epic 6)</w:t>
            </w:r>
          </w:p>
        </w:tc>
        <w:tc>
          <w:tcPr>
            <w:tcW w:type="dxa" w:w="4986"/>
            <w:tcW w:type="dxa" w:w="56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Not yet built.</w:t>
            </w:r>
          </w:p>
        </w:tc>
      </w:tr>
      <w:tr>
        <w:tc>
          <w:tcPr>
            <w:tcW w:type="dxa" w:w="4986"/>
            <w:tcW w:type="dxa" w:w="43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Permanent hosting for the Sign Chat service</w:t>
            </w:r>
          </w:p>
        </w:tc>
        <w:tc>
          <w:tcPr>
            <w:tcW w:type="dxa" w:w="4986"/>
            <w:tcW w:type="dxa" w:w="56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Runs from a Colab notebook today, with weights in a team member's Google Drive (Support Document, Section 4). Needs a GPU host with at least 24 GB (e.g. an L4) and a fixed URL.</w:t>
            </w:r>
          </w:p>
        </w:tc>
      </w:tr>
      <w:tr>
        <w:tc>
          <w:tcPr>
            <w:tcW w:type="dxa" w:w="4986"/>
            <w:tcW w:type="dxa" w:w="43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Facial expression on the avatar</w:t>
            </w:r>
          </w:p>
        </w:tc>
        <w:tc>
          <w:tcPr>
            <w:tcW w:type="dxa" w:w="4986"/>
            <w:tcW w:type="dxa" w:w="56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Auslan grammar uses the face (e.g. raised brows for questions); the avatar's face is not driven yet.</w:t>
            </w:r>
          </w:p>
        </w:tc>
      </w:tr>
      <w:tr>
        <w:tc>
          <w:tcPr>
            <w:tcW w:type="dxa" w:w="4986"/>
            <w:tcW w:type="dxa" w:w="4300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Validation by fluent signers</w:t>
            </w:r>
          </w:p>
        </w:tc>
        <w:tc>
          <w:tcPr>
            <w:tcW w:type="dxa" w:w="4986"/>
            <w:tcW w:type="dxa" w:w="5672"/>
            <w:shd w:val="clear" w:color="auto" w:fill="FFFFFF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201E19"/>
                <w:sz w:val="19"/>
              </w:rPr>
              <w:t>Practice thresholds and Sign Chat output have not yet been checked by Auslan signers.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b/>
          <w:color w:val="1F3D7A"/>
          <w:sz w:val="28"/>
        </w:rPr>
        <w:t>12. Known technical debt</w:t>
      </w:r>
    </w:p>
    <w:p>
      <w:pPr>
        <w:pStyle w:val="ListBullet"/>
        <w:spacing w:after="60"/>
      </w:pPr>
      <w:r>
        <w:rPr>
          <w:color w:val="201E19"/>
          <w:sz w:val="21"/>
        </w:rPr>
        <w:t>ScenarioLearningPage (route /scenarios/:id) and its story data (scenarioStories.ts, useScenarioProgress, ScenarioWordLink) are no longer linked from anywhere and can be removed.</w:t>
      </w:r>
    </w:p>
    <w:p>
      <w:pPr>
        <w:pStyle w:val="ListBullet"/>
        <w:spacing w:after="60"/>
      </w:pPr>
      <w:r>
        <w:rPr>
          <w:color w:val="201E19"/>
          <w:sz w:val="21"/>
        </w:rPr>
        <w:t>Unused leftovers: the @pixiv/three-vrm dependency, client/public/avatar.vrm (untracked), and style rules in theme.css for the previous home page and scenario sidebar.</w:t>
      </w:r>
    </w:p>
    <w:p>
      <w:pPr>
        <w:pStyle w:val="ListBullet"/>
        <w:spacing w:after="60"/>
      </w:pPr>
      <w:r>
        <w:rPr>
          <w:color w:val="201E19"/>
          <w:sz w:val="21"/>
        </w:rPr>
        <w:t>smplx.glb is 6.2 MB, mostly the hair mesh; simplifying the hair would speed up the first avatar load.</w:t>
      </w:r>
    </w:p>
    <w:p>
      <w:pPr>
        <w:pStyle w:val="ListBullet"/>
        <w:spacing w:after="60"/>
      </w:pPr>
      <w:r>
        <w:rPr>
          <w:color w:val="201E19"/>
          <w:sz w:val="21"/>
        </w:rPr>
        <w:t>The home page plays up to 33 short videos at once (the cover plus the sign strip); consider fewer clips or playing them only on hover for low-end devices.</w:t>
      </w:r>
    </w:p>
    <w:p>
      <w:pPr>
        <w:pStyle w:val="ListBullet"/>
        <w:spacing w:after="60"/>
      </w:pPr>
      <w:r>
        <w:rPr>
          <w:color w:val="201E19"/>
          <w:sz w:val="21"/>
        </w:rPr>
        <w:t>The four cover clips in client/public/hero are the original 1080p Pexels downloads (2.7-9 MB each, 22 MB in total; one plays at a time). Re-encoding them to 720p with ffmpeg would cut them to about a quarter of that.</w:t>
      </w:r>
    </w:p>
    <w:p>
      <w:pPr>
        <w:pStyle w:val="ListBullet"/>
        <w:spacing w:after="60"/>
      </w:pPr>
      <w:r>
        <w:rPr>
          <w:color w:val="201E19"/>
          <w:sz w:val="21"/>
        </w:rPr>
        <w:t>Automated tests: the recognition parity test (server) and the Sign Chat service's pytest suite. There are no client tests and no CI pipeline beyond Vercel/Railway building on push.</w:t>
      </w:r>
    </w:p>
    <w:p>
      <w:pPr>
        <w:spacing w:before="320"/>
      </w:pPr>
      <w:r>
        <w:rPr>
          <w:color w:val="6B6455"/>
          <w:sz w:val="18"/>
        </w:rPr>
        <w:t>HandMirror — Maintenance Document · Team TE38 (BitDance) · FIT5120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01E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