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D7A"/>
          <w:sz w:val="20"/>
        </w:rPr>
        <w:t>HANDOVER PACKAGE — MAINTENANCE DOCUMENT</w:t>
      </w:r>
    </w:p>
    <w:p>
      <w:pPr>
        <w:spacing w:after="40"/>
      </w:pPr>
      <w:r>
        <w:rPr>
          <w:b/>
          <w:color w:val="201E19"/>
          <w:sz w:val="48"/>
        </w:rPr>
        <w:t>HandMirror</w:t>
      </w:r>
    </w:p>
    <w:p>
      <w:pPr>
        <w:spacing w:after="280"/>
      </w:pPr>
      <w:r>
        <w:rPr>
          <w:i/>
          <w:color w:val="6B6455"/>
          <w:sz w:val="20"/>
        </w:rPr>
        <w:t>Version 1.0 (living document -- updated each iteration) | Team TE38 · BitDance | FIT5120, Monash University</w:t>
      </w:r>
    </w:p>
    <w:p>
      <w:pPr>
        <w:spacing w:before="280" w:after="120"/>
      </w:pPr>
      <w:r>
        <w:rPr>
          <w:b/>
          <w:color w:val="1F3D7A"/>
          <w:sz w:val="28"/>
        </w:rPr>
        <w:t>1. Purpose</w:t>
      </w:r>
    </w:p>
    <w:p>
      <w:pPr>
        <w:spacing w:after="160"/>
      </w:pPr>
      <w:r>
        <w:rPr>
          <w:i w:val="0"/>
          <w:color w:val="201E19"/>
          <w:sz w:val="21"/>
        </w:rPr>
        <w:t>This document is for a future technical team extending HandMirror -- adding features, fixing bugs, or building out the epics still on the roadmap. It assumes the reader is a competent developer new to this specific codebase.</w:t>
      </w:r>
    </w:p>
    <w:p>
      <w:pPr>
        <w:spacing w:before="280" w:after="120"/>
      </w:pPr>
      <w:r>
        <w:rPr>
          <w:b/>
          <w:color w:val="1F3D7A"/>
          <w:sz w:val="28"/>
        </w:rPr>
        <w:t>2. Codebase map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2835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5669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What's there</w:t>
            </w:r>
          </w:p>
        </w:tc>
      </w:tr>
      <w:tr>
        <w:tc>
          <w:tcPr>
            <w:tcW w:type="dxa" w:w="2835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website/client/src/pages</w:t>
            </w:r>
          </w:p>
        </w:tc>
        <w:tc>
          <w:tcPr>
            <w:tcW w:type="dxa" w:w="5669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One component per route: HomePage, SignLibraryPage, SignDetailPage, LearnedSignsPage.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website/client/src/components</w:t>
            </w:r>
          </w:p>
        </w:tc>
        <w:tc>
          <w:tcPr>
            <w:tcW w:type="dxa" w:w="5669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Shared UI pieces (SiteHeader, ResultCard, SearchBar, CategoryRail, Pagination/, etc.).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website/client/src/api</w:t>
            </w:r>
          </w:p>
        </w:tc>
        <w:tc>
          <w:tcPr>
            <w:tcW w:type="dxa" w:w="5669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Typed fetch wrappers and shared TypeScript types for the server's JSON responses.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website/client/src/hooks</w:t>
            </w:r>
          </w:p>
        </w:tc>
        <w:tc>
          <w:tcPr>
            <w:tcW w:type="dxa" w:w="5669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Data-fetching and UI hooks (e.g. debounced search, tag list, sign search).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website/client/src/lib</w:t>
            </w:r>
          </w:p>
        </w:tc>
        <w:tc>
          <w:tcPr>
            <w:tcW w:type="dxa" w:w="5669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Small client-only utilities, e.g. localStorage-backed “learned signs” tracking.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website/client/src/styles/theme.css</w:t>
            </w:r>
          </w:p>
        </w:tc>
        <w:tc>
          <w:tcPr>
            <w:tcW w:type="dxa" w:w="5669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The whole design system in one file -- colour/type/radius tokens plus every page's styles.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website/server/src/routes</w:t>
            </w:r>
          </w:p>
        </w:tc>
        <w:tc>
          <w:tcPr>
            <w:tcW w:type="dxa" w:w="5669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One Express router per resource -- signs.js, recognize.js.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website/server/src/utils</w:t>
            </w:r>
          </w:p>
        </w:tc>
        <w:tc>
          <w:tcPr>
            <w:tcW w:type="dxa" w:w="5669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formatSign.js / formatVideo.js / pagination.js -- small, focused mapping and pagination helpers.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website/server/src/db.js</w:t>
            </w:r>
          </w:p>
        </w:tc>
        <w:tc>
          <w:tcPr>
            <w:tcW w:type="dxa" w:w="5669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The mysql2 connection pool, configured from env vars.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website/server/src/index.js</w:t>
            </w:r>
          </w:p>
        </w:tc>
        <w:tc>
          <w:tcPr>
            <w:tcW w:type="dxa" w:w="5669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Express app wiring: CORS, JSON body parsing, route mounting, 404 and error handlers.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3D7A"/>
          <w:sz w:val="28"/>
        </w:rPr>
        <w:t>3. Adding or editing sign content</w:t>
      </w:r>
    </w:p>
    <w:p>
      <w:pPr>
        <w:spacing w:after="160"/>
      </w:pPr>
      <w:r>
        <w:rPr>
          <w:i w:val="0"/>
          <w:color w:val="201E19"/>
          <w:sz w:val="21"/>
        </w:rPr>
        <w:t>gloss has a UNIQUE constraint, so an insert can double as an upsert:</w:t>
      </w:r>
    </w:p>
    <w:p>
      <w:pPr>
        <w:spacing w:after="160"/>
      </w:pPr>
      <w:r>
        <w:rPr>
          <w:i w:val="0"/>
          <w:color w:val="201E19"/>
          <w:sz w:val="18"/>
        </w:rPr>
        <w:t>INSERT INTO signs (gloss, definitions, usage_notes, tags, keywords, source)</w:t>
        <w:br/>
        <w:t>VALUES ('THANK YOU',</w:t>
        <w:br/>
        <w:t xml:space="preserve">  CAST('[{"partOfSpeech":"Interjection","senses":["A polite expression of gratitude."]}]' AS JSON),</w:t>
        <w:br/>
        <w:t xml:space="preserve">  CAST('["Touch fingertips to chin.", "Move hand forward toward the other person."]' AS JSON),</w:t>
        <w:br/>
        <w:t xml:space="preserve">  CAST('["greeting"]' AS JSON),</w:t>
        <w:br/>
        <w:t xml:space="preserve">  CAST('["thanks","cheers"]' AS JSON),</w:t>
        <w:br/>
        <w:t xml:space="preserve">  'Auslan Signbank (pending verification)');</w:t>
      </w:r>
    </w:p>
    <w:p>
      <w:pPr>
        <w:spacing w:after="160"/>
      </w:pPr>
      <w:r>
        <w:rPr>
          <w:i w:val="0"/>
          <w:color w:val="6B6455"/>
          <w:sz w:val="19"/>
        </w:rPr>
        <w:t>tags are visible classification chips (a sign can have several); keywords are search-only synonyms that are never shown in the UI. When in doubt: a genuine topic/category is a tag, another word someone might type to find the sign is a keyword.</w:t>
      </w:r>
    </w:p>
    <w:p>
      <w:pPr>
        <w:spacing w:before="280" w:after="120"/>
      </w:pPr>
      <w:r>
        <w:rPr>
          <w:b/>
          <w:color w:val="1F3D7A"/>
          <w:sz w:val="28"/>
        </w:rPr>
        <w:t>4. Extending the API</w:t>
      </w:r>
    </w:p>
    <w:p>
      <w:pPr>
        <w:pStyle w:val="ListBullet"/>
        <w:spacing w:after="60"/>
      </w:pPr>
      <w:r>
        <w:rPr>
          <w:color w:val="201E19"/>
          <w:sz w:val="21"/>
        </w:rPr>
        <w:t>One express.Router per resource, mounted in src/index.js -- follow the existing pattern in src/routes/signs.js for a new resource.</w:t>
      </w:r>
    </w:p>
    <w:p>
      <w:pPr>
        <w:pStyle w:val="ListBullet"/>
        <w:spacing w:after="60"/>
      </w:pPr>
      <w:r>
        <w:rPr>
          <w:color w:val="201E19"/>
          <w:sz w:val="21"/>
        </w:rPr>
        <w:t>Always use parameterized ? placeholders via mysql2 -- never string-concatenate user input into SQL.</w:t>
      </w:r>
    </w:p>
    <w:p>
      <w:pPr>
        <w:pStyle w:val="ListBullet"/>
        <w:spacing w:after="60"/>
      </w:pPr>
      <w:r>
        <w:rPr>
          <w:color w:val="201E19"/>
          <w:sz w:val="21"/>
        </w:rPr>
        <w:t>Map DB rows to the API's camelCase JSON shape through a small formatX helper in src/utils/ (see formatSign.js, formatVideo.js), keeping snake_case DB columns out of the public response shape.</w:t>
      </w:r>
    </w:p>
    <w:p>
      <w:pPr>
        <w:spacing w:before="280" w:after="120"/>
      </w:pPr>
      <w:r>
        <w:rPr>
          <w:b/>
          <w:color w:val="1F3D7A"/>
          <w:sz w:val="28"/>
        </w:rPr>
        <w:t>5. Implementing the reserved AI recognition feature</w:t>
      </w:r>
    </w:p>
    <w:p>
      <w:pPr>
        <w:spacing w:after="160"/>
      </w:pPr>
      <w:r>
        <w:rPr>
          <w:i w:val="0"/>
          <w:color w:val="201E19"/>
          <w:sz w:val="21"/>
        </w:rPr>
        <w:t>This is the largest open epic. The API contract is already fixed at POST /api/recognize (see src/routes/recognize.js), which today always returns 501 Not Implemented but documents the shape a real implementation must satisfy:</w:t>
      </w:r>
    </w:p>
    <w:p>
      <w:pPr>
        <w:spacing w:after="160"/>
      </w:pPr>
      <w:r>
        <w:rPr>
          <w:i w:val="0"/>
          <w:color w:val="201E19"/>
          <w:sz w:val="18"/>
        </w:rPr>
        <w:t>Request: { targetSignId: number, landmarks: Array&lt;{ timestamp: number, hand: "left"|"right", points: Array&lt;{x:number,y:number,z:number}&gt; }&gt; }</w:t>
        <w:br/>
        <w:t>Response: { status: "ok", targetSignId: number, predictedLabel: string, confidence: number (0-1), isMatch: boolean }</w:t>
      </w:r>
    </w:p>
    <w:p>
      <w:pPr>
        <w:spacing w:after="160"/>
      </w:pPr>
      <w:r>
        <w:rPr>
          <w:i w:val="0"/>
          <w:color w:val="201E19"/>
          <w:sz w:val="21"/>
        </w:rPr>
        <w:t>By design, hand/pose landmarks are meant to be extracted client-side (in-browser, via MediaPipe) so raw webcam video never needs to reach the server -- only numeric landmark coordinates are sent. The team's original proposal scoped the matching approach as DTW (dynamic time warping) against a cached reference template per sign.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3B8B8"/>
          <w:left w:val="single" w:sz="4" w:space="0" w:color="E3B8B8"/>
          <w:bottom w:val="single" w:sz="4" w:space="0" w:color="E3B8B8"/>
          <w:right w:val="single" w:sz="4" w:space="0" w:color="E3B8B8"/>
          <w:insideH w:val="single" w:sz="4" w:space="0" w:color="E3B8B8"/>
          <w:insideV w:val="single" w:sz="4" w:space="0" w:color="E3B8B8"/>
        </w:tblBorders>
      </w:tblPr>
      <w:tblGrid>
        <w:gridCol w:w="9972"/>
      </w:tblGrid>
      <w:tr>
        <w:tc>
          <w:tcPr>
            <w:tcW w:type="dxa" w:w="9972"/>
            <w:shd w:val="clear" w:color="auto" w:fill="FBEFEF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b/>
                <w:color w:val="9C2F2F"/>
                <w:sz w:val="19"/>
              </w:rPr>
              <w:t xml:space="preserve">TEAM TO COMPLETE: </w:t>
            </w:r>
            <w:r>
              <w:rPr>
                <w:color w:val="9C2F2F"/>
                <w:sz w:val="19"/>
              </w:rPr>
              <w:t>confirm the final ML/matching approach (DTW vs. a trained classifier, per the proposal's Iteration 2 design) before implementation starts.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3D7A"/>
          <w:sz w:val="28"/>
        </w:rPr>
        <w:t>6. Coding conventions observed</w:t>
      </w:r>
    </w:p>
    <w:p>
      <w:pPr>
        <w:pStyle w:val="ListBullet"/>
        <w:spacing w:after="60"/>
      </w:pPr>
      <w:r>
        <w:rPr>
          <w:color w:val="201E19"/>
          <w:sz w:val="21"/>
        </w:rPr>
        <w:t>Client: TypeScript in strict mode (React 19 + Vite).</w:t>
      </w:r>
    </w:p>
    <w:p>
      <w:pPr>
        <w:pStyle w:val="ListBullet"/>
        <w:spacing w:after="60"/>
      </w:pPr>
      <w:r>
        <w:rPr>
          <w:color w:val="201E19"/>
          <w:sz w:val="21"/>
        </w:rPr>
        <w:t>Server: plain CommonJS Node.js (no TypeScript, no ORM -- raw parameterized SQL via mysql2).</w:t>
      </w:r>
    </w:p>
    <w:p>
      <w:pPr>
        <w:pStyle w:val="ListBullet"/>
        <w:spacing w:after="60"/>
      </w:pPr>
      <w:r>
        <w:rPr>
          <w:color w:val="201E19"/>
          <w:sz w:val="21"/>
        </w:rPr>
        <w:t>camelCase at the API/JSON boundary; snake_case for DB columns -- translated by the formatX helpers, never leaked across that boundary in either direction.</w:t>
      </w:r>
    </w:p>
    <w:p>
      <w:pPr>
        <w:pStyle w:val="ListBullet"/>
        <w:spacing w:after="60"/>
      </w:pPr>
      <w:r>
        <w:rPr>
          <w:color w:val="201E19"/>
          <w:sz w:val="21"/>
        </w:rPr>
        <w:t>Design system lives entirely in client/src/styles/theme.css: IBM Plex Mono for display/labels, IBM Plex Sans for body text, with colour/spacing/radius as CSS custom properties.</w:t>
      </w:r>
    </w:p>
    <w:p>
      <w:pPr>
        <w:spacing w:before="280" w:after="120"/>
      </w:pPr>
      <w:r>
        <w:rPr>
          <w:b/>
          <w:color w:val="1F3D7A"/>
          <w:sz w:val="28"/>
        </w:rPr>
        <w:t>7. Standards &amp; compliance</w:t>
      </w:r>
    </w:p>
    <w:p>
      <w:pPr>
        <w:spacing w:before="160" w:after="80"/>
      </w:pPr>
      <w:r>
        <w:rPr>
          <w:b/>
          <w:color w:val="201E19"/>
          <w:sz w:val="23"/>
        </w:rPr>
        <w:t>Data licensing</w:t>
      </w:r>
    </w:p>
    <w:p>
      <w:pPr>
        <w:spacing w:after="160"/>
      </w:pPr>
      <w:r>
        <w:rPr>
          <w:i w:val="0"/>
          <w:color w:val="201E19"/>
          <w:sz w:val="21"/>
        </w:rPr>
        <w:t>Every sign record's source field must stay accurate -- anyone adding new content must record a correct provenance string rather than leaving it blank or copying an unrelated one.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3B8B8"/>
          <w:left w:val="single" w:sz="4" w:space="0" w:color="E3B8B8"/>
          <w:bottom w:val="single" w:sz="4" w:space="0" w:color="E3B8B8"/>
          <w:right w:val="single" w:sz="4" w:space="0" w:color="E3B8B8"/>
          <w:insideH w:val="single" w:sz="4" w:space="0" w:color="E3B8B8"/>
          <w:insideV w:val="single" w:sz="4" w:space="0" w:color="E3B8B8"/>
        </w:tblBorders>
      </w:tblPr>
      <w:tblGrid>
        <w:gridCol w:w="9972"/>
      </w:tblGrid>
      <w:tr>
        <w:tc>
          <w:tcPr>
            <w:tcW w:type="dxa" w:w="9972"/>
            <w:shd w:val="clear" w:color="auto" w:fill="FBEFEF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b/>
                <w:color w:val="9C2F2F"/>
                <w:sz w:val="19"/>
              </w:rPr>
              <w:t xml:space="preserve">TEAM TO COMPLETE: </w:t>
            </w:r>
            <w:r>
              <w:rPr>
                <w:color w:val="9C2F2F"/>
                <w:sz w:val="19"/>
              </w:rPr>
              <w:t>confirm Auslan Signbank's licence (CC BY-NC-ND 4.0, i.e. non-commercial, no derivatives) against the actual imported dataset's terms before any commercial sponsor use of that content.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201E19"/>
          <w:sz w:val="23"/>
        </w:rPr>
        <w:t>Accessibility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3B8B8"/>
          <w:left w:val="single" w:sz="4" w:space="0" w:color="E3B8B8"/>
          <w:bottom w:val="single" w:sz="4" w:space="0" w:color="E3B8B8"/>
          <w:right w:val="single" w:sz="4" w:space="0" w:color="E3B8B8"/>
          <w:insideH w:val="single" w:sz="4" w:space="0" w:color="E3B8B8"/>
          <w:insideV w:val="single" w:sz="4" w:space="0" w:color="E3B8B8"/>
        </w:tblBorders>
      </w:tblPr>
      <w:tblGrid>
        <w:gridCol w:w="9972"/>
      </w:tblGrid>
      <w:tr>
        <w:tc>
          <w:tcPr>
            <w:tcW w:type="dxa" w:w="9972"/>
            <w:shd w:val="clear" w:color="auto" w:fill="FBEFEF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b/>
                <w:color w:val="9C2F2F"/>
                <w:sz w:val="19"/>
              </w:rPr>
              <w:t xml:space="preserve">TEAM TO COMPLETE: </w:t>
            </w:r>
            <w:r>
              <w:rPr>
                <w:color w:val="9C2F2F"/>
                <w:sz w:val="19"/>
              </w:rPr>
              <w:t>confirm the WCAG conformance level actually tested (e.g. WCAG 2.1 AA) and document any known gaps.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201E19"/>
          <w:sz w:val="23"/>
        </w:rPr>
        <w:t>Security hygiene going forward</w:t>
      </w:r>
    </w:p>
    <w:p>
      <w:pPr>
        <w:pStyle w:val="ListBullet"/>
        <w:spacing w:after="60"/>
      </w:pPr>
      <w:r>
        <w:rPr>
          <w:color w:val="201E19"/>
          <w:sz w:val="21"/>
        </w:rPr>
        <w:t>Secrets stay in environment variables only -- never hard-coded or committed.</w:t>
      </w:r>
    </w:p>
    <w:p>
      <w:pPr>
        <w:pStyle w:val="ListBullet"/>
        <w:spacing w:after="60"/>
      </w:pPr>
      <w:r>
        <w:rPr>
          <w:color w:val="201E19"/>
          <w:sz w:val="21"/>
        </w:rPr>
        <w:t>Any future write-capable endpoint must add real authentication/authorisation -- none exists today because none is needed yet (the API is entirely read-only).</w:t>
      </w:r>
    </w:p>
    <w:p>
      <w:pPr>
        <w:pStyle w:val="ListBullet"/>
        <w:spacing w:after="60"/>
      </w:pPr>
      <w:r>
        <w:rPr>
          <w:color w:val="201E19"/>
          <w:sz w:val="21"/>
        </w:rPr>
        <w:t>Run npm audit periodically on both client and server and address high-severity advisories.</w:t>
      </w:r>
    </w:p>
    <w:p>
      <w:pPr>
        <w:spacing w:before="280" w:after="120"/>
      </w:pPr>
      <w:r>
        <w:rPr>
          <w:b/>
          <w:color w:val="1F3D7A"/>
          <w:sz w:val="28"/>
        </w:rPr>
        <w:t>8. Roadmap / open epics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5669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Epic</w:t>
            </w:r>
          </w:p>
        </w:tc>
        <w:tc>
          <w:tcPr>
            <w:tcW w:type="dxa" w:w="2835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5669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Basic quiz / self-check (Iteration 1)</w:t>
            </w:r>
          </w:p>
        </w:tc>
        <w:tc>
          <w:tcPr>
            <w:tcW w:type="dxa" w:w="2835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Not yet built.</w:t>
            </w:r>
          </w:p>
        </w:tc>
      </w:tr>
      <w:tr>
        <w:tc>
          <w:tcPr>
            <w:tcW w:type="dxa" w:w="5669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AI sign recognition &amp; webcam feedback (Iteration 2)</w:t>
            </w:r>
          </w:p>
        </w:tc>
        <w:tc>
          <w:tcPr>
            <w:tcW w:type="dxa" w:w="2835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Not yet built -- API contract reserved, see Section 5.</w:t>
            </w:r>
          </w:p>
        </w:tc>
      </w:tr>
      <w:tr>
        <w:tc>
          <w:tcPr>
            <w:tcW w:type="dxa" w:w="5669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Personalised learning / revision recommendations (Iteration 2)</w:t>
            </w:r>
          </w:p>
        </w:tc>
        <w:tc>
          <w:tcPr>
            <w:tcW w:type="dxa" w:w="2835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Not yet built.</w:t>
            </w:r>
          </w:p>
        </w:tc>
      </w:tr>
      <w:tr>
        <w:tc>
          <w:tcPr>
            <w:tcW w:type="dxa" w:w="5669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Family mode for parent-child signing (Iteration 3)</w:t>
            </w:r>
          </w:p>
        </w:tc>
        <w:tc>
          <w:tcPr>
            <w:tcW w:type="dxa" w:w="2835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Not yet built.</w:t>
            </w:r>
          </w:p>
        </w:tc>
      </w:tr>
      <w:tr>
        <w:tc>
          <w:tcPr>
            <w:tcW w:type="dxa" w:w="5669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Real-life conversation practice (Iteration 3)</w:t>
            </w:r>
          </w:p>
        </w:tc>
        <w:tc>
          <w:tcPr>
            <w:tcW w:type="dxa" w:w="2835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Not yet built.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3D7A"/>
          <w:sz w:val="28"/>
        </w:rPr>
        <w:t>9. Known technical debt</w:t>
      </w:r>
    </w:p>
    <w:p>
      <w:pPr>
        <w:pStyle w:val="ListBullet"/>
        <w:spacing w:after="60"/>
      </w:pPr>
      <w:r>
        <w:rPr>
          <w:color w:val="201E19"/>
          <w:sz w:val="21"/>
        </w:rPr>
        <w:t>POST /api/recognize is an unimplemented stub (501 Not Implemented).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3B8B8"/>
          <w:left w:val="single" w:sz="4" w:space="0" w:color="E3B8B8"/>
          <w:bottom w:val="single" w:sz="4" w:space="0" w:color="E3B8B8"/>
          <w:right w:val="single" w:sz="4" w:space="0" w:color="E3B8B8"/>
          <w:insideH w:val="single" w:sz="4" w:space="0" w:color="E3B8B8"/>
          <w:insideV w:val="single" w:sz="4" w:space="0" w:color="E3B8B8"/>
        </w:tblBorders>
      </w:tblPr>
      <w:tblGrid>
        <w:gridCol w:w="9972"/>
      </w:tblGrid>
      <w:tr>
        <w:tc>
          <w:tcPr>
            <w:tcW w:type="dxa" w:w="9972"/>
            <w:shd w:val="clear" w:color="auto" w:fill="FBEFEF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b/>
                <w:color w:val="9C2F2F"/>
                <w:sz w:val="19"/>
              </w:rPr>
              <w:t xml:space="preserve">TEAM TO COMPLETE: </w:t>
            </w:r>
            <w:r>
              <w:rPr>
                <w:color w:val="9C2F2F"/>
                <w:sz w:val="19"/>
              </w:rPr>
              <w:t>confirm whether an automated test suite or CI pipeline exists anywhere in the project beyond Vercel/Railway's own build-on-push -- neither client nor server package.json currently lists a test framework as a dependency.</w:t>
            </w:r>
          </w:p>
        </w:tc>
      </w:tr>
    </w:tbl>
    <w:p>
      <w:pPr>
        <w:spacing w:after="40"/>
      </w:pPr>
    </w:p>
    <w:p>
      <w:pPr>
        <w:spacing w:before="320"/>
      </w:pPr>
      <w:r>
        <w:rPr>
          <w:color w:val="6B6455"/>
          <w:sz w:val="18"/>
        </w:rPr>
        <w:t>HandMirror — Maintenance Document · Team TE38 (BitDance) · FIT5120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1E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