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3D7A"/>
          <w:sz w:val="20"/>
        </w:rPr>
        <w:t>HANDOVER PACKAGE — PRODUCT DOCUMENT</w:t>
      </w:r>
    </w:p>
    <w:p>
      <w:pPr>
        <w:spacing w:after="40"/>
      </w:pPr>
      <w:r>
        <w:rPr>
          <w:b/>
          <w:color w:val="201E19"/>
          <w:sz w:val="48"/>
        </w:rPr>
        <w:t>HandMirror</w:t>
      </w:r>
    </w:p>
    <w:p>
      <w:pPr>
        <w:spacing w:after="280"/>
      </w:pPr>
      <w:r>
        <w:rPr>
          <w:i/>
          <w:color w:val="6B6455"/>
          <w:sz w:val="20"/>
        </w:rPr>
        <w:t>Version 1.0 (living document -- updated each iteration) | Team TE38 · BitDance | FIT5120, Monash University</w:t>
      </w:r>
    </w:p>
    <w:p>
      <w:pPr>
        <w:spacing w:before="280" w:after="120"/>
      </w:pPr>
      <w:r>
        <w:rPr>
          <w:b/>
          <w:color w:val="1F3D7A"/>
          <w:sz w:val="28"/>
        </w:rPr>
        <w:t>1. Overview</w:t>
      </w:r>
    </w:p>
    <w:p>
      <w:pPr>
        <w:spacing w:after="160"/>
      </w:pPr>
      <w:r>
        <w:rPr>
          <w:i w:val="0"/>
          <w:color w:val="201E19"/>
          <w:sz w:val="21"/>
        </w:rPr>
        <w:t>HandMirror is a free, web-based Auslan (Australian Sign Language) sign reference and learning assistant. The version handed over here delivers Iteration 1 of the team's roadmap: a searchable Auslan sign dictionary with real video demonstrations for every entry. Later iterations (see Section 3) add AI-assisted practice feedback and personalised revision.</w:t>
      </w:r>
    </w:p>
    <w:p>
      <w:pPr>
        <w:spacing w:before="160" w:after="80"/>
      </w:pPr>
      <w:r>
        <w:rPr>
          <w:b/>
          <w:color w:val="201E19"/>
          <w:sz w:val="23"/>
        </w:rPr>
        <w:t>The problem</w:t>
      </w:r>
    </w:p>
    <w:p>
      <w:pPr>
        <w:spacing w:after="160"/>
      </w:pPr>
      <w:r>
        <w:rPr>
          <w:i w:val="0"/>
          <w:color w:val="201E19"/>
          <w:sz w:val="21"/>
        </w:rPr>
        <w:t>Parents and caregivers of young Deaf or hard-of-hearing children in Australia often have limited Auslan knowledge and struggle to find practical, trustworthy learning support for everyday family communication. Australian news coverage (ABC News, 2022) documented a family that secured NDIS funding but still could not find a suitable Auslan tutor -- funding does not always create access. Existing online resources are scattered, often move too fast for a beginner, and cannot confirm whether a learner is practising a sign correctly.</w:t>
      </w:r>
    </w:p>
    <w:p>
      <w:pPr>
        <w:spacing w:before="160" w:after="80"/>
      </w:pPr>
      <w:r>
        <w:rPr>
          <w:b/>
          <w:color w:val="201E19"/>
          <w:sz w:val="23"/>
        </w:rPr>
        <w:t>The audience</w:t>
      </w:r>
    </w:p>
    <w:p>
      <w:pPr>
        <w:spacing w:after="160"/>
      </w:pPr>
      <w:r>
        <w:rPr>
          <w:i w:val="0"/>
          <w:color w:val="201E19"/>
          <w:sz w:val="21"/>
        </w:rPr>
        <w:t>Primary audience: parents and caregivers of young Deaf or hard-of-hearing children in Australia, with limited Auslan knowledge and a need for flexible, family-friendly support. Primary persona: “Sarah Thompson”, 38, a parent and primary-school teacher who needs short, flexible learning sessions with progress tracking. Secondary audiences: Auslan beginners generally, and accessibility-focused learners (students, teachers).</w:t>
      </w:r>
    </w:p>
    <w:p>
      <w:pPr>
        <w:spacing w:before="160" w:after="80"/>
      </w:pPr>
      <w:r>
        <w:rPr>
          <w:b/>
          <w:color w:val="201E19"/>
          <w:sz w:val="23"/>
        </w:rPr>
        <w:t>Why it's important</w:t>
      </w:r>
    </w:p>
    <w:p>
      <w:pPr>
        <w:spacing w:after="160"/>
      </w:pPr>
      <w:r>
        <w:rPr>
          <w:i w:val="0"/>
          <w:color w:val="201E19"/>
          <w:sz w:val="21"/>
        </w:rPr>
        <w:t>The project addresses UN Sustainable Development Goal 4 (Quality Education) and Goal 10 (Reduced Inequalities) -- giving families a flexible, low-cost way to build practical Auslan at home, rather than depending on scarce tutor availability.</w:t>
      </w:r>
    </w:p>
    <w:p>
      <w:pPr>
        <w:spacing w:before="280" w:after="120"/>
      </w:pPr>
      <w:r>
        <w:rPr>
          <w:b/>
          <w:color w:val="1F3D7A"/>
          <w:sz w:val="28"/>
        </w:rPr>
        <w:t>2. What's built so far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3C4"/>
          <w:left w:val="single" w:sz="4" w:space="0" w:color="D9D3C4"/>
          <w:bottom w:val="single" w:sz="4" w:space="0" w:color="D9D3C4"/>
          <w:right w:val="single" w:sz="4" w:space="0" w:color="D9D3C4"/>
          <w:insideH w:val="single" w:sz="4" w:space="0" w:color="D9D3C4"/>
          <w:insideV w:val="single" w:sz="4" w:space="0" w:color="D9D3C4"/>
        </w:tblBorders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1F3D7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  <w:color w:val="FFFFFF"/>
                <w:sz w:val="19"/>
              </w:rPr>
              <w:t>Iteration</w:t>
            </w:r>
          </w:p>
        </w:tc>
        <w:tc>
          <w:tcPr>
            <w:tcW w:type="dxa" w:w="1701"/>
            <w:shd w:val="clear" w:color="auto" w:fill="1F3D7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4819"/>
            <w:shd w:val="clear" w:color="auto" w:fill="1F3D7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  <w:color w:val="FFFFFF"/>
                <w:sz w:val="19"/>
              </w:rPr>
              <w:t>Epics</w:t>
            </w:r>
          </w:p>
        </w:tc>
      </w:tr>
      <w:tr>
        <w:tc>
          <w:tcPr>
            <w:tcW w:type="dxa" w:w="1984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Iteration 1 -- Learn &amp; practise</w:t>
            </w:r>
          </w:p>
        </w:tc>
        <w:tc>
          <w:tcPr>
            <w:tcW w:type="dxa" w:w="1701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Delivered (this handover)</w:t>
            </w:r>
          </w:p>
        </w:tc>
        <w:tc>
          <w:tcPr>
            <w:tcW w:type="dxa" w:w="4819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Epic 1: Sign library search &amp; browse (keyword/tag search, category browsing, pagination). Epic 2: Sign demonstration &amp; learning (real demonstration video per entry, plain-English usage notes, mark-as-learned progress tracking, stored locally in the browser).</w:t>
            </w:r>
          </w:p>
        </w:tc>
      </w:tr>
      <w:tr>
        <w:tc>
          <w:tcPr>
            <w:tcW w:type="dxa" w:w="1984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Iteration 2 -- Improve accessibility</w:t>
            </w:r>
          </w:p>
        </w:tc>
        <w:tc>
          <w:tcPr>
            <w:tcW w:type="dxa" w:w="1701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Planned, not yet built</w:t>
            </w:r>
          </w:p>
        </w:tc>
        <w:tc>
          <w:tcPr>
            <w:tcW w:type="dxa" w:w="4819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Epic 4: AI sign recognition &amp; webcam feedback. Epic 5: Personalised learning / revision recommendations.</w:t>
            </w:r>
          </w:p>
        </w:tc>
      </w:tr>
      <w:tr>
        <w:tc>
          <w:tcPr>
            <w:tcW w:type="dxa" w:w="1984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Iteration 3 -- Personalise learning</w:t>
            </w:r>
          </w:p>
        </w:tc>
        <w:tc>
          <w:tcPr>
            <w:tcW w:type="dxa" w:w="1701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Planned, not yet built</w:t>
            </w:r>
          </w:p>
        </w:tc>
        <w:tc>
          <w:tcPr>
            <w:tcW w:type="dxa" w:w="4819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Epic 6: Family mode for parent-child signing. Epic 7: Real-life conversation practice.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i w:val="0"/>
          <w:color w:val="6B6455"/>
          <w:sz w:val="19"/>
        </w:rPr>
        <w:t>A basic quiz / self-check (originally scoped as part of Iteration 1's Epic 3) has not yet been built and remains open for a future iteration.</w:t>
      </w:r>
    </w:p>
    <w:p>
      <w:pPr>
        <w:spacing w:before="280" w:after="120"/>
      </w:pPr>
      <w:r>
        <w:rPr>
          <w:b/>
          <w:color w:val="1F3D7A"/>
          <w:sz w:val="28"/>
        </w:rPr>
        <w:t>3. How it works (high level)</w:t>
      </w:r>
    </w:p>
    <w:p>
      <w:pPr>
        <w:spacing w:after="160"/>
      </w:pPr>
      <w:r>
        <w:rPr>
          <w:i w:val="0"/>
          <w:color w:val="201E19"/>
          <w:sz w:val="21"/>
        </w:rPr>
        <w:t>React + TypeScript client (hosted on Vercel) calls a Node.js + Express REST API (hosted on Railway), backed by a shared MySQL database (also on Railway) and Cloudflare R2 for video hosting. Full technical detail, request flow, and deployment topology are in the companion System Architecture Document.</w:t>
      </w:r>
    </w:p>
    <w:p>
      <w:pPr>
        <w:spacing w:after="160"/>
      </w:pPr>
      <w:r>
        <w:rPr>
          <w:i w:val="0"/>
          <w:color w:val="6B6455"/>
          <w:sz w:val="19"/>
        </w:rPr>
        <w:t>Live product: https://handmirror.vercel.app   |   Source code: https://github.com/randlyoyo/FIT5120-TE38-SignLanguage</w:t>
      </w:r>
    </w:p>
    <w:p>
      <w:pPr>
        <w:spacing w:before="280" w:after="120"/>
      </w:pPr>
      <w:r>
        <w:rPr>
          <w:b/>
          <w:color w:val="1F3D7A"/>
          <w:sz w:val="28"/>
        </w:rPr>
        <w:t>4. Ethics &amp; responsible design</w:t>
      </w:r>
    </w:p>
    <w:p>
      <w:pPr>
        <w:spacing w:before="160" w:after="80"/>
      </w:pPr>
      <w:r>
        <w:rPr>
          <w:b/>
          <w:color w:val="201E19"/>
          <w:sz w:val="23"/>
        </w:rPr>
        <w:t>Data provenance and licensing</w:t>
      </w:r>
    </w:p>
    <w:p>
      <w:pPr>
        <w:spacing w:after="160"/>
      </w:pPr>
      <w:r>
        <w:rPr>
          <w:i w:val="0"/>
          <w:color w:val="201E19"/>
          <w:sz w:val="21"/>
        </w:rPr>
        <w:t>Every sign record carries a source field recording where its content came from (e.g. verified reference, or placeholder/demo data awaiting verification), so the product never silently presents unverified content as confirmed Auslan. The underlying dictionary sources considered during design included Auslan Signbank (Monash/Macquarie, CC BY-NC-ND 4.0), the team's own recordings (filmed with Auslan-fluent signers, consent obtained per signer), and research datasets such as MM-WLAuslan (UQ CV Lab) and the UCI Auslan Signs dataset (CC BY 4.0).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3B8B8"/>
          <w:left w:val="single" w:sz="4" w:space="0" w:color="E3B8B8"/>
          <w:bottom w:val="single" w:sz="4" w:space="0" w:color="E3B8B8"/>
          <w:right w:val="single" w:sz="4" w:space="0" w:color="E3B8B8"/>
          <w:insideH w:val="single" w:sz="4" w:space="0" w:color="E3B8B8"/>
          <w:insideV w:val="single" w:sz="4" w:space="0" w:color="E3B8B8"/>
        </w:tblBorders>
      </w:tblPr>
      <w:tblGrid>
        <w:gridCol w:w="9972"/>
      </w:tblGrid>
      <w:tr>
        <w:tc>
          <w:tcPr>
            <w:tcW w:type="dxa" w:w="9972"/>
            <w:shd w:val="clear" w:color="auto" w:fill="FBEFEF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r>
              <w:rPr>
                <w:b/>
                <w:color w:val="9C2F2F"/>
                <w:sz w:val="19"/>
              </w:rPr>
              <w:t xml:space="preserve">TEAM TO COMPLETE: </w:t>
            </w:r>
            <w:r>
              <w:rPr>
                <w:color w:val="9C2F2F"/>
                <w:sz w:val="19"/>
              </w:rPr>
              <w:t>confirm and document the exact licence terms for the dataset actually imported into production before any commercial sponsor use -- Auslan Signbank's CC BY-NC-ND 4.0 licence in particular restricts commercial use and derivative works.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b/>
          <w:color w:val="201E19"/>
          <w:sz w:val="23"/>
        </w:rPr>
        <w:t>Privacy</w:t>
      </w:r>
    </w:p>
    <w:p>
      <w:pPr>
        <w:spacing w:after="160"/>
      </w:pPr>
      <w:r>
        <w:rPr>
          <w:i w:val="0"/>
          <w:color w:val="201E19"/>
          <w:sz w:val="21"/>
        </w:rPr>
        <w:t>No user accounts exist. “Mark as learned” progress is stored only in the visitor's own browser (localStorage) and is never transmitted to or stored on the server. Iteration 1 involves no webcam or video capture of the user. The planned Iteration 2 recognition feature is designed so that hand/pose landmarks are extracted in-browser and no raw webcam video is stored or transmitted -- only numeric landmark coordinates would ever reach the model.</w:t>
      </w:r>
    </w:p>
    <w:p>
      <w:pPr>
        <w:spacing w:before="160" w:after="80"/>
      </w:pPr>
      <w:r>
        <w:rPr>
          <w:b/>
          <w:color w:val="201E19"/>
          <w:sz w:val="23"/>
        </w:rPr>
        <w:t>ACS Code of Conduct mapping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3C4"/>
          <w:left w:val="single" w:sz="4" w:space="0" w:color="D9D3C4"/>
          <w:bottom w:val="single" w:sz="4" w:space="0" w:color="D9D3C4"/>
          <w:right w:val="single" w:sz="4" w:space="0" w:color="D9D3C4"/>
          <w:insideH w:val="single" w:sz="4" w:space="0" w:color="D9D3C4"/>
          <w:insideV w:val="single" w:sz="4" w:space="0" w:color="D9D3C4"/>
        </w:tblBorders>
      </w:tblPr>
      <w:tblGrid>
        <w:gridCol w:w="4986"/>
        <w:gridCol w:w="4986"/>
      </w:tblGrid>
      <w:tr>
        <w:tc>
          <w:tcPr>
            <w:tcW w:type="dxa" w:w="1984"/>
            <w:shd w:val="clear" w:color="auto" w:fill="1F3D7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  <w:color w:val="FFFFFF"/>
                <w:sz w:val="19"/>
              </w:rPr>
              <w:t>ACS value</w:t>
            </w:r>
          </w:p>
        </w:tc>
        <w:tc>
          <w:tcPr>
            <w:tcW w:type="dxa" w:w="6803"/>
            <w:shd w:val="clear" w:color="auto" w:fill="1F3D7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  <w:color w:val="FFFFFF"/>
                <w:sz w:val="19"/>
              </w:rPr>
              <w:t>How HandMirror addresses it</w:t>
            </w:r>
          </w:p>
        </w:tc>
      </w:tr>
      <w:tr>
        <w:tc>
          <w:tcPr>
            <w:tcW w:type="dxa" w:w="1984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The public interest</w:t>
            </w:r>
          </w:p>
        </w:tc>
        <w:tc>
          <w:tcPr>
            <w:tcW w:type="dxa" w:w="6803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Targets a documented, real accessibility gap for Deaf/hard-of-hearing families rather than a purely commercial idea.</w:t>
            </w:r>
          </w:p>
        </w:tc>
      </w:tr>
      <w:tr>
        <w:tc>
          <w:tcPr>
            <w:tcW w:type="dxa" w:w="1984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Quality of life</w:t>
            </w:r>
          </w:p>
        </w:tc>
        <w:tc>
          <w:tcPr>
            <w:tcW w:type="dxa" w:w="6803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Free to use, no account required, reduces dependence on scarce and costly in-person tutoring.</w:t>
            </w:r>
          </w:p>
        </w:tc>
      </w:tr>
      <w:tr>
        <w:tc>
          <w:tcPr>
            <w:tcW w:type="dxa" w:w="1984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Honesty</w:t>
            </w:r>
          </w:p>
        </w:tc>
        <w:tc>
          <w:tcPr>
            <w:tcW w:type="dxa" w:w="6803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Every entry's source field discloses whether content is verified, placeholder, or pending verification -- never overstated as authoritative.</w:t>
            </w:r>
          </w:p>
        </w:tc>
      </w:tr>
      <w:tr>
        <w:tc>
          <w:tcPr>
            <w:tcW w:type="dxa" w:w="1984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Competence</w:t>
            </w:r>
          </w:p>
        </w:tc>
        <w:tc>
          <w:tcPr>
            <w:tcW w:type="dxa" w:w="6803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Search, pagination and data-access code paths are documented in the Support and Maintenance Documents for safe extension by future teams.</w:t>
            </w:r>
          </w:p>
        </w:tc>
      </w:tr>
      <w:tr>
        <w:tc>
          <w:tcPr>
            <w:tcW w:type="dxa" w:w="1984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Professional development</w:t>
            </w:r>
          </w:p>
        </w:tc>
        <w:tc>
          <w:tcPr>
            <w:tcW w:type="dxa" w:w="6803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Reserved, documented API contract (/api/recognize) lets a future ML contributor build the recognition feature without an API redesign.</w:t>
            </w:r>
          </w:p>
        </w:tc>
      </w:tr>
      <w:tr>
        <w:tc>
          <w:tcPr>
            <w:tcW w:type="dxa" w:w="1984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Professionalism</w:t>
            </w:r>
          </w:p>
        </w:tc>
        <w:tc>
          <w:tcPr>
            <w:tcW w:type="dxa" w:w="6803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Known limitations (Section 6 of the Support Document) are disclosed rather than hidden.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3B8B8"/>
          <w:left w:val="single" w:sz="4" w:space="0" w:color="E3B8B8"/>
          <w:bottom w:val="single" w:sz="4" w:space="0" w:color="E3B8B8"/>
          <w:right w:val="single" w:sz="4" w:space="0" w:color="E3B8B8"/>
          <w:insideH w:val="single" w:sz="4" w:space="0" w:color="E3B8B8"/>
          <w:insideV w:val="single" w:sz="4" w:space="0" w:color="E3B8B8"/>
        </w:tblBorders>
      </w:tblPr>
      <w:tblGrid>
        <w:gridCol w:w="9972"/>
      </w:tblGrid>
      <w:tr>
        <w:tc>
          <w:tcPr>
            <w:tcW w:type="dxa" w:w="9972"/>
            <w:shd w:val="clear" w:color="auto" w:fill="FBEFEF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r>
              <w:rPr>
                <w:b/>
                <w:color w:val="9C2F2F"/>
                <w:sz w:val="19"/>
              </w:rPr>
              <w:t xml:space="preserve">TEAM TO COMPLETE: </w:t>
            </w:r>
            <w:r>
              <w:rPr>
                <w:color w:val="9C2F2F"/>
                <w:sz w:val="19"/>
              </w:rPr>
              <w:t>attach the full Ethics Canvas artefact (from the Project Governance folder) and link it here.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b/>
          <w:color w:val="1F3D7A"/>
          <w:sz w:val="28"/>
        </w:rPr>
        <w:t>5. Team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3C4"/>
          <w:left w:val="single" w:sz="4" w:space="0" w:color="D9D3C4"/>
          <w:bottom w:val="single" w:sz="4" w:space="0" w:color="D9D3C4"/>
          <w:right w:val="single" w:sz="4" w:space="0" w:color="D9D3C4"/>
          <w:insideH w:val="single" w:sz="4" w:space="0" w:color="D9D3C4"/>
          <w:insideV w:val="single" w:sz="4" w:space="0" w:color="D9D3C4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3D7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2493"/>
            <w:shd w:val="clear" w:color="auto" w:fill="1F3D7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493"/>
            <w:shd w:val="clear" w:color="auto" w:fill="1F3D7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  <w:color w:val="FFFFFF"/>
                <w:sz w:val="19"/>
              </w:rPr>
              <w:t>Email</w:t>
            </w:r>
          </w:p>
        </w:tc>
        <w:tc>
          <w:tcPr>
            <w:tcW w:type="dxa" w:w="2493"/>
            <w:shd w:val="clear" w:color="auto" w:fill="1F3D7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  <w:color w:val="FFFFFF"/>
                <w:sz w:val="19"/>
              </w:rPr>
              <w:t>LinkedIn</w:t>
            </w:r>
          </w:p>
        </w:tc>
      </w:tr>
      <w:tr>
        <w:tc>
          <w:tcPr>
            <w:tcW w:type="dxa" w:w="2493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[Name]</w:t>
            </w:r>
          </w:p>
        </w:tc>
        <w:tc>
          <w:tcPr>
            <w:tcW w:type="dxa" w:w="2493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[Role]</w:t>
            </w:r>
          </w:p>
        </w:tc>
        <w:tc>
          <w:tcPr>
            <w:tcW w:type="dxa" w:w="2493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[email]</w:t>
            </w:r>
          </w:p>
        </w:tc>
        <w:tc>
          <w:tcPr>
            <w:tcW w:type="dxa" w:w="2493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[LinkedIn URL]</w:t>
            </w:r>
          </w:p>
        </w:tc>
      </w:tr>
      <w:tr>
        <w:tc>
          <w:tcPr>
            <w:tcW w:type="dxa" w:w="2493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[Name]</w:t>
            </w:r>
          </w:p>
        </w:tc>
        <w:tc>
          <w:tcPr>
            <w:tcW w:type="dxa" w:w="2493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[Role]</w:t>
            </w:r>
          </w:p>
        </w:tc>
        <w:tc>
          <w:tcPr>
            <w:tcW w:type="dxa" w:w="2493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[email]</w:t>
            </w:r>
          </w:p>
        </w:tc>
        <w:tc>
          <w:tcPr>
            <w:tcW w:type="dxa" w:w="2493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[LinkedIn URL]</w:t>
            </w:r>
          </w:p>
        </w:tc>
      </w:tr>
      <w:tr>
        <w:tc>
          <w:tcPr>
            <w:tcW w:type="dxa" w:w="2493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[Name]</w:t>
            </w:r>
          </w:p>
        </w:tc>
        <w:tc>
          <w:tcPr>
            <w:tcW w:type="dxa" w:w="2493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[Role]</w:t>
            </w:r>
          </w:p>
        </w:tc>
        <w:tc>
          <w:tcPr>
            <w:tcW w:type="dxa" w:w="2493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[email]</w:t>
            </w:r>
          </w:p>
        </w:tc>
        <w:tc>
          <w:tcPr>
            <w:tcW w:type="dxa" w:w="2493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[LinkedIn URL]</w:t>
            </w:r>
          </w:p>
        </w:tc>
      </w:tr>
      <w:tr>
        <w:tc>
          <w:tcPr>
            <w:tcW w:type="dxa" w:w="2493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[Name]</w:t>
            </w:r>
          </w:p>
        </w:tc>
        <w:tc>
          <w:tcPr>
            <w:tcW w:type="dxa" w:w="2493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[Role]</w:t>
            </w:r>
          </w:p>
        </w:tc>
        <w:tc>
          <w:tcPr>
            <w:tcW w:type="dxa" w:w="2493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[email]</w:t>
            </w:r>
          </w:p>
        </w:tc>
        <w:tc>
          <w:tcPr>
            <w:tcW w:type="dxa" w:w="2493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[LinkedIn URL]</w:t>
            </w:r>
          </w:p>
        </w:tc>
      </w:tr>
      <w:tr>
        <w:tc>
          <w:tcPr>
            <w:tcW w:type="dxa" w:w="2493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[Name]</w:t>
            </w:r>
          </w:p>
        </w:tc>
        <w:tc>
          <w:tcPr>
            <w:tcW w:type="dxa" w:w="2493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[Role]</w:t>
            </w:r>
          </w:p>
        </w:tc>
        <w:tc>
          <w:tcPr>
            <w:tcW w:type="dxa" w:w="2493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[email]</w:t>
            </w:r>
          </w:p>
        </w:tc>
        <w:tc>
          <w:tcPr>
            <w:tcW w:type="dxa" w:w="2493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[LinkedIn URL]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i w:val="0"/>
          <w:color w:val="6B6455"/>
          <w:sz w:val="19"/>
        </w:rPr>
        <w:t>Team TE38 · “BitDance” · FIT5120, Monash University.</w:t>
      </w:r>
    </w:p>
    <w:p>
      <w:pPr>
        <w:spacing w:before="280" w:after="120"/>
      </w:pPr>
      <w:r>
        <w:rPr>
          <w:b/>
          <w:color w:val="1F3D7A"/>
          <w:sz w:val="28"/>
        </w:rPr>
        <w:t>6. Potential sponsors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3C4"/>
          <w:left w:val="single" w:sz="4" w:space="0" w:color="D9D3C4"/>
          <w:bottom w:val="single" w:sz="4" w:space="0" w:color="D9D3C4"/>
          <w:right w:val="single" w:sz="4" w:space="0" w:color="D9D3C4"/>
          <w:insideH w:val="single" w:sz="4" w:space="0" w:color="D9D3C4"/>
          <w:insideV w:val="single" w:sz="4" w:space="0" w:color="D9D3C4"/>
        </w:tblBorders>
      </w:tblPr>
      <w:tblGrid>
        <w:gridCol w:w="4986"/>
        <w:gridCol w:w="4986"/>
      </w:tblGrid>
      <w:tr>
        <w:tc>
          <w:tcPr>
            <w:tcW w:type="dxa" w:w="2551"/>
            <w:shd w:val="clear" w:color="auto" w:fill="1F3D7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  <w:color w:val="FFFFFF"/>
                <w:sz w:val="19"/>
              </w:rPr>
              <w:t>Organisation</w:t>
            </w:r>
          </w:p>
        </w:tc>
        <w:tc>
          <w:tcPr>
            <w:tcW w:type="dxa" w:w="6236"/>
            <w:shd w:val="clear" w:color="auto" w:fill="1F3D7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  <w:color w:val="FFFFFF"/>
                <w:sz w:val="19"/>
              </w:rPr>
              <w:t>Why they fit</w:t>
            </w:r>
          </w:p>
        </w:tc>
      </w:tr>
      <w:tr>
        <w:tc>
          <w:tcPr>
            <w:tcW w:type="dxa" w:w="2551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Deaf Children Australia</w:t>
            </w:r>
          </w:p>
        </w:tc>
        <w:tc>
          <w:tcPr>
            <w:tcW w:type="dxa" w:w="6236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Runs family programs and Auslan resources; could validate family needs and test the platform directly with parents and caregivers.</w:t>
            </w:r>
          </w:p>
        </w:tc>
      </w:tr>
      <w:tr>
        <w:tc>
          <w:tcPr>
            <w:tcW w:type="dxa" w:w="2551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Expression Australia</w:t>
            </w:r>
          </w:p>
        </w:tc>
        <w:tc>
          <w:tcPr>
            <w:tcW w:type="dxa" w:w="6236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Provides Auslan education and services (incl. Auslan in the Home, Auslan Storytime); could advise on Auslan accuracy, accessibility and culturally appropriate design.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b/>
          <w:color w:val="1F3D7A"/>
          <w:sz w:val="28"/>
        </w:rPr>
        <w:t>7. Links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3C4"/>
          <w:left w:val="single" w:sz="4" w:space="0" w:color="D9D3C4"/>
          <w:bottom w:val="single" w:sz="4" w:space="0" w:color="D9D3C4"/>
          <w:right w:val="single" w:sz="4" w:space="0" w:color="D9D3C4"/>
          <w:insideH w:val="single" w:sz="4" w:space="0" w:color="D9D3C4"/>
          <w:insideV w:val="single" w:sz="4" w:space="0" w:color="D9D3C4"/>
        </w:tblBorders>
      </w:tblPr>
      <w:tblGrid>
        <w:gridCol w:w="4986"/>
        <w:gridCol w:w="4986"/>
      </w:tblGrid>
      <w:tr>
        <w:tc>
          <w:tcPr>
            <w:tcW w:type="dxa" w:w="3402"/>
            <w:shd w:val="clear" w:color="auto" w:fill="1F3D7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5386"/>
            <w:shd w:val="clear" w:color="auto" w:fill="1F3D7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  <w:color w:val="FFFFFF"/>
                <w:sz w:val="19"/>
              </w:rPr>
              <w:t>Link</w:t>
            </w:r>
          </w:p>
        </w:tc>
      </w:tr>
      <w:tr>
        <w:tc>
          <w:tcPr>
            <w:tcW w:type="dxa" w:w="340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Live product</w:t>
            </w:r>
          </w:p>
        </w:tc>
        <w:tc>
          <w:tcPr>
            <w:tcW w:type="dxa" w:w="5386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https://handmirror.vercel.app</w:t>
            </w:r>
          </w:p>
        </w:tc>
      </w:tr>
      <w:tr>
        <w:tc>
          <w:tcPr>
            <w:tcW w:type="dxa" w:w="340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Source code (GitHub)</w:t>
            </w:r>
          </w:p>
        </w:tc>
        <w:tc>
          <w:tcPr>
            <w:tcW w:type="dxa" w:w="5386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https://github.com/randlyoyo/FIT5120-TE38-SignLanguage</w:t>
            </w:r>
          </w:p>
        </w:tc>
      </w:tr>
      <w:tr>
        <w:tc>
          <w:tcPr>
            <w:tcW w:type="dxa" w:w="340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System Architecture Document</w:t>
            </w:r>
          </w:p>
        </w:tc>
        <w:tc>
          <w:tcPr>
            <w:tcW w:type="dxa" w:w="5386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See companion document, website/docs/system-architecture.docx</w:t>
            </w:r>
          </w:p>
        </w:tc>
      </w:tr>
      <w:tr>
        <w:tc>
          <w:tcPr>
            <w:tcW w:type="dxa" w:w="340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Product demo video</w:t>
            </w:r>
          </w:p>
        </w:tc>
        <w:tc>
          <w:tcPr>
            <w:tcW w:type="dxa" w:w="5386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[TEAM TO ADD]</w:t>
            </w:r>
          </w:p>
        </w:tc>
      </w:tr>
      <w:tr>
        <w:tc>
          <w:tcPr>
            <w:tcW w:type="dxa" w:w="340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Team / project LinkedIn</w:t>
            </w:r>
          </w:p>
        </w:tc>
        <w:tc>
          <w:tcPr>
            <w:tcW w:type="dxa" w:w="5386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[TEAM TO ADD]</w:t>
            </w:r>
          </w:p>
        </w:tc>
      </w:tr>
      <w:tr>
        <w:tc>
          <w:tcPr>
            <w:tcW w:type="dxa" w:w="340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Project Governance Portfolio (Google Drive)</w:t>
            </w:r>
          </w:p>
        </w:tc>
        <w:tc>
          <w:tcPr>
            <w:tcW w:type="dxa" w:w="5386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[TEAM TO ADD]</w:t>
            </w:r>
          </w:p>
        </w:tc>
      </w:tr>
    </w:tbl>
    <w:p>
      <w:pPr>
        <w:spacing w:after="40"/>
      </w:pPr>
    </w:p>
    <w:p>
      <w:pPr>
        <w:spacing w:before="320"/>
      </w:pPr>
      <w:r>
        <w:rPr>
          <w:color w:val="6B6455"/>
          <w:sz w:val="18"/>
        </w:rPr>
        <w:t>HandMirror — Product Document · Team TE38 (BitDance) · FIT5120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01E1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