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D7A"/>
          <w:sz w:val="20"/>
        </w:rPr>
        <w:t>HANDOVER PACKAGE — SUPPORT DOCUMENT</w:t>
      </w:r>
    </w:p>
    <w:p>
      <w:pPr>
        <w:spacing w:after="40"/>
      </w:pPr>
      <w:r>
        <w:rPr>
          <w:b/>
          <w:color w:val="201E19"/>
          <w:sz w:val="48"/>
        </w:rPr>
        <w:t>HandMirror</w:t>
      </w:r>
    </w:p>
    <w:p>
      <w:pPr>
        <w:spacing w:after="280"/>
      </w:pPr>
      <w:r>
        <w:rPr>
          <w:i/>
          <w:color w:val="6B6455"/>
          <w:sz w:val="20"/>
        </w:rPr>
        <w:t>Version 1.0 (living document -- updated each iteration) | Team TE38 · BitDance | FIT5120, Monash University</w:t>
      </w:r>
    </w:p>
    <w:p>
      <w:pPr>
        <w:spacing w:before="280" w:after="120"/>
      </w:pPr>
      <w:r>
        <w:rPr>
          <w:b/>
          <w:color w:val="1F3D7A"/>
          <w:sz w:val="28"/>
        </w:rPr>
        <w:t>1. Purpose &amp; audience</w:t>
      </w:r>
    </w:p>
    <w:p>
      <w:pPr>
        <w:spacing w:after="160"/>
      </w:pPr>
      <w:r>
        <w:rPr>
          <w:i w:val="0"/>
          <w:color w:val="201E19"/>
          <w:sz w:val="21"/>
        </w:rPr>
        <w:t>This document is for whoever operationally runs and supports the live HandMirror product once a sponsor has taken it on -- day-to-day operation, data loading, backups, and what to do when something breaks. It assumes no prior familiarity with the codebase (that's the companion Maintenance Document).</w:t>
      </w:r>
    </w:p>
    <w:p>
      <w:pPr>
        <w:spacing w:before="280" w:after="120"/>
      </w:pPr>
      <w:r>
        <w:rPr>
          <w:b/>
          <w:color w:val="1F3D7A"/>
          <w:sz w:val="28"/>
        </w:rPr>
        <w:t>2. System summary</w:t>
      </w:r>
    </w:p>
    <w:p>
      <w:pPr>
        <w:spacing w:after="160"/>
      </w:pPr>
      <w:r>
        <w:rPr>
          <w:i w:val="0"/>
          <w:color w:val="201E19"/>
          <w:sz w:val="21"/>
        </w:rPr>
        <w:t>HandMirror is a React + TypeScript client talking to a Node.js + Express REST API, backed by a shared MySQL database, with sign-demonstration videos served from Cloudflare R2. Full component-by-component detail, request flow, and deployment topology are in the companion System Architecture Document (website/docs/system-architecture.docx).</w:t>
      </w:r>
    </w:p>
    <w:p>
      <w:pPr>
        <w:spacing w:before="280" w:after="120"/>
      </w:pPr>
      <w:r>
        <w:rPr>
          <w:b/>
          <w:color w:val="1F3D7A"/>
          <w:sz w:val="28"/>
        </w:rPr>
        <w:t>3. Environments &amp; access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Environment</w:t>
            </w:r>
          </w:p>
        </w:tc>
        <w:tc>
          <w:tcPr>
            <w:tcW w:type="dxa" w:w="1984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5102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Address</w:t>
            </w:r>
          </w:p>
        </w:tc>
      </w:tr>
      <w:tr>
        <w:tc>
          <w:tcPr>
            <w:tcW w:type="dxa" w:w="170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Production</w:t>
            </w:r>
          </w:p>
        </w:tc>
        <w:tc>
          <w:tcPr>
            <w:tcW w:type="dxa" w:w="1984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Client (Vercel)</w:t>
            </w:r>
          </w:p>
        </w:tc>
        <w:tc>
          <w:tcPr>
            <w:tcW w:type="dxa" w:w="510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https://handmirror.vercel.app</w:t>
            </w:r>
          </w:p>
        </w:tc>
      </w:tr>
      <w:tr>
        <w:tc>
          <w:tcPr>
            <w:tcW w:type="dxa" w:w="170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Production</w:t>
            </w:r>
          </w:p>
        </w:tc>
        <w:tc>
          <w:tcPr>
            <w:tcW w:type="dxa" w:w="1984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API (Railway)</w:t>
            </w:r>
          </w:p>
        </w:tc>
        <w:tc>
          <w:tcPr>
            <w:tcW w:type="dxa" w:w="510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https://handmirror-server-production.up.railway.app</w:t>
            </w:r>
          </w:p>
        </w:tc>
      </w:tr>
      <w:tr>
        <w:tc>
          <w:tcPr>
            <w:tcW w:type="dxa" w:w="170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Production</w:t>
            </w:r>
          </w:p>
        </w:tc>
        <w:tc>
          <w:tcPr>
            <w:tcW w:type="dxa" w:w="1984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Database</w:t>
            </w:r>
          </w:p>
        </w:tc>
        <w:tc>
          <w:tcPr>
            <w:tcW w:type="dxa" w:w="510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MySQL on Railway (shared with the API service)</w:t>
            </w:r>
          </w:p>
        </w:tc>
      </w:tr>
      <w:tr>
        <w:tc>
          <w:tcPr>
            <w:tcW w:type="dxa" w:w="170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Local dev</w:t>
            </w:r>
          </w:p>
        </w:tc>
        <w:tc>
          <w:tcPr>
            <w:tcW w:type="dxa" w:w="1984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Both</w:t>
            </w:r>
          </w:p>
        </w:tc>
        <w:tc>
          <w:tcPr>
            <w:tcW w:type="dxa" w:w="510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cd website &amp;&amp; npm run install:all &amp;&amp; npm run seed &amp;&amp; npm run dev (client on :5173, server on :4000)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F3D7A"/>
          <w:sz w:val="28"/>
        </w:rPr>
        <w:t>4. Running &amp; operating the product</w:t>
      </w:r>
    </w:p>
    <w:p>
      <w:pPr>
        <w:spacing w:after="160"/>
      </w:pPr>
      <w:r>
        <w:rPr>
          <w:i w:val="0"/>
          <w:color w:val="201E19"/>
          <w:sz w:val="21"/>
        </w:rPr>
        <w:t>Client: a static Vite build, auto-deployed by Vercel on every push to the master branch of the GitHub repository -- no manual deploy step. Server: a plain long-running Node process on Railway, started with npm start; Railway restarts it automatically on crash. Neither service needs to be manually restarted for routine operation.</w:t>
      </w:r>
    </w:p>
    <w:p>
      <w:pPr>
        <w:spacing w:before="160" w:after="80"/>
      </w:pPr>
      <w:r>
        <w:rPr>
          <w:b/>
          <w:color w:val="201E19"/>
          <w:sz w:val="23"/>
        </w:rPr>
        <w:t>Required environment variables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134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Where</w:t>
            </w:r>
          </w:p>
        </w:tc>
        <w:tc>
          <w:tcPr>
            <w:tcW w:type="dxa" w:w="5386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984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PORT</w:t>
            </w:r>
          </w:p>
        </w:tc>
        <w:tc>
          <w:tcPr>
            <w:tcW w:type="dxa" w:w="1134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Server</w:t>
            </w:r>
          </w:p>
        </w:tc>
        <w:tc>
          <w:tcPr>
            <w:tcW w:type="dxa" w:w="5386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Port the Express server listens on (default 4000).</w:t>
            </w:r>
          </w:p>
        </w:tc>
      </w:tr>
      <w:tr>
        <w:tc>
          <w:tcPr>
            <w:tcW w:type="dxa" w:w="1984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DB_HOST / DB_PORT</w:t>
            </w:r>
          </w:p>
        </w:tc>
        <w:tc>
          <w:tcPr>
            <w:tcW w:type="dxa" w:w="1134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Server</w:t>
            </w:r>
          </w:p>
        </w:tc>
        <w:tc>
          <w:tcPr>
            <w:tcW w:type="dxa" w:w="5386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MySQL host and port.</w:t>
            </w:r>
          </w:p>
        </w:tc>
      </w:tr>
      <w:tr>
        <w:tc>
          <w:tcPr>
            <w:tcW w:type="dxa" w:w="1984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DB_USER / DB_PASSWORD</w:t>
            </w:r>
          </w:p>
        </w:tc>
        <w:tc>
          <w:tcPr>
            <w:tcW w:type="dxa" w:w="1134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Server</w:t>
            </w:r>
          </w:p>
        </w:tc>
        <w:tc>
          <w:tcPr>
            <w:tcW w:type="dxa" w:w="5386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MySQL credentials -- never commit real values.</w:t>
            </w:r>
          </w:p>
        </w:tc>
      </w:tr>
      <w:tr>
        <w:tc>
          <w:tcPr>
            <w:tcW w:type="dxa" w:w="1984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DB_NAME</w:t>
            </w:r>
          </w:p>
        </w:tc>
        <w:tc>
          <w:tcPr>
            <w:tcW w:type="dxa" w:w="1134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Server</w:t>
            </w:r>
          </w:p>
        </w:tc>
        <w:tc>
          <w:tcPr>
            <w:tcW w:type="dxa" w:w="5386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Database name (auslan_learning).</w:t>
            </w:r>
          </w:p>
        </w:tc>
      </w:tr>
      <w:tr>
        <w:tc>
          <w:tcPr>
            <w:tcW w:type="dxa" w:w="1984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CORS_ORIGIN</w:t>
            </w:r>
          </w:p>
        </w:tc>
        <w:tc>
          <w:tcPr>
            <w:tcW w:type="dxa" w:w="1134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Server</w:t>
            </w:r>
          </w:p>
        </w:tc>
        <w:tc>
          <w:tcPr>
            <w:tcW w:type="dxa" w:w="5386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The exact origin allowed to call the API (the deployed client's URL). Requests from any other origin are rejected by the browser.</w:t>
            </w:r>
          </w:p>
        </w:tc>
      </w:tr>
      <w:tr>
        <w:tc>
          <w:tcPr>
            <w:tcW w:type="dxa" w:w="1984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VIDEO_BASE_URL</w:t>
            </w:r>
          </w:p>
        </w:tc>
        <w:tc>
          <w:tcPr>
            <w:tcW w:type="dxa" w:w="1134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Server</w:t>
            </w:r>
          </w:p>
        </w:tc>
        <w:tc>
          <w:tcPr>
            <w:tcW w:type="dxa" w:w="5386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Base URL used to resolve a sign's demonstration video when its row has no explicit video_url.</w:t>
            </w:r>
          </w:p>
        </w:tc>
      </w:tr>
      <w:tr>
        <w:tc>
          <w:tcPr>
            <w:tcW w:type="dxa" w:w="1984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VITE_API_BASE_URL</w:t>
            </w:r>
          </w:p>
        </w:tc>
        <w:tc>
          <w:tcPr>
            <w:tcW w:type="dxa" w:w="1134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Client</w:t>
            </w:r>
          </w:p>
        </w:tc>
        <w:tc>
          <w:tcPr>
            <w:tcW w:type="dxa" w:w="5386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Base URL the client calls for the API, including the /api suffix (e.g. https://handmirror-server-production.up.railway.app/api).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 w:val="0"/>
          <w:color w:val="6B6455"/>
          <w:sz w:val="19"/>
        </w:rPr>
        <w:t>Actual values live only in each platform's project settings (Vercel / Railway environment variables), never in source control -- see Section 6.</w:t>
      </w:r>
    </w:p>
    <w:p>
      <w:pPr>
        <w:spacing w:before="280" w:after="120"/>
      </w:pPr>
      <w:r>
        <w:rPr>
          <w:b/>
          <w:color w:val="1F3D7A"/>
          <w:sz w:val="28"/>
        </w:rPr>
        <w:t>5. Data management</w:t>
      </w:r>
    </w:p>
    <w:p>
      <w:pPr>
        <w:spacing w:after="160"/>
      </w:pPr>
      <w:r>
        <w:rPr>
          <w:i w:val="0"/>
          <w:color w:val="201E19"/>
          <w:sz w:val="21"/>
        </w:rPr>
        <w:t>The database has two tables: signs (one row per sign -- gloss, definitions, usage notes, tags, keywords and a source provenance string, several columns stored as native JSON) and sign_videos (one or more demonstration videos per sign, foreign-keyed to signs with cascade delete).</w:t>
      </w:r>
    </w:p>
    <w:p>
      <w:pPr>
        <w:spacing w:before="160" w:after="80"/>
      </w:pPr>
      <w:r>
        <w:rPr>
          <w:b/>
          <w:color w:val="201E19"/>
          <w:sz w:val="23"/>
        </w:rPr>
        <w:t>Loading data</w:t>
      </w:r>
    </w:p>
    <w:p>
      <w:pPr>
        <w:pStyle w:val="ListBullet"/>
        <w:spacing w:after="60"/>
      </w:pPr>
      <w:r>
        <w:rPr>
          <w:color w:val="201E19"/>
          <w:sz w:val="21"/>
        </w:rPr>
        <w:t>npm run seed -- loads a small set of clearly-labelled placeholder demo signs (useful for local development only, never real Auslan content).</w:t>
      </w:r>
    </w:p>
    <w:p>
      <w:pPr>
        <w:pStyle w:val="ListBullet"/>
        <w:spacing w:after="60"/>
      </w:pPr>
      <w:r>
        <w:rPr>
          <w:color w:val="201E19"/>
          <w:sz w:val="21"/>
        </w:rPr>
        <w:t>npm run import:real -- imports the real dataset from server/data/signs.json and server/data/sign_videos.json into the configured database.</w:t>
      </w:r>
    </w:p>
    <w:p>
      <w:pPr>
        <w:spacing w:before="160" w:after="80"/>
      </w:pPr>
      <w:r>
        <w:rPr>
          <w:b/>
          <w:color w:val="201E19"/>
          <w:sz w:val="23"/>
        </w:rPr>
        <w:t>Backup &amp; restore</w:t>
      </w:r>
    </w:p>
    <w:p>
      <w:pPr>
        <w:spacing w:after="160"/>
      </w:pPr>
      <w:r>
        <w:rPr>
          <w:i w:val="0"/>
          <w:color w:val="201E19"/>
          <w:sz w:val="21"/>
        </w:rPr>
        <w:t>Example commands for a manual backup and restore of the production database:</w:t>
      </w:r>
    </w:p>
    <w:p>
      <w:pPr>
        <w:spacing w:after="160"/>
      </w:pPr>
      <w:r>
        <w:rPr>
          <w:i w:val="0"/>
          <w:color w:val="201E19"/>
          <w:sz w:val="19"/>
        </w:rPr>
        <w:t>mysqldump -h &lt;DB_HOST&gt; -P &lt;DB_PORT&gt; -u &lt;DB_USER&gt; -p auslan_learning &gt; backup.sql</w:t>
        <w:br/>
        <w:t>mysql -h &lt;DB_HOST&gt; -P &lt;DB_PORT&gt; -u &lt;DB_USER&gt; -p auslan_learning &lt; backup.sql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3B8B8"/>
          <w:left w:val="single" w:sz="4" w:space="0" w:color="E3B8B8"/>
          <w:bottom w:val="single" w:sz="4" w:space="0" w:color="E3B8B8"/>
          <w:right w:val="single" w:sz="4" w:space="0" w:color="E3B8B8"/>
          <w:insideH w:val="single" w:sz="4" w:space="0" w:color="E3B8B8"/>
          <w:insideV w:val="single" w:sz="4" w:space="0" w:color="E3B8B8"/>
        </w:tblBorders>
      </w:tblPr>
      <w:tblGrid>
        <w:gridCol w:w="9972"/>
      </w:tblGrid>
      <w:tr>
        <w:tc>
          <w:tcPr>
            <w:tcW w:type="dxa" w:w="9972"/>
            <w:shd w:val="clear" w:color="auto" w:fill="FBEFEF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r>
              <w:rPr>
                <w:b/>
                <w:color w:val="9C2F2F"/>
                <w:sz w:val="19"/>
              </w:rPr>
              <w:t xml:space="preserve">TEAM TO COMPLETE: </w:t>
            </w:r>
            <w:r>
              <w:rPr>
                <w:color w:val="9C2F2F"/>
                <w:sz w:val="19"/>
              </w:rPr>
              <w:t>confirm whether Railway's managed MySQL plan already provides automated backups, and if so document the restore process from a Railway snapshot instead.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F3D7A"/>
          <w:sz w:val="28"/>
        </w:rPr>
        <w:t>6. Security &amp; confidential information</w:t>
      </w:r>
    </w:p>
    <w:p>
      <w:pPr>
        <w:spacing w:after="160"/>
      </w:pPr>
      <w:r>
        <w:rPr>
          <w:i w:val="0"/>
          <w:color w:val="201E19"/>
          <w:sz w:val="21"/>
        </w:rPr>
        <w:t>There are no end-user accounts and no authentication layer -- every API endpoint is public and read-only (there are no write or delete endpoints exposed to the internet). Database credentials and other secrets exist only as environment variables in the Vercel/Railway project settings; the local .env file is git-ignored and is never committed (.env.example documents the required keys with no real values). Cross-origin requests are restricted to the configured CORS_ORIGIN.</w:t>
      </w:r>
    </w:p>
    <w:p>
      <w:pPr>
        <w:spacing w:before="160" w:after="80"/>
      </w:pPr>
      <w:r>
        <w:rPr>
          <w:b/>
          <w:color w:val="201E19"/>
          <w:sz w:val="23"/>
        </w:rPr>
        <w:t>Known limitations</w:t>
      </w:r>
    </w:p>
    <w:p>
      <w:pPr>
        <w:pStyle w:val="ListBullet"/>
        <w:spacing w:after="60"/>
      </w:pPr>
      <w:r>
        <w:rPr>
          <w:color w:val="201E19"/>
          <w:sz w:val="21"/>
        </w:rPr>
        <w:t>No rate-limiting middleware -- the API has no protection against high-volume automated requests.</w:t>
      </w:r>
    </w:p>
    <w:p>
      <w:pPr>
        <w:pStyle w:val="ListBullet"/>
        <w:spacing w:after="60"/>
      </w:pPr>
      <w:r>
        <w:rPr>
          <w:color w:val="201E19"/>
          <w:sz w:val="21"/>
        </w:rPr>
        <w:t>No helmet or equivalent security-headers middleware.</w:t>
      </w:r>
    </w:p>
    <w:p>
      <w:pPr>
        <w:pStyle w:val="ListBullet"/>
        <w:spacing w:after="60"/>
      </w:pPr>
      <w:r>
        <w:rPr>
          <w:color w:val="201E19"/>
          <w:sz w:val="21"/>
        </w:rPr>
        <w:t>POST /api/recognize is a stub only (always returns 501); it accepts no real input yet, so it currently carries no processing risk.</w:t>
      </w:r>
    </w:p>
    <w:p>
      <w:pPr>
        <w:pStyle w:val="ListBullet"/>
        <w:spacing w:after="60"/>
      </w:pPr>
      <w:r>
        <w:rPr>
          <w:color w:val="201E19"/>
          <w:sz w:val="21"/>
        </w:rPr>
        <w:t>No input length validation beyond MySQL's own column limits.</w:t>
      </w:r>
    </w:p>
    <w:p>
      <w:pPr>
        <w:spacing w:after="160"/>
      </w:pPr>
      <w:r>
        <w:rPr>
          <w:i w:val="0"/>
          <w:color w:val="6B6455"/>
          <w:sz w:val="19"/>
        </w:rPr>
        <w:t>Recommendation before wider public or commercial use: add express-rate-limit and helmet to the Express server.</w:t>
      </w:r>
    </w:p>
    <w:p>
      <w:pPr>
        <w:spacing w:before="280" w:after="120"/>
      </w:pPr>
      <w:r>
        <w:rPr>
          <w:b/>
          <w:color w:val="1F3D7A"/>
          <w:sz w:val="28"/>
        </w:rPr>
        <w:t>7. API reference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4986"/>
        <w:gridCol w:w="4986"/>
      </w:tblGrid>
      <w:tr>
        <w:tc>
          <w:tcPr>
            <w:tcW w:type="dxa" w:w="2268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6236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268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GET /api/signs</w:t>
            </w:r>
          </w:p>
        </w:tc>
        <w:tc>
          <w:tcPr>
            <w:tcW w:type="dxa" w:w="6236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Search/list signs. Optional query params: query (keyword search across gloss, tags, keywords, definitions), tag, page, pageSize (default 6, max 50).</w:t>
            </w:r>
          </w:p>
        </w:tc>
      </w:tr>
      <w:tr>
        <w:tc>
          <w:tcPr>
            <w:tcW w:type="dxa" w:w="2268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GET /api/signs/tags</w:t>
            </w:r>
          </w:p>
        </w:tc>
        <w:tc>
          <w:tcPr>
            <w:tcW w:type="dxa" w:w="6236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Distinct tag categories with counts, for the library's category rail.</w:t>
            </w:r>
          </w:p>
        </w:tc>
      </w:tr>
      <w:tr>
        <w:tc>
          <w:tcPr>
            <w:tcW w:type="dxa" w:w="2268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GET /api/signs/:id</w:t>
            </w:r>
          </w:p>
        </w:tc>
        <w:tc>
          <w:tcPr>
            <w:tcW w:type="dxa" w:w="6236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Single sign detail, including its demonstration videos. 404 if the id doesn't exist.</w:t>
            </w:r>
          </w:p>
        </w:tc>
      </w:tr>
      <w:tr>
        <w:tc>
          <w:tcPr>
            <w:tcW w:type="dxa" w:w="2268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POST /api/recognize</w:t>
            </w:r>
          </w:p>
        </w:tc>
        <w:tc>
          <w:tcPr>
            <w:tcW w:type="dxa" w:w="6236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Reserved stub for the future AI sign-recognition model. Always returns 501 Not Implemented today; the response body documents the request/response shape a future implementation must satisfy.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F3D7A"/>
          <w:sz w:val="28"/>
        </w:rPr>
        <w:t>8. Troubleshooting guide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4986"/>
        <w:gridCol w:w="4986"/>
      </w:tblGrid>
      <w:tr>
        <w:tc>
          <w:tcPr>
            <w:tcW w:type="dxa" w:w="2835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5669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Likely cause / fix</w:t>
            </w:r>
          </w:p>
        </w:tc>
      </w:tr>
      <w:tr>
        <w:tc>
          <w:tcPr>
            <w:tcW w:type="dxa" w:w="2835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Server won't start</w:t>
            </w:r>
          </w:p>
        </w:tc>
        <w:tc>
          <w:tcPr>
            <w:tcW w:type="dxa" w:w="5669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Check DB_HOST/DB_PORT/DB_USER/DB_PASSWORD/DB_NAME point to a reachable MySQL instance.</w:t>
            </w:r>
          </w:p>
        </w:tc>
      </w:tr>
      <w:tr>
        <w:tc>
          <w:tcPr>
            <w:tcW w:type="dxa" w:w="2835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CORS error in the browser console</w:t>
            </w:r>
          </w:p>
        </w:tc>
        <w:tc>
          <w:tcPr>
            <w:tcW w:type="dxa" w:w="5669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CORS_ORIGIN on the server doesn't match the client's actual deployed origin.</w:t>
            </w:r>
          </w:p>
        </w:tc>
      </w:tr>
      <w:tr>
        <w:tc>
          <w:tcPr>
            <w:tcW w:type="dxa" w:w="2835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Videos don't play / show black</w:t>
            </w:r>
          </w:p>
        </w:tc>
        <w:tc>
          <w:tcPr>
            <w:tcW w:type="dxa" w:w="5669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VIDEO_BASE_URL isn't set, or the Cloudflare R2 bucket it points to is unreachable.</w:t>
            </w:r>
          </w:p>
        </w:tc>
      </w:tr>
      <w:tr>
        <w:tc>
          <w:tcPr>
            <w:tcW w:type="dxa" w:w="2835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Search returns zero results</w:t>
            </w:r>
          </w:p>
        </w:tc>
        <w:tc>
          <w:tcPr>
            <w:tcW w:type="dxa" w:w="5669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The database hasn't been seeded or imported yet -- run npm run seed or npm run import:real.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F3D7A"/>
          <w:sz w:val="28"/>
        </w:rPr>
        <w:t>9. Support contacts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3B8B8"/>
          <w:left w:val="single" w:sz="4" w:space="0" w:color="E3B8B8"/>
          <w:bottom w:val="single" w:sz="4" w:space="0" w:color="E3B8B8"/>
          <w:right w:val="single" w:sz="4" w:space="0" w:color="E3B8B8"/>
          <w:insideH w:val="single" w:sz="4" w:space="0" w:color="E3B8B8"/>
          <w:insideV w:val="single" w:sz="4" w:space="0" w:color="E3B8B8"/>
        </w:tblBorders>
      </w:tblPr>
      <w:tblGrid>
        <w:gridCol w:w="9972"/>
      </w:tblGrid>
      <w:tr>
        <w:tc>
          <w:tcPr>
            <w:tcW w:type="dxa" w:w="9972"/>
            <w:shd w:val="clear" w:color="auto" w:fill="FBEFEF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r>
              <w:rPr>
                <w:b/>
                <w:color w:val="9C2F2F"/>
                <w:sz w:val="19"/>
              </w:rPr>
              <w:t xml:space="preserve">TEAM TO COMPLETE: </w:t>
            </w:r>
            <w:r>
              <w:rPr>
                <w:color w:val="9C2F2F"/>
                <w:sz w:val="19"/>
              </w:rPr>
              <w:t>list who a sponsor's support staff should contact for ongoing issues (name/email/role).</w:t>
            </w:r>
          </w:p>
        </w:tc>
      </w:tr>
    </w:tbl>
    <w:p>
      <w:pPr>
        <w:spacing w:after="40"/>
      </w:pPr>
    </w:p>
    <w:p>
      <w:pPr>
        <w:spacing w:before="320"/>
      </w:pPr>
      <w:r>
        <w:rPr>
          <w:color w:val="6B6455"/>
          <w:sz w:val="18"/>
        </w:rPr>
        <w:t>HandMirror — Support Document · Team TE38 (BitDance) · FIT5120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1E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