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Jowe</w:t>
      </w:r>
    </w:p>
    <w:bookmarkStart w:id="20" w:name="section"/>
    <w:p>
      <w:pPr>
        <w:pStyle w:val="Heading1"/>
      </w:pPr>
      <w:r>
        <w:t xml:space="preserve">1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A is that as we increase the dosage of the first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B is that as we increase the dosage of the second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I would use the smallest multiplier out of the three for precision since all multipliers can be used.</w:t>
      </w:r>
    </w:p>
    <w:p>
      <w:pPr>
        <w:pStyle w:val="Compact"/>
        <w:numPr>
          <w:ilvl w:val="0"/>
          <w:numId w:val="1001"/>
        </w:numPr>
      </w:pPr>
      <w:r>
        <w:t xml:space="preserve">If we assume no interaction effect, I would say increasing factor A is generally more important for increasing the number of hours of relief since there is a bigger increase from low to medium and medium to high for factor A compared to factor B.</w:t>
      </w:r>
    </w:p>
    <w:bookmarkEnd w:id="20"/>
    <w:bookmarkStart w:id="21" w:name="section-1"/>
    <w:p>
      <w:pPr>
        <w:pStyle w:val="Heading1"/>
      </w:pPr>
      <w:r>
        <w:t xml:space="preserve">2</w:t>
      </w:r>
    </w:p>
    <w:p>
      <w:pPr>
        <w:numPr>
          <w:ilvl w:val="0"/>
          <w:numId w:val="1002"/>
        </w:numPr>
      </w:pPr>
      <w:r>
        <w:t xml:space="preserve">The 95%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0.9558324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0.5441676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We are 95% certain that the difference of hours of relief on average between low dosage of factor A and low dosage of factor B is around 0.5441676 to 0.9558324 lower. This means for low dosage of either drug, people are better off with drug B.</w:t>
      </w:r>
    </w:p>
    <w:p>
      <w:pPr>
        <w:numPr>
          <w:ilvl w:val="0"/>
          <w:numId w:val="1002"/>
        </w:numPr>
      </w:pPr>
      <w:r>
        <w:t xml:space="preserve">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6.2566421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5.6433579</m:t>
            </m:r>
          </m:e>
        </m:d>
      </m:oMath>
      <w:r>
        <w:t xml:space="preserve">. 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4.6566421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4.0433579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tells us that we are 99% certain that difference of hours of relief on average between a low dosage of drug A and a high dosage of drug A is around 5.6433579 to 6.2566421 lower.</w:t>
      </w:r>
    </w:p>
    <w:p>
      <w:pPr>
        <w:numPr>
          <w:ilvl w:val="0"/>
          <w:numId w:val="1002"/>
        </w:numPr>
      </w:pPr>
      <w:r>
        <w:t xml:space="preserve">The 90%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2.3958772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1.8041228</m:t>
            </m:r>
          </m:e>
        </m:d>
      </m:oMath>
      <w:r>
        <w:t xml:space="preserve">. We are 90% certain that the difference of hours of relief on average between low dosage of factor A and high dosage of factor A is around 1.8041228 to 2.3958772 lower for those who took low dosage of factor B.</w:t>
      </w:r>
    </w:p>
    <w:bookmarkEnd w:id="21"/>
    <w:bookmarkStart w:id="22" w:name="section-2"/>
    <w:p>
      <w:pPr>
        <w:pStyle w:val="Heading1"/>
      </w:pPr>
      <w:r>
        <w:t xml:space="preserve">3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I would have them take a high dosage of drug A and drug B because we have clearly shown higher dosages of both drugs yields better results.</w:t>
      </w:r>
    </w:p>
    <w:bookmarkEnd w:id="22"/>
    <w:bookmarkStart w:id="23" w:name="section-3"/>
    <w:p>
      <w:pPr>
        <w:pStyle w:val="Heading1"/>
      </w:pPr>
      <w:r>
        <w:t xml:space="preserve">4</w:t>
      </w:r>
    </w:p>
    <w:p>
      <w:pPr>
        <w:pStyle w:val="Compact"/>
        <w:numPr>
          <w:ilvl w:val="0"/>
          <w:numId w:val="1004"/>
        </w:numPr>
      </w:pPr>
      <w:r>
        <w:t xml:space="preserve">Yes, a weighted confidence interval changes the bounds compared to the unweighted confidence interval. Lets look at the equation for confidence interval:</w:t>
      </w:r>
    </w:p>
    <w:p>
      <w:pPr>
        <w:pStyle w:val="Compact"/>
        <w:numPr>
          <w:ilvl w:val="1"/>
          <w:numId w:val="1005"/>
        </w:numPr>
      </w:pPr>
      <m:oMath>
        <m:r>
          <m:rPr>
            <m:sty m:val="p"/>
          </m:rPr>
          <m:t>∑</m:t>
        </m:r>
        <m:r>
          <m:rPr>
            <m:sty m:val="p"/>
          </m:rPr>
          <m:t>∑</m:t>
        </m:r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d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S</m:t>
                </m:r>
                <m:r>
                  <m:t>E</m:t>
                </m:r>
              </m:e>
            </m:d>
          </m:sub>
        </m:sSub>
        <m:rad>
          <m:radPr>
            <m:degHide m:val="on"/>
          </m:radPr>
          <m:deg/>
          <m:e>
            <m:r>
              <m:t>M</m:t>
            </m:r>
            <m:r>
              <m:t>S</m:t>
            </m:r>
            <m:r>
              <m:t>E</m:t>
            </m:r>
            <m:r>
              <m:rPr>
                <m:sty m:val="p"/>
              </m:rPr>
              <m:t>∑</m:t>
            </m:r>
            <m:r>
              <m:rPr>
                <m:sty m:val="p"/>
              </m:rPr>
              <m:t>∑</m:t>
            </m:r>
            <m:f>
              <m:fPr>
                <m:type m:val="bar"/>
              </m:fPr>
              <m:num>
                <m:sSubSup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den>
            </m:f>
          </m:e>
        </m:rad>
      </m:oMath>
    </w:p>
    <w:p>
      <w:pPr>
        <w:pStyle w:val="Compact"/>
        <w:numPr>
          <w:ilvl w:val="1"/>
          <w:numId w:val="1005"/>
        </w:numPr>
      </w:pPr>
      <w:r>
        <w:t xml:space="preserve">We can tell that the weights can change not only the center of the confidence interval but also the spread of the confidence interval. Both of these will affect the bounds.</w:t>
      </w:r>
    </w:p>
    <w:p>
      <w:pPr>
        <w:pStyle w:val="Compact"/>
        <w:numPr>
          <w:ilvl w:val="0"/>
          <w:numId w:val="1004"/>
        </w:numPr>
      </w:pPr>
      <w:r>
        <w:t xml:space="preserve">I would suggest equal weights because unequal weights will make the result difficult to interpret.</w:t>
      </w:r>
    </w:p>
    <w:p>
      <w:pPr>
        <w:pStyle w:val="Compact"/>
        <w:numPr>
          <w:ilvl w:val="0"/>
          <w:numId w:val="1004"/>
        </w:numPr>
      </w:pPr>
      <w:r>
        <w:t xml:space="preserve">One reason to give unequal weights for smokers is due to the unequal sample sizes. Since the sample size of smokers is larger, we can assign a larger weight to this as it is more reliable information and indicates greater precision.</w:t>
      </w:r>
    </w:p>
    <w:p>
      <w:pPr>
        <w:pStyle w:val="Compact"/>
        <w:numPr>
          <w:ilvl w:val="0"/>
          <w:numId w:val="1004"/>
        </w:numPr>
      </w:pPr>
      <w:r>
        <w:t xml:space="preserve">One reason to give equal weights is because unequal weights makes interpretation of the result difficult.</w:t>
      </w:r>
    </w:p>
    <w:bookmarkEnd w:id="23"/>
    <w:bookmarkStart w:id="24" w:name="section-4"/>
    <w:p>
      <w:pPr>
        <w:pStyle w:val="Heading1"/>
      </w:pPr>
      <w:r>
        <w:t xml:space="preserve">5</w:t>
      </w:r>
    </w:p>
    <w:p>
      <w:pPr>
        <w:pStyle w:val="Compact"/>
        <w:numPr>
          <w:ilvl w:val="0"/>
          <w:numId w:val="1006"/>
        </w:numPr>
      </w:pPr>
      <w:r>
        <w:t xml:space="preserve">We are 95% certain that females on average have around 0.84 to 2.18 less lung capacity compared to males.</w:t>
      </w:r>
    </w:p>
    <w:p>
      <w:pPr>
        <w:pStyle w:val="Compact"/>
        <w:numPr>
          <w:ilvl w:val="0"/>
          <w:numId w:val="1006"/>
        </w:numPr>
      </w:pPr>
      <w:r>
        <w:t xml:space="preserve">It would be unusual because -3 is not in our confidence interval.</w:t>
      </w:r>
    </w:p>
    <w:p>
      <w:pPr>
        <w:pStyle w:val="Compact"/>
        <w:numPr>
          <w:ilvl w:val="0"/>
          <w:numId w:val="1006"/>
        </w:numPr>
      </w:pPr>
      <w:r>
        <w:t xml:space="preserve">We are 95% certain that nonsmokers on average have around 1.82 to 2.45 more lung capacity compared to smokers.</w:t>
      </w:r>
    </w:p>
    <w:p>
      <w:pPr>
        <w:pStyle w:val="Compact"/>
        <w:numPr>
          <w:ilvl w:val="0"/>
          <w:numId w:val="1006"/>
        </w:numPr>
      </w:pPr>
      <w:r>
        <w:t xml:space="preserve">Yes, because 0 is not in our confidence interval.</w:t>
      </w:r>
    </w:p>
    <w:bookmarkEnd w:id="24"/>
    <w:bookmarkStart w:id="25" w:name="section-5"/>
    <w:p>
      <w:pPr>
        <w:pStyle w:val="Heading1"/>
      </w:pPr>
      <w:r>
        <w:t xml:space="preserve">6</w:t>
      </w:r>
    </w:p>
    <w:p>
      <w:pPr>
        <w:pStyle w:val="Compact"/>
        <w:numPr>
          <w:ilvl w:val="0"/>
          <w:numId w:val="1007"/>
        </w:numPr>
      </w:pPr>
      <w:r>
        <w:t xml:space="preserve">Lets interpret 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12</m:t>
            </m:r>
          </m:sub>
        </m:sSub>
      </m:oMath>
      <w:r>
        <w:t xml:space="preserve">. The difference of lung capacity on average between non smokers and smokers is 0.4 to 2.6 more for females.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7.30</m:t>
        </m:r>
      </m:oMath>
      <w:r>
        <w:t xml:space="preserve"> </w:t>
      </w:r>
      <w:r>
        <w:t xml:space="preserve">is our default modifier regardless of which group the subject belongs to.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1.32</m:t>
        </m:r>
      </m:oMath>
      <w:r>
        <w:t xml:space="preserve"> </w:t>
      </w:r>
      <w:r>
        <w:t xml:space="preserve">is our modifier if the subject is within Male group of factor A.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2.180</m:t>
        </m:r>
      </m:oMath>
      <w:r>
        <w:t xml:space="preserve"> </w:t>
      </w:r>
      <w:r>
        <w:t xml:space="preserve">is our modifier if the subject is within the smokers group of factor B.</w:t>
      </w:r>
    </w:p>
    <w:bookmarkEnd w:id="25"/>
    <w:bookmarkStart w:id="26" w:name="section-6"/>
    <w:p>
      <w:pPr>
        <w:pStyle w:val="Heading1"/>
      </w:pPr>
      <w:r>
        <w:t xml:space="preserve">7</w:t>
      </w:r>
    </w:p>
    <w:p>
      <w:pPr>
        <w:pStyle w:val="Compact"/>
        <w:numPr>
          <w:ilvl w:val="0"/>
          <w:numId w:val="1008"/>
        </w:numPr>
      </w:pPr>
      <w:r>
        <w:t xml:space="preserve">True. If there is no interaction effect, we don’t expect a change in confidence interval if we choose to look at different groups in factor B when contrasting two means in factor A. We might as well compute the confidence interval for a contrast of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t>j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False. The multiplier used should be the smallest multiplier out of all the multipliers. Even though Bonferroni multiplier can be used for any contrast, it is not necessarily the smallest.</w:t>
      </w:r>
    </w:p>
    <w:p>
      <w:pPr>
        <w:pStyle w:val="Compact"/>
        <w:numPr>
          <w:ilvl w:val="0"/>
          <w:numId w:val="1008"/>
        </w:numPr>
      </w:pPr>
      <w:r>
        <w:t xml:space="preserve">False. These multipliers are used for creating confidence intervals that contrast means, not for finding the true population mean.</w:t>
      </w:r>
    </w:p>
    <w:p>
      <w:pPr>
        <w:pStyle w:val="Compact"/>
        <w:numPr>
          <w:ilvl w:val="0"/>
          <w:numId w:val="1008"/>
        </w:numPr>
      </w:pPr>
      <w:r>
        <w:t xml:space="preserve">True. The amount of parameters to estimate for the regression model is the same as the model we chose. In our case, we chose the no interaction model, which has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parameters.</w:t>
      </w:r>
    </w:p>
    <w:bookmarkEnd w:id="26"/>
    <w:bookmarkStart w:id="27" w:name="i"/>
    <w:p>
      <w:pPr>
        <w:pStyle w:val="Heading1"/>
      </w:pPr>
      <w:r>
        <w:t xml:space="preserve">I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84.1829</m:t>
            </m:r>
            <m:r>
              <m:rPr>
                <m:sty m:val="p"/>
              </m:rPr>
              <m:t>,</m:t>
            </m:r>
            <m:r>
              <m:t>175.1505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30.6478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21.8686</m:t>
            </m:r>
          </m:e>
        </m:d>
      </m:oMath>
      <w:r>
        <w:t xml:space="preserve">. 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97.1478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88.3686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7.923</m:t>
            </m:r>
            <m:r>
              <m:rPr>
                <m:sty m:val="p"/>
              </m:rPr>
              <m:t>,</m:t>
            </m:r>
            <m:r>
              <m:t>34.0407</m:t>
            </m:r>
          </m:e>
        </m:d>
      </m:oMath>
      <w:r>
        <w:t xml:space="preserve">. 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13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145.923</m:t>
            </m:r>
            <m:r>
              <m:rPr>
                <m:sty m:val="p"/>
              </m:rPr>
              <m:t>,</m:t>
            </m:r>
            <m:r>
              <m:t>172.0407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Our results from C shows that the average days it takes for a Small systems, Exp experience programmer is around</w:t>
      </w:r>
      <w:r>
        <w:t xml:space="preserve"> </w:t>
      </w:r>
      <m:oMath>
        <m:r>
          <m:t>7.923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34.0407</m:t>
        </m:r>
      </m:oMath>
      <w:r>
        <w:t xml:space="preserve"> </w:t>
      </w:r>
      <w:r>
        <w:t xml:space="preserve">more than Both systems, Exp experience programmer. The average days it takes for a Small systems, New experience programmer is around</w:t>
      </w:r>
      <w:r>
        <w:t xml:space="preserve"> </w:t>
      </w:r>
      <m:oMath>
        <m:r>
          <m:t>145.923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172.0407</m:t>
        </m:r>
      </m:oMath>
      <w:r>
        <w:t xml:space="preserve"> </w:t>
      </w:r>
      <w:r>
        <w:t xml:space="preserve">more than Both systems, New experience programmer.</w:t>
      </w:r>
    </w:p>
    <w:p>
      <w:pPr>
        <w:numPr>
          <w:ilvl w:val="0"/>
          <w:numId w:val="1009"/>
        </w:numPr>
      </w:pPr>
      <w:r>
        <w:t xml:space="preserve">The largest difference of days we would expect for the average programmer with different types of experience is around 97.1478.</w:t>
      </w:r>
    </w:p>
    <w:p>
      <w:pPr>
        <w:numPr>
          <w:ilvl w:val="0"/>
          <w:numId w:val="1009"/>
        </w:numPr>
      </w:pPr>
      <w:r>
        <w:t xml:space="preserve">Yes, expereinced programmers do have significantly lower averages than other categories, because none of the confidence intervals in b contain 0.</w:t>
      </w:r>
    </w:p>
    <w:bookmarkEnd w:id="27"/>
    <w:bookmarkStart w:id="28" w:name="ii"/>
    <w:p>
      <w:pPr>
        <w:pStyle w:val="Heading1"/>
      </w:pPr>
      <w:r>
        <w:t xml:space="preserve">II</w:t>
      </w:r>
    </w:p>
    <w:p>
      <w:pPr>
        <w:numPr>
          <w:ilvl w:val="0"/>
          <w:numId w:val="101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S</m:t>
            </m:r>
            <m:r>
              <m:t>m</m:t>
            </m:r>
            <m:r>
              <m:t>a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M</m:t>
            </m:r>
            <m:r>
              <m:t>e</m:t>
            </m:r>
            <m:r>
              <m:t>d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  <m:r>
              <m:t>e</m:t>
            </m:r>
            <m:r>
              <m:t>w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S</m:t>
            </m:r>
            <m:r>
              <m:t>m</m:t>
            </m:r>
            <m:r>
              <m:t>a</m:t>
            </m:r>
            <m:r>
              <m:t>l</m:t>
            </m:r>
            <m:r>
              <m:t>l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M</m:t>
            </m:r>
            <m:r>
              <m:t>e</m:t>
            </m:r>
            <m:r>
              <m:t>d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5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S</m:t>
            </m:r>
            <m:r>
              <m:t>m</m:t>
            </m:r>
            <m:r>
              <m:t>a</m:t>
            </m:r>
            <m:r>
              <m:t>l</m:t>
            </m:r>
            <m:r>
              <m:t>l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  <m:r>
              <m:t>e</m:t>
            </m:r>
            <m:r>
              <m:t>w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numPr>
          <w:ilvl w:val="0"/>
          <w:numId w:val="100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r>
          <m:t>38.75</m:t>
        </m:r>
        <m:r>
          <m:rPr>
            <m:sty m:val="p"/>
          </m:rPr>
          <m:t>+</m:t>
        </m:r>
        <m:r>
          <m:t>21.75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r>
          <m:t>6</m:t>
        </m:r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r>
          <m:t>23.5</m:t>
        </m:r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+</m:t>
        </m:r>
        <m:r>
          <m:t>40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r>
          <m:t>138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numPr>
          <w:ilvl w:val="0"/>
          <w:numId w:val="1000"/>
        </w:numPr>
      </w:pPr>
      <w:r>
        <w:t xml:space="preserve">There are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parameters total.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represents the estimated average for Medium Systems, High (Exp) Experience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represents the estimated average difference between Medium Systems, High Experience and Small Systems, High Experience (</w:t>
      </w:r>
      <m:oMath>
        <m:sSub>
          <m:e>
            <m:r>
              <m:t>μ</m:t>
            </m:r>
          </m:e>
          <m:sub>
            <m:r>
              <m:t>21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11</m:t>
            </m:r>
          </m:sub>
        </m:sSub>
      </m:oMath>
      <w:r>
        <w:t xml:space="preserve">).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represents the interaction effect between Small Systems and Medium Experience.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represents the interaction effect between Small Systems and New Experience.</w:t>
      </w:r>
    </w:p>
    <w:bookmarkEnd w:id="28"/>
    <w:bookmarkStart w:id="32" w:name="iii.a"/>
    <w:p>
      <w:pPr>
        <w:pStyle w:val="Heading1"/>
      </w:pPr>
      <w:r>
        <w:t xml:space="preserve">III.a</w:t>
      </w:r>
    </w:p>
    <w:p>
      <w:pPr>
        <w:pStyle w:val="FirstParagraph"/>
      </w:pPr>
      <w:r>
        <w:t xml:space="preserve">Assuming that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Method and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Room.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6_files/figure-docx/III.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iii.b.1"/>
    <w:p>
      <w:pPr>
        <w:pStyle w:val="Heading1"/>
      </w:pPr>
      <w:r>
        <w:t xml:space="preserve">III.b.1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77.850</w:t>
            </w:r>
          </w:p>
        </w:tc>
      </w:tr>
    </w:tbl>
    <w:bookmarkEnd w:id="33"/>
    <w:bookmarkStart w:id="34" w:name="iii.b.2"/>
    <w:p>
      <w:pPr>
        <w:pStyle w:val="Heading1"/>
      </w:pPr>
      <w:r>
        <w:t xml:space="preserve">III.b.2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4"/>
    <w:bookmarkStart w:id="35" w:name="iii.b.3"/>
    <w:p>
      <w:pPr>
        <w:pStyle w:val="Heading1"/>
      </w:pPr>
      <w:r>
        <w:t xml:space="preserve">III.b.3</w:t>
      </w:r>
    </w:p>
    <w:p>
      <w:pPr>
        <w:pStyle w:val="FirstParagraph"/>
      </w:pPr>
      <w:r>
        <w:t xml:space="preserve">Here are the means for both factors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5"/>
    <w:bookmarkStart w:id="36" w:name="iii.c.1"/>
    <w:p>
      <w:pPr>
        <w:pStyle w:val="Heading1"/>
      </w:pPr>
      <w:r>
        <w:t xml:space="preserve">III.c.1</w:t>
      </w:r>
    </w:p>
    <w:p>
      <w:pPr>
        <w:pStyle w:val="FirstParagraph"/>
      </w:pPr>
      <w:r>
        <w:t xml:space="preserve">Here are the counts for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bookmarkEnd w:id="36"/>
    <w:bookmarkStart w:id="37" w:name="iii.c.2"/>
    <w:p>
      <w:pPr>
        <w:pStyle w:val="Heading1"/>
      </w:pPr>
      <w:r>
        <w:t xml:space="preserve">III.c.2</w:t>
      </w:r>
    </w:p>
    <w:p>
      <w:pPr>
        <w:pStyle w:val="FirstParagraph"/>
      </w:pPr>
      <w:r>
        <w:t xml:space="preserve">Here are the counts for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bookmarkEnd w:id="37"/>
    <w:bookmarkStart w:id="38" w:name="iii.c.3"/>
    <w:p>
      <w:pPr>
        <w:pStyle w:val="Heading1"/>
      </w:pPr>
      <w:r>
        <w:t xml:space="preserve">III.c.3</w:t>
      </w:r>
    </w:p>
    <w:p>
      <w:pPr>
        <w:pStyle w:val="FirstParagraph"/>
      </w:pPr>
      <w:r>
        <w:t xml:space="preserve">Here are the means for both factors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8"/>
    <w:bookmarkStart w:id="39" w:name="iii.d"/>
    <w:p>
      <w:pPr>
        <w:pStyle w:val="Heading1"/>
      </w:pPr>
      <w:r>
        <w:t xml:space="preserve">III.d</w:t>
      </w:r>
    </w:p>
    <w:p>
      <w:pPr>
        <w:pStyle w:val="FirstParagraph"/>
      </w:pPr>
      <w:r>
        <w:t xml:space="preserve">The full model is: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  <m:r>
                  <m:t>δ</m:t>
                </m:r>
              </m:e>
            </m:d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pStyle w:val="BodyText"/>
      </w:pPr>
      <w:r>
        <w:t xml:space="preserve">The reduced model is: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no interaction effect. Don’t use the full model.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There is interaction effect. Use the full model.</w:t>
      </w:r>
    </w:p>
    <w:p>
      <w:pPr>
        <w:pStyle w:val="BodyText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3.1869621</m:t>
        </m:r>
      </m:oMath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0.0281564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α</m:t>
        </m:r>
      </m:oMath>
      <w:r>
        <w:t xml:space="preserve">, we accept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Therefore, we do not use the full model.</w:t>
      </w:r>
    </w:p>
    <w:bookmarkEnd w:id="39"/>
    <w:bookmarkStart w:id="40" w:name="iii.e"/>
    <w:p>
      <w:pPr>
        <w:pStyle w:val="Heading1"/>
      </w:pPr>
      <w:r>
        <w:t xml:space="preserve">III.e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O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  <m:r>
          <m:rPr>
            <m:sty m:val="p"/>
          </m:rPr>
          <m:t>=</m:t>
        </m:r>
        <m:r>
          <m:t>72.9771</m:t>
        </m:r>
        <m:r>
          <m:rPr>
            <m:sty m:val="p"/>
          </m:rPr>
          <m:t>+</m:t>
        </m:r>
        <m:r>
          <m:t>12.4943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2</m:t>
            </m:r>
          </m:sub>
        </m:sSub>
        <m:r>
          <m:rPr>
            <m:sty m:val="p"/>
          </m:rPr>
          <m:t>+</m:t>
        </m:r>
        <m:r>
          <m:t>10.6193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3</m:t>
            </m:r>
          </m:sub>
        </m:sSub>
        <m:r>
          <m:rPr>
            <m:sty m:val="p"/>
          </m:rPr>
          <m:t>+</m:t>
        </m:r>
        <m:r>
          <m:t>8.4693</m:t>
        </m:r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  <m:r>
              <m:t>4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−</m:t>
        </m:r>
        <m:r>
          <m:t>7.1927</m:t>
        </m:r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O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</w:p>
    <w:bookmarkEnd w:id="40"/>
    <w:bookmarkStart w:id="41" w:name="iii.f"/>
    <w:p>
      <w:pPr>
        <w:pStyle w:val="Heading1"/>
      </w:pPr>
      <w:r>
        <w:t xml:space="preserve">III.f</w:t>
      </w:r>
    </w:p>
    <w:p>
      <w:pPr>
        <w:pStyle w:val="FirstParagraph"/>
      </w:pPr>
      <w:r>
        <w:t xml:space="preserve">We would choose the Tukey multiplier because that multiplier assumes that we are making all possible pairwise confidence intervals. We can have the multiplier only account for factor B.</w:t>
      </w:r>
    </w:p>
    <w:bookmarkEnd w:id="41"/>
    <w:bookmarkStart w:id="42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 Functions </w:t>
      </w:r>
      <w:r>
        <w:br/>
      </w:r>
      <w:r>
        <w:rPr>
          <w:rStyle w:val="CommentTok"/>
        </w:rPr>
        <w:t xml:space="preserve"># Plus minus function</w:t>
      </w:r>
      <w:r>
        <w:br/>
      </w:r>
      <w:r>
        <w:rPr>
          <w:rStyle w:val="NormalTok"/>
        </w:rPr>
        <w:t xml:space="preserve">plus.minus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 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means</w:t>
      </w:r>
      <w:r>
        <w:br/>
      </w:r>
      <w:r>
        <w:rPr>
          <w:rStyle w:val="NormalTok"/>
        </w:rPr>
        <w:t xml:space="preserve">find.means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</w:t>
      </w:r>
      <w:r>
        <w:rPr>
          <w:rStyle w:val="AttributeTok"/>
        </w:rPr>
        <w:t xml:space="preserve">fun.name =</w:t>
      </w:r>
      <w:r>
        <w:rPr>
          <w:rStyle w:val="NormalTok"/>
        </w:rPr>
        <w:t xml:space="preserve"> mean){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means.A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fun.name)</w:t>
      </w:r>
      <w:r>
        <w:br/>
      </w:r>
      <w:r>
        <w:rPr>
          <w:rStyle w:val="NormalTok"/>
        </w:rPr>
        <w:t xml:space="preserve">  means.B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],fun.name)</w:t>
      </w:r>
      <w:r>
        <w:br/>
      </w:r>
      <w:r>
        <w:rPr>
          <w:rStyle w:val="NormalTok"/>
        </w:rPr>
        <w:t xml:space="preserve">  means.AB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]),fun.name)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(means.AB,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(MAB)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MA,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MB,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MAB)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Give me multipliers</w:t>
      </w:r>
      <w:r>
        <w:br/>
      </w:r>
      <w:r>
        <w:rPr>
          <w:rStyle w:val="NormalTok"/>
        </w:rPr>
        <w:t xml:space="preserve">find.mult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(alpha,a,b,dfSSE,g,group){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(Bon, Tuk,Sch)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give.me.CI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(the.data,MSE,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,multiplier,group,cs){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- you did not input a valid contrast"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the.means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the.ns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(the.data,length)</w:t>
      </w:r>
      <w:r>
        <w:br/>
      </w:r>
      <w:r>
        <w:rPr>
          <w:rStyle w:val="NormalTok"/>
        </w:rPr>
        <w:t xml:space="preserve">    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"someAB"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(est,the.CI)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(est),</w:t>
      </w:r>
      <w:r>
        <w:rPr>
          <w:rStyle w:val="StringTok"/>
        </w:rPr>
        <w:t xml:space="preserve">"lower bound"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2.a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nidot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ndotj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1.63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mu1dot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3.88</w:t>
      </w:r>
      <w:r>
        <w:br/>
      </w:r>
      <w:r>
        <w:rPr>
          <w:rStyle w:val="NormalTok"/>
        </w:rPr>
        <w:t xml:space="preserve">mudot1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4.63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mu3dot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9.83</w:t>
      </w:r>
      <w:r>
        <w:br/>
      </w:r>
      <w:r>
        <w:rPr>
          <w:rStyle w:val="NormalTok"/>
        </w:rPr>
        <w:t xml:space="preserve">mudot3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8.98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mu3dot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2.e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mu11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2.48</w:t>
      </w:r>
      <w:r>
        <w:br/>
      </w:r>
      <w:r>
        <w:rPr>
          <w:rStyle w:val="NormalTok"/>
        </w:rPr>
        <w:t xml:space="preserve">mu13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data.I.a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(data.I.a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days)</w:t>
      </w:r>
      <w:r>
        <w:br/>
      </w:r>
      <w:r>
        <w:rPr>
          <w:rStyle w:val="NormalTok"/>
        </w:rPr>
        <w:t xml:space="preserve">conf_interval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I.b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B, data)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Note - i indices are flipped. In R, i = 1 is Both</w:t>
      </w:r>
      <w:r>
        <w:br/>
      </w:r>
      <w:r>
        <w:rPr>
          <w:rStyle w:val="CommentTok"/>
        </w:rPr>
        <w:t xml:space="preserve"># However, in the HW, i = 1 is Small</w:t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 </w:t>
      </w:r>
      <w:r>
        <w:br/>
      </w:r>
      <w:r>
        <w:rPr>
          <w:rStyle w:val="NormalTok"/>
        </w:rPr>
        <w:t xml:space="preserve">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(AB)</w:t>
      </w:r>
    </w:p>
    <w:p>
      <w:pPr>
        <w:pStyle w:val="SourceCode"/>
      </w:pPr>
      <w:r>
        <w:rPr>
          <w:rStyle w:val="CommentTok"/>
        </w:rPr>
        <w:t xml:space="preserve"># III.a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III.b </w:t>
      </w:r>
      <w:r>
        <w:br/>
      </w:r>
      <w:r>
        <w:rPr>
          <w:rStyle w:val="NormalTok"/>
        </w:rPr>
        <w:t xml:space="preserve">the.means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CommentTok"/>
        </w:rPr>
        <w:t xml:space="preserve"># III.b.1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III.b.2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III.b.3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 </w:t>
      </w:r>
      <w:r>
        <w:br/>
      </w:r>
      <w:r>
        <w:rPr>
          <w:rStyle w:val="NormalTok"/>
        </w:rPr>
        <w:t xml:space="preserve">the.counts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fun.name =</w:t>
      </w:r>
      <w:r>
        <w:rPr>
          <w:rStyle w:val="NormalTok"/>
        </w:rPr>
        <w:t xml:space="preserve"> length)</w:t>
      </w:r>
    </w:p>
    <w:p>
      <w:pPr>
        <w:pStyle w:val="SourceCode"/>
      </w:pPr>
      <w:r>
        <w:rPr>
          <w:rStyle w:val="CommentTok"/>
        </w:rPr>
        <w:t xml:space="preserve"># III.c.1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III.c.2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III.c.3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(the.counts[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III.d </w:t>
      </w:r>
      <w:r>
        <w:br/>
      </w:r>
      <w:r>
        <w:rPr>
          <w:rStyle w:val="NormalTok"/>
        </w:rPr>
        <w:t xml:space="preserve">the.data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B,the.data)</w:t>
      </w:r>
      <w:r>
        <w:br/>
      </w:r>
      <w:r>
        <w:rPr>
          <w:rStyle w:val="NormalTok"/>
        </w:rPr>
        <w:t xml:space="preserve">A.B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B,the.data)</w:t>
      </w:r>
      <w:r>
        <w:br/>
      </w:r>
      <w:r>
        <w:rPr>
          <w:rStyle w:val="NormalTok"/>
        </w:rPr>
        <w:t xml:space="preserve">all.models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(AB,A.B)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(all.models,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(SSE)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"(A+B)"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(SSE)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br/>
      </w:r>
      <w:r>
        <w:br/>
      </w:r>
      <w:r>
        <w:rPr>
          <w:rStyle w:val="CommentTok"/>
        </w:rPr>
        <w:t xml:space="preserve"># Conduct ANOVA test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(A.B, AB)</w:t>
      </w:r>
      <w:r>
        <w:br/>
      </w:r>
      <w:r>
        <w:br/>
      </w:r>
      <w:r>
        <w:rPr>
          <w:rStyle w:val="CommentTok"/>
        </w:rPr>
        <w:t xml:space="preserve"># Get the F-statistic and p-value</w:t>
      </w:r>
      <w:r>
        <w:br/>
      </w:r>
      <w:r>
        <w:rPr>
          <w:rStyle w:val="NormalTok"/>
        </w:rPr>
        <w:t xml:space="preserve">f_statistic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Extracting F-statistic from the first row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Extracting p-value from the first row</w:t>
      </w:r>
    </w:p>
    <w:p>
      <w:pPr>
        <w:pStyle w:val="SourceCode"/>
      </w:pPr>
      <w:r>
        <w:rPr>
          <w:rStyle w:val="CommentTok"/>
        </w:rPr>
        <w:t xml:space="preserve"># III.e </w:t>
      </w:r>
      <w:r>
        <w:br/>
      </w:r>
      <w:r>
        <w:rPr>
          <w:rStyle w:val="NormalTok"/>
        </w:rPr>
        <w:t xml:space="preserve">the.params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(A.B),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knitr::kable(the.params)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</dc:title>
  <dc:creator>Andrew Jowe</dc:creator>
  <cp:keywords/>
  <dcterms:created xsi:type="dcterms:W3CDTF">2024-03-12T06:11:39Z</dcterms:created>
  <dcterms:modified xsi:type="dcterms:W3CDTF">2024-03-12T06:11:39Z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