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0"/>
        </w:rPr>
        <w:t>ENHANCING TEACHING EVALUATION IN SMART ENGINEERING CAMPUS</w:t>
      </w:r>
    </w:p>
    <w:p>
      <w:pPr>
        <w:jc w:val="center"/>
      </w:pPr>
      <w:r>
        <w:rPr>
          <w:rFonts w:ascii="Times New Roman" w:hAnsi="Times New Roman"/>
          <w:b w:val="0"/>
          <w:i w:val="0"/>
          <w:sz w:val="26"/>
        </w:rPr>
        <w:t>A report on major project work phase-2</w:t>
      </w:r>
    </w:p>
    <w:p>
      <w:pPr>
        <w:jc w:val="center"/>
      </w:pPr>
      <w:r>
        <w:rPr>
          <w:rFonts w:ascii="Times New Roman" w:hAnsi="Times New Roman"/>
          <w:b w:val="0"/>
          <w:i w:val="0"/>
          <w:sz w:val="26"/>
        </w:rPr>
        <w:t>Submitted in partial fulfillment of the</w:t>
      </w:r>
    </w:p>
    <w:p>
      <w:pPr>
        <w:jc w:val="center"/>
      </w:pPr>
      <w:r>
        <w:rPr>
          <w:rFonts w:ascii="Times New Roman" w:hAnsi="Times New Roman"/>
          <w:b w:val="0"/>
          <w:i w:val="0"/>
          <w:sz w:val="26"/>
        </w:rPr>
        <w:t>requirements for the award of the degree of</w:t>
      </w:r>
    </w:p>
    <w:p>
      <w:pPr>
        <w:jc w:val="center"/>
      </w:pPr>
      <w:r>
        <w:rPr>
          <w:rFonts w:ascii="Times New Roman" w:hAnsi="Times New Roman"/>
          <w:b/>
          <w:i w:val="0"/>
          <w:sz w:val="32"/>
        </w:rPr>
        <w:t>BACHELOR OF TECHNOLOGY</w:t>
      </w:r>
    </w:p>
    <w:p>
      <w:pPr>
        <w:jc w:val="center"/>
      </w:pPr>
      <w:r>
        <w:rPr>
          <w:rFonts w:ascii="Times New Roman" w:hAnsi="Times New Roman"/>
          <w:b w:val="0"/>
          <w:i w:val="0"/>
          <w:sz w:val="26"/>
        </w:rPr>
        <w:t>In</w:t>
      </w:r>
    </w:p>
    <w:p>
      <w:pPr>
        <w:jc w:val="center"/>
      </w:pPr>
      <w:r>
        <w:rPr>
          <w:rFonts w:ascii="Times New Roman" w:hAnsi="Times New Roman"/>
          <w:b w:val="0"/>
          <w:i w:val="0"/>
          <w:sz w:val="26"/>
        </w:rPr>
        <w:t>COMPUTER SCIENCE AND ENGINEERING (NETWORKS)</w:t>
      </w:r>
    </w:p>
    <w:p>
      <w:pPr>
        <w:jc w:val="center"/>
      </w:pPr>
      <w:r>
        <w:rPr>
          <w:rFonts w:ascii="Times New Roman" w:hAnsi="Times New Roman"/>
          <w:b w:val="0"/>
          <w:i w:val="0"/>
          <w:sz w:val="26"/>
        </w:rPr>
        <w:t>By</w:t>
      </w:r>
    </w:p>
    <w:p>
      <w:pPr>
        <w:jc w:val="center"/>
      </w:pPr>
      <w:r>
        <w:rPr>
          <w:rFonts w:ascii="Times New Roman" w:hAnsi="Times New Roman"/>
          <w:b/>
          <w:i w:val="0"/>
          <w:sz w:val="26"/>
        </w:rPr>
        <w:t>PURAM REVANTH (B22IN066)</w:t>
      </w:r>
    </w:p>
    <w:p>
      <w:pPr>
        <w:jc w:val="center"/>
      </w:pPr>
      <w:r>
        <w:rPr>
          <w:rFonts w:ascii="Times New Roman" w:hAnsi="Times New Roman"/>
          <w:b/>
          <w:i w:val="0"/>
          <w:sz w:val="26"/>
        </w:rPr>
        <w:t>MOHAMMED FAHAD AHMED (B22IN073)</w:t>
      </w:r>
    </w:p>
    <w:p>
      <w:pPr>
        <w:jc w:val="center"/>
      </w:pPr>
      <w:r>
        <w:rPr>
          <w:rFonts w:ascii="Times New Roman" w:hAnsi="Times New Roman"/>
          <w:b/>
          <w:i w:val="0"/>
          <w:sz w:val="26"/>
        </w:rPr>
        <w:t>MALLADI RAJAVARDHAN REDDY (B22IN093)</w:t>
      </w:r>
    </w:p>
    <w:p>
      <w:pPr>
        <w:jc w:val="center"/>
      </w:pPr>
      <w:r>
        <w:rPr>
          <w:rFonts w:ascii="Times New Roman" w:hAnsi="Times New Roman"/>
          <w:b/>
          <w:i w:val="0"/>
          <w:sz w:val="26"/>
        </w:rPr>
        <w:t>JANAGANI HARSHAVARDHAN (B22IN097)</w:t>
      </w:r>
    </w:p>
    <w:p>
      <w:pPr>
        <w:jc w:val="center"/>
      </w:pPr>
      <w:r>
        <w:rPr>
          <w:rFonts w:ascii="Times New Roman" w:hAnsi="Times New Roman"/>
          <w:b/>
          <w:i w:val="0"/>
          <w:sz w:val="26"/>
        </w:rPr>
        <w:t>AFSHAN (B22IN119)</w:t>
      </w:r>
    </w:p>
    <w:p>
      <w:pPr>
        <w:jc w:val="center"/>
      </w:pPr>
      <w:r>
        <w:rPr>
          <w:rFonts w:ascii="Times New Roman" w:hAnsi="Times New Roman"/>
          <w:b w:val="0"/>
          <w:i w:val="0"/>
          <w:sz w:val="26"/>
        </w:rPr>
        <w:t>Under the Guidance of</w:t>
      </w:r>
    </w:p>
    <w:p>
      <w:pPr>
        <w:jc w:val="center"/>
      </w:pPr>
      <w:r>
        <w:rPr>
          <w:rFonts w:ascii="Times New Roman" w:hAnsi="Times New Roman"/>
          <w:b/>
          <w:i w:val="0"/>
          <w:sz w:val="26"/>
        </w:rPr>
        <w:t>T. Sravanthi</w:t>
      </w:r>
    </w:p>
    <w:p>
      <w:pPr>
        <w:jc w:val="center"/>
      </w:pPr>
      <w:r>
        <w:rPr>
          <w:rFonts w:ascii="Times New Roman" w:hAnsi="Times New Roman"/>
          <w:b w:val="0"/>
          <w:i w:val="0"/>
          <w:sz w:val="24"/>
        </w:rPr>
        <w:t>Asst. Professor</w:t>
      </w:r>
    </w:p>
    <w:p>
      <w:pPr>
        <w:jc w:val="center"/>
      </w:pPr>
      <w:r>
        <w:rPr>
          <w:rFonts w:ascii="Times New Roman" w:hAnsi="Times New Roman"/>
          <w:b w:val="0"/>
          <w:i w:val="0"/>
          <w:sz w:val="24"/>
        </w:rPr>
        <w:t>(Co Guide: Dr. Kumar Dorthi)</w:t>
      </w:r>
    </w:p>
    <w:p>
      <w:pPr>
        <w:jc w:val="center"/>
      </w:pPr>
      <w:r>
        <w:rPr>
          <w:rFonts w:ascii="Times New Roman" w:hAnsi="Times New Roman"/>
          <w:b w:val="0"/>
          <w:i w:val="0"/>
          <w:sz w:val="24"/>
        </w:rPr>
        <w:t>Asst. Professor</w:t>
      </w:r>
    </w:p>
    <w:p>
      <w:pPr>
        <w:jc w:val="center"/>
      </w:pPr>
      <w:r>
        <w:rPr>
          <w:rFonts w:ascii="Times New Roman" w:hAnsi="Times New Roman"/>
          <w:b/>
          <w:i w:val="0"/>
          <w:sz w:val="24"/>
        </w:rPr>
        <w:t>DEPARTMENT OF COMPUTER SCIENCE AND ENGINEERING(NETWORKS)</w:t>
      </w:r>
    </w:p>
    <w:p>
      <w:pPr>
        <w:jc w:val="center"/>
      </w:pPr>
      <w:r>
        <w:rPr>
          <w:rFonts w:ascii="Times New Roman" w:hAnsi="Times New Roman"/>
          <w:b/>
          <w:i w:val="0"/>
          <w:sz w:val="24"/>
        </w:rPr>
        <w:t>KAKATIYA INSTITUTE OF TECHNOLOGY AND SCIENCE, WARANGAL</w:t>
      </w:r>
    </w:p>
    <w:p>
      <w:pPr>
        <w:jc w:val="center"/>
      </w:pPr>
      <w:r>
        <w:rPr>
          <w:rFonts w:ascii="Times New Roman" w:hAnsi="Times New Roman"/>
          <w:b w:val="0"/>
          <w:i w:val="0"/>
          <w:sz w:val="24"/>
        </w:rPr>
        <w:t>(An Autonomous Institute under Kakatiya University, Warangal)</w:t>
      </w:r>
    </w:p>
    <w:p>
      <w:pPr>
        <w:jc w:val="center"/>
      </w:pPr>
      <w:r>
        <w:rPr>
          <w:rFonts w:ascii="Times New Roman" w:hAnsi="Times New Roman"/>
          <w:b w:val="0"/>
          <w:i w:val="0"/>
          <w:sz w:val="24"/>
        </w:rPr>
        <w:t>2025-2026</w:t>
      </w:r>
    </w:p>
    <w:p>
      <w:r>
        <w:br w:type="page"/>
      </w:r>
    </w:p>
    <w:p>
      <w:pPr>
        <w:jc w:val="center"/>
      </w:pPr>
      <w:r>
        <w:rPr>
          <w:rFonts w:ascii="Times New Roman" w:hAnsi="Times New Roman"/>
          <w:b/>
          <w:i w:val="0"/>
          <w:sz w:val="28"/>
        </w:rPr>
        <w:t>CERTIFICATE</w:t>
      </w:r>
    </w:p>
    <w:p>
      <w:pPr>
        <w:jc w:val="center"/>
      </w:pPr>
      <w:r>
        <w:rPr>
          <w:rFonts w:ascii="Times New Roman" w:hAnsi="Times New Roman"/>
          <w:b/>
          <w:i w:val="0"/>
          <w:sz w:val="28"/>
        </w:rPr>
        <w:t>CERTIFICATE</w:t>
      </w:r>
    </w:p>
    <w:p>
      <w:pPr>
        <w:jc w:val="both"/>
      </w:pPr>
      <w:r>
        <w:rPr>
          <w:rFonts w:ascii="Times New Roman" w:hAnsi="Times New Roman"/>
          <w:b w:val="0"/>
          <w:i w:val="0"/>
          <w:sz w:val="24"/>
        </w:rPr>
        <w:t>This is to certify that PURAM REVANTH (B22IN066), MOHAMMED FAHAD AHMED (B22IN073), MALLADI RAJAVARDHAN REDDY (B22IN093), JANAGANI HARSHAVARDHAN (B22IN097), and AFSHAN (B22IN119) of the B.Tech Computer Science and Engineering (Networks) has satisfactorily completed the dissertation work entitled “ENHANCING TEACHING EVALUATION IN SMART ENGINEERING CAMPUS” in the partial fulfillment of the requirements of B.Tech degree during this academic year 2025-2026.</w:t>
      </w:r>
    </w:p>
    <w:p/>
    <w:p>
      <w:pPr>
        <w:jc w:val="center"/>
      </w:pPr>
      <w:r>
        <w:rPr>
          <w:rFonts w:ascii="Times New Roman" w:hAnsi="Times New Roman"/>
          <w:b w:val="0"/>
          <w:i w:val="0"/>
          <w:sz w:val="24"/>
        </w:rPr>
        <w:t>Project Guide                                   Co - Guide</w:t>
      </w:r>
    </w:p>
    <w:p>
      <w:pPr>
        <w:jc w:val="center"/>
      </w:pPr>
      <w:r>
        <w:rPr>
          <w:rFonts w:ascii="Times New Roman" w:hAnsi="Times New Roman"/>
          <w:b/>
          <w:i w:val="0"/>
          <w:sz w:val="24"/>
        </w:rPr>
        <w:t>T. Sravanthi                                   Dr. Kumar Dorthi</w:t>
      </w:r>
    </w:p>
    <w:p>
      <w:pPr>
        <w:jc w:val="center"/>
      </w:pPr>
      <w:r>
        <w:rPr>
          <w:rFonts w:ascii="Times New Roman" w:hAnsi="Times New Roman"/>
          <w:b w:val="0"/>
          <w:i w:val="0"/>
          <w:sz w:val="24"/>
        </w:rPr>
        <w:t>Asst. Professor                                   Asst. Professor</w:t>
      </w:r>
    </w:p>
    <w:p>
      <w:pPr>
        <w:jc w:val="center"/>
      </w:pPr>
      <w:r>
        <w:rPr>
          <w:rFonts w:ascii="Times New Roman" w:hAnsi="Times New Roman"/>
          <w:b w:val="0"/>
          <w:i w:val="0"/>
          <w:sz w:val="24"/>
        </w:rPr>
        <w:t>Dept. of CSE (Networks)                           Dept. of CSE (Networks)</w:t>
      </w:r>
    </w:p>
    <w:p>
      <w:pPr>
        <w:jc w:val="center"/>
      </w:pPr>
      <w:r>
        <w:rPr>
          <w:rFonts w:ascii="Times New Roman" w:hAnsi="Times New Roman"/>
          <w:b w:val="0"/>
          <w:i w:val="0"/>
          <w:sz w:val="24"/>
        </w:rPr>
        <w:t>KITS, Warangal                                       KITS, Warangal</w:t>
      </w:r>
    </w:p>
    <w:p/>
    <w:p>
      <w:pPr>
        <w:jc w:val="center"/>
      </w:pPr>
      <w:r>
        <w:rPr>
          <w:rFonts w:ascii="Times New Roman" w:hAnsi="Times New Roman"/>
          <w:b w:val="0"/>
          <w:i w:val="0"/>
          <w:sz w:val="24"/>
        </w:rPr>
        <w:t>Projects Convener                                           Head of the Department</w:t>
      </w:r>
    </w:p>
    <w:p>
      <w:pPr>
        <w:jc w:val="center"/>
      </w:pPr>
      <w:r>
        <w:rPr>
          <w:rFonts w:ascii="Times New Roman" w:hAnsi="Times New Roman"/>
          <w:b/>
          <w:i w:val="0"/>
          <w:sz w:val="24"/>
        </w:rPr>
        <w:t>Dr. S. Venkatramulu, Assoc. Prof.                                       Dr. V. Shankar, Professor &amp; Head</w:t>
      </w:r>
    </w:p>
    <w:p>
      <w:pPr>
        <w:jc w:val="center"/>
      </w:pPr>
      <w:r>
        <w:rPr>
          <w:rFonts w:ascii="Times New Roman" w:hAnsi="Times New Roman"/>
          <w:b w:val="0"/>
          <w:i w:val="0"/>
          <w:sz w:val="24"/>
        </w:rPr>
        <w:t>Dept. of CSE (Networks),                           Dept. of CSE (Networks)</w:t>
      </w:r>
    </w:p>
    <w:p>
      <w:pPr>
        <w:jc w:val="center"/>
      </w:pPr>
      <w:r>
        <w:rPr>
          <w:rFonts w:ascii="Times New Roman" w:hAnsi="Times New Roman"/>
          <w:b w:val="0"/>
          <w:i w:val="0"/>
          <w:sz w:val="24"/>
        </w:rPr>
        <w:t>KITS, Warangal                                         KITS, Warangal</w:t>
      </w:r>
    </w:p>
    <w:p>
      <w:pPr>
        <w:jc w:val="center"/>
      </w:pPr>
      <w:r>
        <w:rPr>
          <w:rFonts w:ascii="Times New Roman" w:hAnsi="Times New Roman"/>
          <w:b w:val="0"/>
          <w:i w:val="0"/>
          <w:sz w:val="24"/>
        </w:rPr>
        <w:t>Examiner-1                                                      Examiner - 2</w:t>
      </w:r>
    </w:p>
    <w:p>
      <w:r>
        <w:br w:type="page"/>
      </w:r>
    </w:p>
    <w:p>
      <w:pPr>
        <w:jc w:val="center"/>
      </w:pPr>
      <w:r>
        <w:rPr>
          <w:rFonts w:ascii="Times New Roman" w:hAnsi="Times New Roman"/>
          <w:b/>
          <w:i w:val="0"/>
          <w:sz w:val="28"/>
        </w:rPr>
        <w:t>DECLARATION</w:t>
      </w:r>
    </w:p>
    <w:p>
      <w:pPr>
        <w:jc w:val="both"/>
      </w:pPr>
      <w:r>
        <w:rPr>
          <w:rFonts w:ascii="Times New Roman" w:hAnsi="Times New Roman"/>
          <w:b w:val="0"/>
          <w:i w:val="0"/>
          <w:sz w:val="24"/>
        </w:rPr>
        <w:t>We declare that the work presented in this Major project report Phase-2 is original and has been carried out in the Department of Computer Science and Engineering(Networks), Kakatiya Institute of Technology and Science, Warangal, Telangana, and to best of our knowledge it has been not submitted elsewhere for any degree.</w:t>
      </w:r>
    </w:p>
    <w:p/>
    <w:p>
      <w:pPr>
        <w:jc w:val="center"/>
      </w:pPr>
      <w:r>
        <w:rPr>
          <w:rFonts w:ascii="Times New Roman" w:hAnsi="Times New Roman"/>
          <w:b w:val="0"/>
          <w:i w:val="0"/>
          <w:sz w:val="24"/>
        </w:rPr>
        <w:t>PURAM REVANTH (B22IN066)</w:t>
      </w:r>
    </w:p>
    <w:p>
      <w:pPr>
        <w:jc w:val="center"/>
      </w:pPr>
      <w:r>
        <w:rPr>
          <w:rFonts w:ascii="Times New Roman" w:hAnsi="Times New Roman"/>
          <w:b w:val="0"/>
          <w:i w:val="0"/>
          <w:sz w:val="24"/>
        </w:rPr>
        <w:t>MOHAMMED FAHAD AHMED (B22IN073)</w:t>
      </w:r>
    </w:p>
    <w:p>
      <w:pPr>
        <w:jc w:val="center"/>
      </w:pPr>
      <w:r>
        <w:rPr>
          <w:rFonts w:ascii="Times New Roman" w:hAnsi="Times New Roman"/>
          <w:b w:val="0"/>
          <w:i w:val="0"/>
          <w:sz w:val="24"/>
        </w:rPr>
        <w:t>MALLADI RAJAVARDHAN REDDY (B22IN093)</w:t>
      </w:r>
    </w:p>
    <w:p>
      <w:pPr>
        <w:jc w:val="center"/>
      </w:pPr>
      <w:r>
        <w:rPr>
          <w:rFonts w:ascii="Times New Roman" w:hAnsi="Times New Roman"/>
          <w:b w:val="0"/>
          <w:i w:val="0"/>
          <w:sz w:val="24"/>
        </w:rPr>
        <w:t>JANAGANI HARSHAVARDHAN (B22IN097)</w:t>
      </w:r>
    </w:p>
    <w:p>
      <w:pPr>
        <w:jc w:val="center"/>
      </w:pPr>
      <w:r>
        <w:rPr>
          <w:rFonts w:ascii="Times New Roman" w:hAnsi="Times New Roman"/>
          <w:b w:val="0"/>
          <w:i w:val="0"/>
          <w:sz w:val="24"/>
        </w:rPr>
        <w:t>AFSHAN (B22IN119)</w:t>
      </w:r>
    </w:p>
    <w:p>
      <w:r>
        <w:br w:type="page"/>
      </w:r>
    </w:p>
    <w:p>
      <w:pPr>
        <w:jc w:val="center"/>
      </w:pPr>
      <w:r>
        <w:rPr>
          <w:rFonts w:ascii="Times New Roman" w:hAnsi="Times New Roman"/>
          <w:b/>
          <w:i w:val="0"/>
          <w:sz w:val="28"/>
        </w:rPr>
        <w:t>ACKNOWLEDGEMENT</w:t>
      </w:r>
    </w:p>
    <w:p>
      <w:pPr>
        <w:jc w:val="both"/>
      </w:pPr>
      <w:r>
        <w:rPr>
          <w:rFonts w:ascii="Times New Roman" w:hAnsi="Times New Roman"/>
          <w:b w:val="0"/>
          <w:i w:val="0"/>
          <w:sz w:val="24"/>
        </w:rPr>
        <w:t>We would like to express our sincere gratitude to our project guide T. Sravanthi, Asst. Professor, for her valuable guidance, scholarly inputs and consistent encouragement throughout the project work.</w:t>
      </w:r>
    </w:p>
    <w:p>
      <w:pPr>
        <w:jc w:val="both"/>
      </w:pPr>
      <w:r>
        <w:rPr>
          <w:rFonts w:ascii="Times New Roman" w:hAnsi="Times New Roman"/>
          <w:b w:val="0"/>
          <w:i w:val="0"/>
          <w:sz w:val="24"/>
        </w:rPr>
        <w:t>We extend our sincere and heartfelt thanks to our Co-Guide Dr. Kumar Dorthi, Asst. Professor, for exemplary guidance and monitoring.</w:t>
      </w:r>
    </w:p>
    <w:p>
      <w:pPr>
        <w:jc w:val="both"/>
      </w:pPr>
      <w:r>
        <w:rPr>
          <w:rFonts w:ascii="Times New Roman" w:hAnsi="Times New Roman"/>
          <w:b w:val="0"/>
          <w:i w:val="0"/>
          <w:sz w:val="24"/>
        </w:rPr>
        <w:t>We are grateful to respected Major Project Convener, Dr. S. Venkatramulu, Assoc. Prof., for permitting us to utilize all the necessary facilities in the Institute.</w:t>
      </w:r>
    </w:p>
    <w:p>
      <w:pPr>
        <w:jc w:val="both"/>
      </w:pPr>
      <w:r>
        <w:rPr>
          <w:rFonts w:ascii="Times New Roman" w:hAnsi="Times New Roman"/>
          <w:b w:val="0"/>
          <w:i w:val="0"/>
          <w:sz w:val="24"/>
        </w:rPr>
        <w:t>We would like to extend thanks to our respected Head of the Department, Dr. V. Shankar, Professor &amp; Head, for allowing us to use the facilities available.</w:t>
      </w:r>
    </w:p>
    <w:p>
      <w:pPr>
        <w:jc w:val="both"/>
      </w:pPr>
      <w:r>
        <w:rPr>
          <w:rFonts w:ascii="Times New Roman" w:hAnsi="Times New Roman"/>
          <w:b w:val="0"/>
          <w:i w:val="0"/>
          <w:sz w:val="24"/>
        </w:rPr>
        <w:t>We express our sincere thanks to the Principal, KITS Warangal, for his kind gesture and support.</w:t>
      </w:r>
    </w:p>
    <w:p>
      <w:pPr>
        <w:jc w:val="both"/>
      </w:pPr>
      <w:r>
        <w:rPr>
          <w:rFonts w:ascii="Times New Roman" w:hAnsi="Times New Roman"/>
          <w:b w:val="0"/>
          <w:i w:val="0"/>
          <w:sz w:val="24"/>
        </w:rPr>
        <w:t>We are indebted to the Management of KAKATIYA INSTITUTE OF TECHNOLOGY AND SCIENCE, WARANGAL, for providing the necessary infrastructure and good academic environment in an endeavor to complete the project.</w:t>
      </w:r>
    </w:p>
    <w:p>
      <w:pPr>
        <w:jc w:val="both"/>
      </w:pPr>
      <w:r>
        <w:rPr>
          <w:rFonts w:ascii="Times New Roman" w:hAnsi="Times New Roman"/>
          <w:b w:val="0"/>
          <w:i w:val="0"/>
          <w:sz w:val="24"/>
        </w:rPr>
        <w:t>We would like to acknowledge the faculty and non-teaching staff of the Computer Science and Engineering Department.</w:t>
      </w:r>
    </w:p>
    <w:p/>
    <w:p>
      <w:pPr>
        <w:jc w:val="center"/>
      </w:pPr>
      <w:r>
        <w:rPr>
          <w:rFonts w:ascii="Times New Roman" w:hAnsi="Times New Roman"/>
          <w:b w:val="0"/>
          <w:i w:val="0"/>
          <w:sz w:val="24"/>
        </w:rPr>
        <w:t>PURAM REVANTH (B22IN066)</w:t>
      </w:r>
    </w:p>
    <w:p>
      <w:pPr>
        <w:jc w:val="center"/>
      </w:pPr>
      <w:r>
        <w:rPr>
          <w:rFonts w:ascii="Times New Roman" w:hAnsi="Times New Roman"/>
          <w:b w:val="0"/>
          <w:i w:val="0"/>
          <w:sz w:val="24"/>
        </w:rPr>
        <w:t>MOHAMMED FAHAD AHMED (B22IN073)</w:t>
      </w:r>
    </w:p>
    <w:p>
      <w:pPr>
        <w:jc w:val="center"/>
      </w:pPr>
      <w:r>
        <w:rPr>
          <w:rFonts w:ascii="Times New Roman" w:hAnsi="Times New Roman"/>
          <w:b w:val="0"/>
          <w:i w:val="0"/>
          <w:sz w:val="24"/>
        </w:rPr>
        <w:t>MALLADI RAJAVARDHAN REDDY (B22IN093)</w:t>
      </w:r>
    </w:p>
    <w:p>
      <w:pPr>
        <w:jc w:val="center"/>
      </w:pPr>
      <w:r>
        <w:rPr>
          <w:rFonts w:ascii="Times New Roman" w:hAnsi="Times New Roman"/>
          <w:b w:val="0"/>
          <w:i w:val="0"/>
          <w:sz w:val="24"/>
        </w:rPr>
        <w:t>JANAGANI HARSHAVARDHAN (B22IN097)</w:t>
      </w:r>
    </w:p>
    <w:p>
      <w:pPr>
        <w:jc w:val="center"/>
      </w:pPr>
      <w:r>
        <w:rPr>
          <w:rFonts w:ascii="Times New Roman" w:hAnsi="Times New Roman"/>
          <w:b w:val="0"/>
          <w:i w:val="0"/>
          <w:sz w:val="24"/>
        </w:rPr>
        <w:t>AFSHAN (B22IN119)</w:t>
      </w:r>
    </w:p>
    <w:p>
      <w:r>
        <w:br w:type="page"/>
      </w:r>
    </w:p>
    <w:p>
      <w:pPr>
        <w:jc w:val="center"/>
      </w:pPr>
      <w:r>
        <w:rPr>
          <w:rFonts w:ascii="Times New Roman" w:hAnsi="Times New Roman"/>
          <w:b/>
          <w:i w:val="0"/>
          <w:sz w:val="28"/>
        </w:rPr>
        <w:t>ABSTRACT</w:t>
      </w:r>
    </w:p>
    <w:p>
      <w:pPr>
        <w:jc w:val="both"/>
      </w:pPr>
      <w:r>
        <w:rPr>
          <w:rFonts w:ascii="Times New Roman" w:hAnsi="Times New Roman"/>
          <w:b w:val="0"/>
          <w:i w:val="0"/>
          <w:sz w:val="24"/>
        </w:rPr>
        <w:t>SmartLMS Phase-2 extends the earlier evaluation system into a complete learning platform that combines a Next.js frontend, FastAPI backend, an ML microservice, and a RAG-enabled AI tutor. The system continuously tracks engagement, quiz outcomes, lecture usage, and learner interactions to produce role-aware analytics for students, teachers, and administrators. The frontend now exposes dashboards for focus pulse tracking, ICAP distributions, live lecture analytics, teacher performance summaries, and admin correlation views, while the backend centralizes authentication, course management, messaging, notifications, assignments, and engagement logging. The ML layer supports exportable temporal models, lazy loading, ensemble inference, and forecast generation. Aika provides retrieval-augmented tutoring over uploaded documents and course content using PGVector and Groq. The phase-2 revision also incorporates cloud deployment considerations with ECS, RDS, SQS, Cloudinary, and Vercel, and adds a Sustainable Development Goals chapter to show how the platform supports inclusive, scalable, and data-driven education. Overall, the updated system demonstrates a more complete, production-oriented implementation with stronger cloud integration, richer analytics, and a more usable AI tutoring experience.</w:t>
      </w:r>
    </w:p>
    <w:p>
      <w:r>
        <w:br w:type="page"/>
      </w:r>
    </w:p>
    <w:p>
      <w:pPr>
        <w:jc w:val="center"/>
      </w:pPr>
      <w:r>
        <w:rPr>
          <w:rFonts w:ascii="Times New Roman" w:hAnsi="Times New Roman"/>
          <w:b/>
          <w:i w:val="0"/>
          <w:sz w:val="28"/>
        </w:rPr>
        <w:t>ACRONYMS</w:t>
      </w:r>
    </w:p>
    <w:tbl>
      <w:tblPr>
        <w:tblStyle w:val="TableGrid"/>
        <w:tblW w:type="auto" w:w="0"/>
        <w:tblLook w:firstColumn="1" w:firstRow="1" w:lastColumn="0" w:lastRow="0" w:noHBand="0" w:noVBand="1" w:val="04A0"/>
      </w:tblPr>
      <w:tblGrid>
        <w:gridCol w:w="4680"/>
        <w:gridCol w:w="4680"/>
      </w:tblGrid>
      <w:tr>
        <w:tc>
          <w:tcPr>
            <w:tcW w:type="dxa" w:w="4680"/>
          </w:tcPr>
          <w:p>
            <w:r>
              <w:t>Acronym</w:t>
            </w:r>
          </w:p>
        </w:tc>
        <w:tc>
          <w:tcPr>
            <w:tcW w:type="dxa" w:w="4680"/>
          </w:tcPr>
          <w:p>
            <w:r>
              <w:t>Expansion</w:t>
            </w:r>
          </w:p>
        </w:tc>
      </w:tr>
      <w:tr>
        <w:tc>
          <w:tcPr>
            <w:tcW w:type="dxa" w:w="4680"/>
          </w:tcPr>
          <w:p>
            <w:r>
              <w:t>API</w:t>
            </w:r>
          </w:p>
        </w:tc>
        <w:tc>
          <w:tcPr>
            <w:tcW w:type="dxa" w:w="4680"/>
          </w:tcPr>
          <w:p>
            <w:r>
              <w:t>Application Programming Interface</w:t>
            </w:r>
          </w:p>
        </w:tc>
      </w:tr>
      <w:tr>
        <w:tc>
          <w:tcPr>
            <w:tcW w:type="dxa" w:w="4680"/>
          </w:tcPr>
          <w:p>
            <w:r>
              <w:t>RAG</w:t>
            </w:r>
          </w:p>
        </w:tc>
        <w:tc>
          <w:tcPr>
            <w:tcW w:type="dxa" w:w="4680"/>
          </w:tcPr>
          <w:p>
            <w:r>
              <w:t>Retrieval-Augmented Generation</w:t>
            </w:r>
          </w:p>
        </w:tc>
      </w:tr>
      <w:tr>
        <w:tc>
          <w:tcPr>
            <w:tcW w:type="dxa" w:w="4680"/>
          </w:tcPr>
          <w:p>
            <w:r>
              <w:t>ML</w:t>
            </w:r>
          </w:p>
        </w:tc>
        <w:tc>
          <w:tcPr>
            <w:tcW w:type="dxa" w:w="4680"/>
          </w:tcPr>
          <w:p>
            <w:r>
              <w:t>Machine Learning</w:t>
            </w:r>
          </w:p>
        </w:tc>
      </w:tr>
      <w:tr>
        <w:tc>
          <w:tcPr>
            <w:tcW w:type="dxa" w:w="4680"/>
          </w:tcPr>
          <w:p>
            <w:r>
              <w:t>LLM</w:t>
            </w:r>
          </w:p>
        </w:tc>
        <w:tc>
          <w:tcPr>
            <w:tcW w:type="dxa" w:w="4680"/>
          </w:tcPr>
          <w:p>
            <w:r>
              <w:t>Large Language Model</w:t>
            </w:r>
          </w:p>
        </w:tc>
      </w:tr>
      <w:tr>
        <w:tc>
          <w:tcPr>
            <w:tcW w:type="dxa" w:w="4680"/>
          </w:tcPr>
          <w:p>
            <w:r>
              <w:t>PGVector</w:t>
            </w:r>
          </w:p>
        </w:tc>
        <w:tc>
          <w:tcPr>
            <w:tcW w:type="dxa" w:w="4680"/>
          </w:tcPr>
          <w:p>
            <w:r>
              <w:t>Postgres vector extension and collection layer</w:t>
            </w:r>
          </w:p>
        </w:tc>
      </w:tr>
      <w:tr>
        <w:tc>
          <w:tcPr>
            <w:tcW w:type="dxa" w:w="4680"/>
          </w:tcPr>
          <w:p>
            <w:r>
              <w:t>ECS</w:t>
            </w:r>
          </w:p>
        </w:tc>
        <w:tc>
          <w:tcPr>
            <w:tcW w:type="dxa" w:w="4680"/>
          </w:tcPr>
          <w:p>
            <w:r>
              <w:t>Elastic Container Service</w:t>
            </w:r>
          </w:p>
        </w:tc>
      </w:tr>
      <w:tr>
        <w:tc>
          <w:tcPr>
            <w:tcW w:type="dxa" w:w="4680"/>
          </w:tcPr>
          <w:p>
            <w:r>
              <w:t>RDS</w:t>
            </w:r>
          </w:p>
        </w:tc>
        <w:tc>
          <w:tcPr>
            <w:tcW w:type="dxa" w:w="4680"/>
          </w:tcPr>
          <w:p>
            <w:r>
              <w:t>Relational Database Service</w:t>
            </w:r>
          </w:p>
        </w:tc>
      </w:tr>
      <w:tr>
        <w:tc>
          <w:tcPr>
            <w:tcW w:type="dxa" w:w="4680"/>
          </w:tcPr>
          <w:p>
            <w:r>
              <w:t>SQS</w:t>
            </w:r>
          </w:p>
        </w:tc>
        <w:tc>
          <w:tcPr>
            <w:tcW w:type="dxa" w:w="4680"/>
          </w:tcPr>
          <w:p>
            <w:r>
              <w:t>Simple Queue Service</w:t>
            </w:r>
          </w:p>
        </w:tc>
      </w:tr>
      <w:tr>
        <w:tc>
          <w:tcPr>
            <w:tcW w:type="dxa" w:w="4680"/>
          </w:tcPr>
          <w:p>
            <w:r>
              <w:t>ICAP</w:t>
            </w:r>
          </w:p>
        </w:tc>
        <w:tc>
          <w:tcPr>
            <w:tcW w:type="dxa" w:w="4680"/>
          </w:tcPr>
          <w:p>
            <w:r>
              <w:t>Interactive, Constructive, Active, Passive</w:t>
            </w:r>
          </w:p>
        </w:tc>
      </w:tr>
      <w:tr>
        <w:tc>
          <w:tcPr>
            <w:tcW w:type="dxa" w:w="4680"/>
          </w:tcPr>
          <w:p>
            <w:r>
              <w:t>SDG</w:t>
            </w:r>
          </w:p>
        </w:tc>
        <w:tc>
          <w:tcPr>
            <w:tcW w:type="dxa" w:w="4680"/>
          </w:tcPr>
          <w:p>
            <w:r>
              <w:t>Sustainable Development Goal</w:t>
            </w:r>
          </w:p>
        </w:tc>
      </w:tr>
    </w:tbl>
    <w:p/>
    <w:p>
      <w:r>
        <w:br w:type="page"/>
      </w:r>
    </w:p>
    <w:p>
      <w:pPr>
        <w:jc w:val="center"/>
      </w:pPr>
      <w:r>
        <w:rPr>
          <w:rFonts w:ascii="Times New Roman" w:hAnsi="Times New Roman"/>
          <w:b/>
          <w:i w:val="0"/>
          <w:sz w:val="28"/>
        </w:rPr>
        <w:t>TABLE OF CONTENTS</w:t>
      </w:r>
    </w:p>
    <w:tbl>
      <w:tblPr>
        <w:tblStyle w:val="TableGrid"/>
        <w:tblW w:type="auto" w:w="0"/>
        <w:tblLook w:firstColumn="1" w:firstRow="1" w:lastColumn="0" w:lastRow="0" w:noHBand="0" w:noVBand="1" w:val="04A0"/>
      </w:tblPr>
      <w:tblGrid>
        <w:gridCol w:w="4680"/>
        <w:gridCol w:w="4680"/>
      </w:tblGrid>
      <w:tr>
        <w:tc>
          <w:tcPr>
            <w:tcW w:type="dxa" w:w="4680"/>
          </w:tcPr>
          <w:p>
            <w:r>
              <w:t>Section</w:t>
            </w:r>
          </w:p>
        </w:tc>
        <w:tc>
          <w:tcPr>
            <w:tcW w:type="dxa" w:w="4680"/>
          </w:tcPr>
          <w:p>
            <w:r>
              <w:t>Page</w:t>
            </w:r>
          </w:p>
        </w:tc>
      </w:tr>
      <w:tr>
        <w:tc>
          <w:tcPr>
            <w:tcW w:type="dxa" w:w="4680"/>
          </w:tcPr>
          <w:p>
            <w:r>
              <w:t>ABSTRACT</w:t>
            </w:r>
          </w:p>
        </w:tc>
        <w:tc>
          <w:tcPr>
            <w:tcW w:type="dxa" w:w="4680"/>
          </w:tcPr>
          <w:p>
            <w:r>
              <w:t>v</w:t>
            </w:r>
          </w:p>
        </w:tc>
      </w:tr>
      <w:tr>
        <w:tc>
          <w:tcPr>
            <w:tcW w:type="dxa" w:w="4680"/>
          </w:tcPr>
          <w:p>
            <w:r>
              <w:t>ACRONYMS</w:t>
            </w:r>
          </w:p>
        </w:tc>
        <w:tc>
          <w:tcPr>
            <w:tcW w:type="dxa" w:w="4680"/>
          </w:tcPr>
          <w:p>
            <w:r>
              <w:t>vi</w:t>
            </w:r>
          </w:p>
        </w:tc>
      </w:tr>
      <w:tr>
        <w:tc>
          <w:tcPr>
            <w:tcW w:type="dxa" w:w="4680"/>
          </w:tcPr>
          <w:p>
            <w:r>
              <w:t>TABLE OF CONTENTS</w:t>
            </w:r>
          </w:p>
        </w:tc>
        <w:tc>
          <w:tcPr>
            <w:tcW w:type="dxa" w:w="4680"/>
          </w:tcPr>
          <w:p>
            <w:r>
              <w:t>vii</w:t>
            </w:r>
          </w:p>
        </w:tc>
      </w:tr>
      <w:tr>
        <w:tc>
          <w:tcPr>
            <w:tcW w:type="dxa" w:w="4680"/>
          </w:tcPr>
          <w:p>
            <w:r>
              <w:t>LIST OF FIGURES</w:t>
            </w:r>
          </w:p>
        </w:tc>
        <w:tc>
          <w:tcPr>
            <w:tcW w:type="dxa" w:w="4680"/>
          </w:tcPr>
          <w:p>
            <w:r>
              <w:t>viii</w:t>
            </w:r>
          </w:p>
        </w:tc>
      </w:tr>
      <w:tr>
        <w:tc>
          <w:tcPr>
            <w:tcW w:type="dxa" w:w="4680"/>
          </w:tcPr>
          <w:p>
            <w:r>
              <w:t>LIST OF TABLES</w:t>
            </w:r>
          </w:p>
        </w:tc>
        <w:tc>
          <w:tcPr>
            <w:tcW w:type="dxa" w:w="4680"/>
          </w:tcPr>
          <w:p>
            <w:r>
              <w:t>ix</w:t>
            </w:r>
          </w:p>
        </w:tc>
      </w:tr>
      <w:tr>
        <w:tc>
          <w:tcPr>
            <w:tcW w:type="dxa" w:w="4680"/>
          </w:tcPr>
          <w:p>
            <w:r>
              <w:t>CHAPTER 1 INTRODUCTION</w:t>
            </w:r>
          </w:p>
        </w:tc>
        <w:tc>
          <w:tcPr>
            <w:tcW w:type="dxa" w:w="4680"/>
          </w:tcPr>
          <w:p>
            <w:r>
              <w:t>1</w:t>
            </w:r>
          </w:p>
        </w:tc>
      </w:tr>
      <w:tr>
        <w:tc>
          <w:tcPr>
            <w:tcW w:type="dxa" w:w="4680"/>
          </w:tcPr>
          <w:p>
            <w:r>
              <w:t>CHAPTER 2 LITERATURE SURVEY</w:t>
            </w:r>
          </w:p>
        </w:tc>
        <w:tc>
          <w:tcPr>
            <w:tcW w:type="dxa" w:w="4680"/>
          </w:tcPr>
          <w:p>
            <w:r>
              <w:t>5</w:t>
            </w:r>
          </w:p>
        </w:tc>
      </w:tr>
      <w:tr>
        <w:tc>
          <w:tcPr>
            <w:tcW w:type="dxa" w:w="4680"/>
          </w:tcPr>
          <w:p>
            <w:r>
              <w:t>CHAPTER 3 SYSTEM ARCHITECTURE AND IMPLEMENTATION</w:t>
            </w:r>
          </w:p>
        </w:tc>
        <w:tc>
          <w:tcPr>
            <w:tcW w:type="dxa" w:w="4680"/>
          </w:tcPr>
          <w:p>
            <w:r>
              <w:t>9</w:t>
            </w:r>
          </w:p>
        </w:tc>
      </w:tr>
      <w:tr>
        <w:tc>
          <w:tcPr>
            <w:tcW w:type="dxa" w:w="4680"/>
          </w:tcPr>
          <w:p>
            <w:r>
              <w:t>CHAPTER 4 EXPERIMENTATION AND RESULTS</w:t>
            </w:r>
          </w:p>
        </w:tc>
        <w:tc>
          <w:tcPr>
            <w:tcW w:type="dxa" w:w="4680"/>
          </w:tcPr>
          <w:p>
            <w:r>
              <w:t>19</w:t>
            </w:r>
          </w:p>
        </w:tc>
      </w:tr>
      <w:tr>
        <w:tc>
          <w:tcPr>
            <w:tcW w:type="dxa" w:w="4680"/>
          </w:tcPr>
          <w:p>
            <w:r>
              <w:t>CHAPTER 5 SUSTAINABLE DEVELOPMENT GOALS</w:t>
            </w:r>
          </w:p>
        </w:tc>
        <w:tc>
          <w:tcPr>
            <w:tcW w:type="dxa" w:w="4680"/>
          </w:tcPr>
          <w:p>
            <w:r>
              <w:t>28</w:t>
            </w:r>
          </w:p>
        </w:tc>
      </w:tr>
      <w:tr>
        <w:tc>
          <w:tcPr>
            <w:tcW w:type="dxa" w:w="4680"/>
          </w:tcPr>
          <w:p>
            <w:r>
              <w:t>CHAPTER 6 CONCLUSION AND FUTURE SCOPE</w:t>
            </w:r>
          </w:p>
        </w:tc>
        <w:tc>
          <w:tcPr>
            <w:tcW w:type="dxa" w:w="4680"/>
          </w:tcPr>
          <w:p>
            <w:r>
              <w:t>32</w:t>
            </w:r>
          </w:p>
        </w:tc>
      </w:tr>
      <w:tr>
        <w:tc>
          <w:tcPr>
            <w:tcW w:type="dxa" w:w="4680"/>
          </w:tcPr>
          <w:p>
            <w:r>
              <w:t>REFERENCES</w:t>
            </w:r>
          </w:p>
        </w:tc>
        <w:tc>
          <w:tcPr>
            <w:tcW w:type="dxa" w:w="4680"/>
          </w:tcPr>
          <w:p>
            <w:r>
              <w:t>34</w:t>
            </w:r>
          </w:p>
        </w:tc>
      </w:tr>
    </w:tbl>
    <w:p/>
    <w:p>
      <w:r>
        <w:br w:type="page"/>
      </w:r>
    </w:p>
    <w:p>
      <w:pPr>
        <w:jc w:val="center"/>
      </w:pPr>
      <w:r>
        <w:rPr>
          <w:rFonts w:ascii="Times New Roman" w:hAnsi="Times New Roman"/>
          <w:b/>
          <w:i w:val="0"/>
          <w:sz w:val="28"/>
        </w:rPr>
        <w:t>LIST OF FIGURES</w:t>
      </w:r>
    </w:p>
    <w:tbl>
      <w:tblPr>
        <w:tblStyle w:val="TableGrid"/>
        <w:tblW w:type="auto" w:w="0"/>
        <w:tblLook w:firstColumn="1" w:firstRow="1" w:lastColumn="0" w:lastRow="0" w:noHBand="0" w:noVBand="1" w:val="04A0"/>
      </w:tblPr>
      <w:tblGrid>
        <w:gridCol w:w="4680"/>
        <w:gridCol w:w="4680"/>
      </w:tblGrid>
      <w:tr>
        <w:tc>
          <w:tcPr>
            <w:tcW w:type="dxa" w:w="4680"/>
          </w:tcPr>
          <w:p>
            <w:r>
              <w:t>Fig. No.</w:t>
            </w:r>
          </w:p>
        </w:tc>
        <w:tc>
          <w:tcPr>
            <w:tcW w:type="dxa" w:w="4680"/>
          </w:tcPr>
          <w:p>
            <w:r>
              <w:t>Name of the Figure</w:t>
            </w:r>
          </w:p>
        </w:tc>
      </w:tr>
      <w:tr>
        <w:tc>
          <w:tcPr>
            <w:tcW w:type="dxa" w:w="4680"/>
          </w:tcPr>
          <w:p>
            <w:r>
              <w:t>Figure 3.1</w:t>
            </w:r>
          </w:p>
        </w:tc>
        <w:tc>
          <w:tcPr>
            <w:tcW w:type="dxa" w:w="4680"/>
          </w:tcPr>
          <w:p>
            <w:r>
              <w:t>SmartLMS platform architecture</w:t>
            </w:r>
          </w:p>
        </w:tc>
      </w:tr>
      <w:tr>
        <w:tc>
          <w:tcPr>
            <w:tcW w:type="dxa" w:w="4680"/>
          </w:tcPr>
          <w:p>
            <w:r>
              <w:t>Figure 3.2</w:t>
            </w:r>
          </w:p>
        </w:tc>
        <w:tc>
          <w:tcPr>
            <w:tcW w:type="dxa" w:w="4680"/>
          </w:tcPr>
          <w:p>
            <w:r>
              <w:t>Aika RAG ingestion and answer flow</w:t>
            </w:r>
          </w:p>
        </w:tc>
      </w:tr>
      <w:tr>
        <w:tc>
          <w:tcPr>
            <w:tcW w:type="dxa" w:w="4680"/>
          </w:tcPr>
          <w:p>
            <w:r>
              <w:t>Figure 4.1</w:t>
            </w:r>
          </w:p>
        </w:tc>
        <w:tc>
          <w:tcPr>
            <w:tcW w:type="dxa" w:w="4680"/>
          </w:tcPr>
          <w:p>
            <w:r>
              <w:t>Export model comparison</w:t>
            </w:r>
          </w:p>
        </w:tc>
      </w:tr>
      <w:tr>
        <w:tc>
          <w:tcPr>
            <w:tcW w:type="dxa" w:w="4680"/>
          </w:tcPr>
          <w:p>
            <w:r>
              <w:t>Figure 4.2</w:t>
            </w:r>
          </w:p>
        </w:tc>
        <w:tc>
          <w:tcPr>
            <w:tcW w:type="dxa" w:w="4680"/>
          </w:tcPr>
          <w:p>
            <w:r>
              <w:t>F1-macro by engagement dimension</w:t>
            </w:r>
          </w:p>
        </w:tc>
      </w:tr>
      <w:tr>
        <w:tc>
          <w:tcPr>
            <w:tcW w:type="dxa" w:w="4680"/>
          </w:tcPr>
          <w:p>
            <w:r>
              <w:t>Figure 4.3</w:t>
            </w:r>
          </w:p>
        </w:tc>
        <w:tc>
          <w:tcPr>
            <w:tcW w:type="dxa" w:w="4680"/>
          </w:tcPr>
          <w:p>
            <w:r>
              <w:t>Average F1 comparison across models</w:t>
            </w:r>
          </w:p>
        </w:tc>
      </w:tr>
      <w:tr>
        <w:tc>
          <w:tcPr>
            <w:tcW w:type="dxa" w:w="4680"/>
          </w:tcPr>
          <w:p>
            <w:r>
              <w:t>Figure 4.4</w:t>
            </w:r>
          </w:p>
        </w:tc>
        <w:tc>
          <w:tcPr>
            <w:tcW w:type="dxa" w:w="4680"/>
          </w:tcPr>
          <w:p>
            <w:r>
              <w:t>Confusion matrices for the best XGBoost export</w:t>
            </w:r>
          </w:p>
        </w:tc>
      </w:tr>
      <w:tr>
        <w:tc>
          <w:tcPr>
            <w:tcW w:type="dxa" w:w="4680"/>
          </w:tcPr>
          <w:p>
            <w:r>
              <w:t>Figure 5.1</w:t>
            </w:r>
          </w:p>
        </w:tc>
        <w:tc>
          <w:tcPr>
            <w:tcW w:type="dxa" w:w="4680"/>
          </w:tcPr>
          <w:p>
            <w:r>
              <w:t>SmartLMS mapping to Sustainable Development Goals</w:t>
            </w:r>
          </w:p>
        </w:tc>
      </w:tr>
    </w:tbl>
    <w:p/>
    <w:p>
      <w:r>
        <w:br w:type="page"/>
      </w:r>
    </w:p>
    <w:p>
      <w:pPr>
        <w:jc w:val="center"/>
      </w:pPr>
      <w:r>
        <w:rPr>
          <w:rFonts w:ascii="Times New Roman" w:hAnsi="Times New Roman"/>
          <w:b/>
          <w:i w:val="0"/>
          <w:sz w:val="28"/>
        </w:rPr>
        <w:t>LIST OF TABLES</w:t>
      </w:r>
    </w:p>
    <w:tbl>
      <w:tblPr>
        <w:tblStyle w:val="TableGrid"/>
        <w:tblW w:type="auto" w:w="0"/>
        <w:tblLook w:firstColumn="1" w:firstRow="1" w:lastColumn="0" w:lastRow="0" w:noHBand="0" w:noVBand="1" w:val="04A0"/>
      </w:tblPr>
      <w:tblGrid>
        <w:gridCol w:w="4680"/>
        <w:gridCol w:w="4680"/>
      </w:tblGrid>
      <w:tr>
        <w:tc>
          <w:tcPr>
            <w:tcW w:type="dxa" w:w="4680"/>
          </w:tcPr>
          <w:p>
            <w:r>
              <w:t>Table No.</w:t>
            </w:r>
          </w:p>
        </w:tc>
        <w:tc>
          <w:tcPr>
            <w:tcW w:type="dxa" w:w="4680"/>
          </w:tcPr>
          <w:p>
            <w:r>
              <w:t>Name of the Table</w:t>
            </w:r>
          </w:p>
        </w:tc>
      </w:tr>
      <w:tr>
        <w:tc>
          <w:tcPr>
            <w:tcW w:type="dxa" w:w="4680"/>
          </w:tcPr>
          <w:p>
            <w:r>
              <w:t>Table 3.1</w:t>
            </w:r>
          </w:p>
        </w:tc>
        <w:tc>
          <w:tcPr>
            <w:tcW w:type="dxa" w:w="4680"/>
          </w:tcPr>
          <w:p>
            <w:r>
              <w:t>Technology stack used in phase-2</w:t>
            </w:r>
          </w:p>
        </w:tc>
      </w:tr>
      <w:tr>
        <w:tc>
          <w:tcPr>
            <w:tcW w:type="dxa" w:w="4680"/>
          </w:tcPr>
          <w:p>
            <w:r>
              <w:t>Table 4.1</w:t>
            </w:r>
          </w:p>
        </w:tc>
        <w:tc>
          <w:tcPr>
            <w:tcW w:type="dxa" w:w="4680"/>
          </w:tcPr>
          <w:p>
            <w:r>
              <w:t>Export model comparison and interpretation</w:t>
            </w:r>
          </w:p>
        </w:tc>
      </w:tr>
      <w:tr>
        <w:tc>
          <w:tcPr>
            <w:tcW w:type="dxa" w:w="4680"/>
          </w:tcPr>
          <w:p>
            <w:r>
              <w:t>Table 4.2</w:t>
            </w:r>
          </w:p>
        </w:tc>
        <w:tc>
          <w:tcPr>
            <w:tcW w:type="dxa" w:w="4680"/>
          </w:tcPr>
          <w:p>
            <w:r>
              <w:t>Implementation footprint of the phase-2 codebase</w:t>
            </w:r>
          </w:p>
        </w:tc>
      </w:tr>
      <w:tr>
        <w:tc>
          <w:tcPr>
            <w:tcW w:type="dxa" w:w="4680"/>
          </w:tcPr>
          <w:p>
            <w:r>
              <w:t>Table 5.1</w:t>
            </w:r>
          </w:p>
        </w:tc>
        <w:tc>
          <w:tcPr>
            <w:tcW w:type="dxa" w:w="4680"/>
          </w:tcPr>
          <w:p>
            <w:r>
              <w:t>Sustainable development goal mapping</w:t>
            </w:r>
          </w:p>
        </w:tc>
      </w:tr>
    </w:tbl>
    <w:p/>
    <w:p>
      <w:r>
        <w:br w:type="page"/>
      </w:r>
    </w:p>
    <w:p>
      <w:pPr>
        <w:jc w:val="center"/>
      </w:pPr>
      <w:r>
        <w:rPr>
          <w:rFonts w:ascii="Times New Roman" w:hAnsi="Times New Roman"/>
          <w:b/>
          <w:i w:val="0"/>
          <w:sz w:val="28"/>
        </w:rPr>
        <w:t>CHAPTER 1</w:t>
      </w:r>
    </w:p>
    <w:p>
      <w:pPr>
        <w:pStyle w:val="Heading1"/>
        <w:jc w:val="left"/>
      </w:pPr>
      <w:r>
        <w:rPr>
          <w:rFonts w:ascii="Times New Roman" w:hAnsi="Times New Roman"/>
        </w:rPr>
        <w:t>INTRODUCTION</w:t>
      </w:r>
    </w:p>
    <w:p>
      <w:pPr>
        <w:jc w:val="both"/>
      </w:pPr>
      <w:r>
        <w:rPr>
          <w:rFonts w:ascii="Times New Roman" w:hAnsi="Times New Roman"/>
          <w:b w:val="0"/>
          <w:i w:val="0"/>
          <w:sz w:val="24"/>
        </w:rPr>
        <w:t>SmartLMS Phase-2 is a teaching evaluation and learning analytics platform that connects classroom engagement, AI tutoring, course content, and cloud deployment into a single system. The project builds on the first phase by preserving the original academic structure while extending the implementation into a modern full-stack service-oriented architecture.</w:t>
      </w:r>
    </w:p>
    <w:p>
      <w:pPr>
        <w:jc w:val="both"/>
      </w:pPr>
      <w:r>
        <w:rPr>
          <w:rFonts w:ascii="Times New Roman" w:hAnsi="Times New Roman"/>
          <w:b w:val="0"/>
          <w:i w:val="0"/>
          <w:sz w:val="24"/>
        </w:rPr>
        <w:t>The core problem addressed by the platform is that teaching quality and learner engagement are usually measured from scattered signals rather than a unified evidence base. SmartLMS aggregates activity logs, engagement traces, quiz outcomes, tutor conversations, and teacher analytics to help instructors make actionable decisions and to help students receive adaptive support.</w:t>
      </w:r>
    </w:p>
    <w:p>
      <w:pPr>
        <w:jc w:val="both"/>
      </w:pPr>
      <w:r>
        <w:rPr>
          <w:rFonts w:ascii="Times New Roman" w:hAnsi="Times New Roman"/>
          <w:b w:val="0"/>
          <w:i w:val="0"/>
          <w:sz w:val="24"/>
        </w:rPr>
        <w:t>The current phase focuses on production readiness. The codebase now includes a Next.js frontend, a FastAPI backend, a separate ML service with lazy-loaded models, an async worker, and an Aika RAG layer. The cloud stack uses AWS ECS, RDS, SQS, and secure environment-based deployment patterns. This makes the platform suitable for both local demonstration and future scaled deployment.</w:t>
      </w:r>
    </w:p>
    <w:p>
      <w:pPr>
        <w:pStyle w:val="Heading2"/>
        <w:jc w:val="left"/>
      </w:pPr>
      <w:r>
        <w:rPr>
          <w:rFonts w:ascii="Times New Roman" w:hAnsi="Times New Roman"/>
        </w:rPr>
        <w:t>1.1 Objectives</w:t>
      </w:r>
    </w:p>
    <w:p>
      <w:pPr>
        <w:jc w:val="both"/>
      </w:pPr>
      <w:r>
        <w:rPr>
          <w:rFonts w:ascii="Times New Roman" w:hAnsi="Times New Roman"/>
          <w:b w:val="0"/>
          <w:i w:val="0"/>
          <w:sz w:val="24"/>
        </w:rPr>
        <w:t>- Deliver role-aware dashboards for students, teachers, and administrators.</w:t>
      </w:r>
    </w:p>
    <w:p>
      <w:pPr>
        <w:jc w:val="both"/>
      </w:pPr>
      <w:r>
        <w:rPr>
          <w:rFonts w:ascii="Times New Roman" w:hAnsi="Times New Roman"/>
          <w:b w:val="0"/>
          <w:i w:val="0"/>
          <w:sz w:val="24"/>
        </w:rPr>
        <w:t>- Centralize authentication, course management, lectures, quizzes, assignments, messages, and notifications in the backend.</w:t>
      </w:r>
    </w:p>
    <w:p>
      <w:pPr>
        <w:jc w:val="both"/>
      </w:pPr>
      <w:r>
        <w:rPr>
          <w:rFonts w:ascii="Times New Roman" w:hAnsi="Times New Roman"/>
          <w:b w:val="0"/>
          <w:i w:val="0"/>
          <w:sz w:val="24"/>
        </w:rPr>
        <w:t>- Provide real-time and batch engagement analytics using ML inference and temporal forecast metrics.</w:t>
      </w:r>
    </w:p>
    <w:p>
      <w:pPr>
        <w:jc w:val="both"/>
      </w:pPr>
      <w:r>
        <w:rPr>
          <w:rFonts w:ascii="Times New Roman" w:hAnsi="Times New Roman"/>
          <w:b w:val="0"/>
          <w:i w:val="0"/>
          <w:sz w:val="24"/>
        </w:rPr>
        <w:t>- Enable Aika as a RAG tutor over uploaded documents and course materials.</w:t>
      </w:r>
    </w:p>
    <w:p>
      <w:pPr>
        <w:jc w:val="both"/>
      </w:pPr>
      <w:r>
        <w:rPr>
          <w:rFonts w:ascii="Times New Roman" w:hAnsi="Times New Roman"/>
          <w:b w:val="0"/>
          <w:i w:val="0"/>
          <w:sz w:val="24"/>
        </w:rPr>
        <w:t>- Deploy the platform as cloud-ready microservices with scalable compute and storage layers.</w:t>
      </w:r>
    </w:p>
    <w:p>
      <w:pPr>
        <w:pStyle w:val="Heading2"/>
        <w:jc w:val="left"/>
      </w:pPr>
      <w:r>
        <w:rPr>
          <w:rFonts w:ascii="Times New Roman" w:hAnsi="Times New Roman"/>
        </w:rPr>
        <w:t>1.2 Phase-2 Scope</w:t>
      </w:r>
    </w:p>
    <w:p>
      <w:pPr>
        <w:jc w:val="both"/>
      </w:pPr>
      <w:r>
        <w:rPr>
          <w:rFonts w:ascii="Times New Roman" w:hAnsi="Times New Roman"/>
          <w:b w:val="0"/>
          <w:i w:val="0"/>
          <w:sz w:val="24"/>
        </w:rPr>
        <w:t>Phase-2 keeps the same project narrative as phase-1 but updates the implementation to reflect the SmartLMS codebase, cloud architecture, Aika tutoring, and the new Sustainable Development Goals chapter before the conclusion.</w:t>
      </w:r>
    </w:p>
    <w:p>
      <w:r>
        <w:br w:type="page"/>
      </w:r>
    </w:p>
    <w:p>
      <w:pPr>
        <w:jc w:val="center"/>
      </w:pPr>
      <w:r>
        <w:rPr>
          <w:rFonts w:ascii="Times New Roman" w:hAnsi="Times New Roman"/>
          <w:b/>
          <w:i w:val="0"/>
          <w:sz w:val="28"/>
        </w:rPr>
        <w:t>CHAPTER 2</w:t>
      </w:r>
    </w:p>
    <w:p>
      <w:pPr>
        <w:pStyle w:val="Heading1"/>
        <w:jc w:val="left"/>
      </w:pPr>
      <w:r>
        <w:rPr>
          <w:rFonts w:ascii="Times New Roman" w:hAnsi="Times New Roman"/>
        </w:rPr>
        <w:t>LITERATURE SURVEY</w:t>
      </w:r>
    </w:p>
    <w:p>
      <w:pPr>
        <w:jc w:val="both"/>
      </w:pPr>
      <w:r>
        <w:rPr>
          <w:rFonts w:ascii="Times New Roman" w:hAnsi="Times New Roman"/>
          <w:b w:val="0"/>
          <w:i w:val="0"/>
          <w:sz w:val="24"/>
        </w:rPr>
        <w:t>The research draft and training plan show a progression from baseline sequence models to more expressive temporal and multimodal methods. Earlier engagement models such as LSTM, BiLSTM, and CNN-BiLSTM established the feasibility of predicting boredom, engagement, confusion, and frustration from temporal signals, while later work introduced attention, transformer blocks, and ViT-based embeddings to capture richer facial and sequence context.</w:t>
      </w:r>
    </w:p>
    <w:p>
      <w:pPr>
        <w:jc w:val="both"/>
      </w:pPr>
      <w:r>
        <w:rPr>
          <w:rFonts w:ascii="Times New Roman" w:hAnsi="Times New Roman"/>
          <w:b w:val="0"/>
          <w:i w:val="0"/>
          <w:sz w:val="24"/>
        </w:rPr>
        <w:t>The SmartLMS training notes indicate that the strongest export model in the repository is Transformer_ViT_59.6%_BEST, followed by BiLSTM_Enhanced_FMAE_58.6% and Fusion_Enhanced_57.4%. The deployment analysis also explains why Baseline_LSTM_74.2%_BIASED is not a useful benchmark, because the reported accuracy is misleading and comes from a biased class prediction setup.</w:t>
      </w:r>
    </w:p>
    <w:p>
      <w:pPr>
        <w:jc w:val="both"/>
      </w:pPr>
      <w:r>
        <w:rPr>
          <w:rFonts w:ascii="Times New Roman" w:hAnsi="Times New Roman"/>
          <w:b w:val="0"/>
          <w:i w:val="0"/>
          <w:sz w:val="24"/>
        </w:rPr>
        <w:t>From a systems perspective, the project combines a traditional learning management system with analytics and AI services. This is aligned with the current direction of educational technology research, where dashboards, retrieval-based tutors, and explainable analytics are used together rather than in isolation. The phase-2 platform adopts that idea by integrating the learner UI, teacher feedback loops, and cloud-hosted inference services.</w:t>
      </w:r>
    </w:p>
    <w:p>
      <w:pPr>
        <w:jc w:val="center"/>
      </w:pPr>
      <w:r>
        <w:drawing>
          <wp:inline xmlns:a="http://schemas.openxmlformats.org/drawingml/2006/main" xmlns:pic="http://schemas.openxmlformats.org/drawingml/2006/picture">
            <wp:extent cx="5760720" cy="2760827"/>
            <wp:docPr id="1" name="Picture 1"/>
            <wp:cNvGraphicFramePr>
              <a:graphicFrameLocks noChangeAspect="1"/>
            </wp:cNvGraphicFramePr>
            <a:graphic>
              <a:graphicData uri="http://schemas.openxmlformats.org/drawingml/2006/picture">
                <pic:pic>
                  <pic:nvPicPr>
                    <pic:cNvPr id="0" name="phase1_literature_survey.png"/>
                    <pic:cNvPicPr/>
                  </pic:nvPicPr>
                  <pic:blipFill>
                    <a:blip r:embed="rId9"/>
                    <a:stretch>
                      <a:fillRect/>
                    </a:stretch>
                  </pic:blipFill>
                  <pic:spPr>
                    <a:xfrm>
                      <a:off x="0" y="0"/>
                      <a:ext cx="5760720" cy="2760827"/>
                    </a:xfrm>
                    <a:prstGeom prst="rect"/>
                  </pic:spPr>
                </pic:pic>
              </a:graphicData>
            </a:graphic>
          </wp:inline>
        </w:drawing>
      </w:r>
    </w:p>
    <w:p>
      <w:pPr>
        <w:jc w:val="center"/>
      </w:pPr>
      <w:r>
        <w:rPr>
          <w:rFonts w:ascii="Times New Roman" w:hAnsi="Times New Roman"/>
          <w:i/>
          <w:sz w:val="20"/>
        </w:rPr>
        <w:t>Figure 2.1: Literature survey from the phase-1 report reference</w:t>
      </w:r>
    </w:p>
    <w:p>
      <w:pPr>
        <w:pStyle w:val="Heading2"/>
        <w:jc w:val="left"/>
      </w:pPr>
      <w:r>
        <w:rPr>
          <w:rFonts w:ascii="Times New Roman" w:hAnsi="Times New Roman"/>
        </w:rPr>
        <w:t>2.1 Key Takeaways from Prior Work</w:t>
      </w:r>
    </w:p>
    <w:p>
      <w:pPr>
        <w:jc w:val="both"/>
      </w:pPr>
      <w:r>
        <w:rPr>
          <w:rFonts w:ascii="Times New Roman" w:hAnsi="Times New Roman"/>
          <w:b w:val="0"/>
          <w:i w:val="0"/>
          <w:sz w:val="24"/>
        </w:rPr>
        <w:t>- Temporal models are effective when engagement is represented as a sequence rather than a single snapshot.</w:t>
      </w:r>
    </w:p>
    <w:p>
      <w:pPr>
        <w:jc w:val="both"/>
      </w:pPr>
      <w:r>
        <w:rPr>
          <w:rFonts w:ascii="Times New Roman" w:hAnsi="Times New Roman"/>
          <w:b w:val="0"/>
          <w:i w:val="0"/>
          <w:sz w:val="24"/>
        </w:rPr>
        <w:t>- Feature richness matters: face crops, action units, gaze, and motion signals improve stability.</w:t>
      </w:r>
    </w:p>
    <w:p>
      <w:pPr>
        <w:jc w:val="both"/>
      </w:pPr>
      <w:r>
        <w:rPr>
          <w:rFonts w:ascii="Times New Roman" w:hAnsi="Times New Roman"/>
          <w:b w:val="0"/>
          <w:i w:val="0"/>
          <w:sz w:val="24"/>
        </w:rPr>
        <w:t>- Multimodal fusion is promising but must be balanced against latency and deployment cost.</w:t>
      </w:r>
    </w:p>
    <w:p>
      <w:pPr>
        <w:jc w:val="both"/>
      </w:pPr>
      <w:r>
        <w:rPr>
          <w:rFonts w:ascii="Times New Roman" w:hAnsi="Times New Roman"/>
          <w:b w:val="0"/>
          <w:i w:val="0"/>
          <w:sz w:val="24"/>
        </w:rPr>
        <w:t>- Explainability and instructor-facing analytics are necessary for adoption in real classrooms.</w:t>
      </w:r>
    </w:p>
    <w:p>
      <w:pPr>
        <w:pStyle w:val="Heading2"/>
        <w:jc w:val="left"/>
      </w:pPr>
      <w:r>
        <w:rPr>
          <w:rFonts w:ascii="Times New Roman" w:hAnsi="Times New Roman"/>
        </w:rPr>
        <w:t>2.2 Phase-2 Research Direction</w:t>
      </w:r>
    </w:p>
    <w:p>
      <w:pPr>
        <w:jc w:val="both"/>
      </w:pPr>
      <w:r>
        <w:rPr>
          <w:rFonts w:ascii="Times New Roman" w:hAnsi="Times New Roman"/>
          <w:b w:val="0"/>
          <w:i w:val="0"/>
          <w:sz w:val="24"/>
        </w:rPr>
        <w:t>The second phase therefore emphasizes productization: the model stack is wrapped in a microservice architecture, the analytics are exposed through a web dashboard, and the tutoring layer is connected to a retrieval store so that answers can cite uploaded course materials.</w:t>
      </w:r>
    </w:p>
    <w:p>
      <w:r>
        <w:br w:type="page"/>
      </w:r>
    </w:p>
    <w:p>
      <w:pPr>
        <w:jc w:val="center"/>
      </w:pPr>
      <w:r>
        <w:rPr>
          <w:rFonts w:ascii="Times New Roman" w:hAnsi="Times New Roman"/>
          <w:b/>
          <w:i w:val="0"/>
          <w:sz w:val="28"/>
        </w:rPr>
        <w:t>CHAPTER 3</w:t>
      </w:r>
    </w:p>
    <w:p>
      <w:pPr>
        <w:pStyle w:val="Heading1"/>
        <w:jc w:val="left"/>
      </w:pPr>
      <w:r>
        <w:rPr>
          <w:rFonts w:ascii="Times New Roman" w:hAnsi="Times New Roman"/>
        </w:rPr>
        <w:t>SYSTEM ARCHITECTURE AND IMPLEMENTATION</w:t>
      </w:r>
    </w:p>
    <w:p>
      <w:pPr>
        <w:jc w:val="both"/>
      </w:pPr>
      <w:r>
        <w:rPr>
          <w:rFonts w:ascii="Times New Roman" w:hAnsi="Times New Roman"/>
          <w:b w:val="0"/>
          <w:i w:val="0"/>
          <w:sz w:val="24"/>
        </w:rPr>
        <w:t>The implementation is organized as a modular platform rather than a single monolith. The frontend handles presentation and role-based navigation, the backend owns business logic and persistence, the ML service exposes model endpoints, the worker processes asynchronous jobs, and Aika provides retrieval-augmented tutoring over the project knowledge base.</w:t>
      </w:r>
    </w:p>
    <w:p>
      <w:pPr>
        <w:jc w:val="center"/>
      </w:pPr>
      <w:r>
        <w:drawing>
          <wp:inline xmlns:a="http://schemas.openxmlformats.org/drawingml/2006/main" xmlns:pic="http://schemas.openxmlformats.org/drawingml/2006/picture">
            <wp:extent cx="5760720" cy="2558009"/>
            <wp:docPr id="2" name="Picture 2"/>
            <wp:cNvGraphicFramePr>
              <a:graphicFrameLocks noChangeAspect="1"/>
            </wp:cNvGraphicFramePr>
            <a:graphic>
              <a:graphicData uri="http://schemas.openxmlformats.org/drawingml/2006/picture">
                <pic:pic>
                  <pic:nvPicPr>
                    <pic:cNvPr id="0" name="phase1_system_architecture.png"/>
                    <pic:cNvPicPr/>
                  </pic:nvPicPr>
                  <pic:blipFill>
                    <a:blip r:embed="rId10"/>
                    <a:stretch>
                      <a:fillRect/>
                    </a:stretch>
                  </pic:blipFill>
                  <pic:spPr>
                    <a:xfrm>
                      <a:off x="0" y="0"/>
                      <a:ext cx="5760720" cy="2558009"/>
                    </a:xfrm>
                    <a:prstGeom prst="rect"/>
                  </pic:spPr>
                </pic:pic>
              </a:graphicData>
            </a:graphic>
          </wp:inline>
        </w:drawing>
      </w:r>
    </w:p>
    <w:p>
      <w:pPr>
        <w:jc w:val="center"/>
      </w:pPr>
      <w:r>
        <w:rPr>
          <w:rFonts w:ascii="Times New Roman" w:hAnsi="Times New Roman"/>
          <w:i/>
          <w:sz w:val="20"/>
        </w:rPr>
        <w:t>Figure 3.1: System architecture from the phase-1 report reference</w:t>
      </w:r>
    </w:p>
    <w:p>
      <w:pPr>
        <w:pStyle w:val="Heading2"/>
        <w:jc w:val="left"/>
      </w:pPr>
      <w:r>
        <w:rPr>
          <w:rFonts w:ascii="Times New Roman" w:hAnsi="Times New Roman"/>
        </w:rPr>
        <w:t>3.1 Technology Stack</w:t>
      </w:r>
    </w:p>
    <w:p>
      <w:pPr>
        <w:jc w:val="center"/>
      </w:pPr>
      <w:r>
        <w:drawing>
          <wp:inline xmlns:a="http://schemas.openxmlformats.org/drawingml/2006/main" xmlns:pic="http://schemas.openxmlformats.org/drawingml/2006/picture">
            <wp:extent cx="5760720" cy="3762886"/>
            <wp:docPr id="3" name="Picture 3"/>
            <wp:cNvGraphicFramePr>
              <a:graphicFrameLocks noChangeAspect="1"/>
            </wp:cNvGraphicFramePr>
            <a:graphic>
              <a:graphicData uri="http://schemas.openxmlformats.org/drawingml/2006/picture">
                <pic:pic>
                  <pic:nvPicPr>
                    <pic:cNvPr id="0" name="phase1_tech_stack.png"/>
                    <pic:cNvPicPr/>
                  </pic:nvPicPr>
                  <pic:blipFill>
                    <a:blip r:embed="rId11"/>
                    <a:stretch>
                      <a:fillRect/>
                    </a:stretch>
                  </pic:blipFill>
                  <pic:spPr>
                    <a:xfrm>
                      <a:off x="0" y="0"/>
                      <a:ext cx="5760720" cy="3762886"/>
                    </a:xfrm>
                    <a:prstGeom prst="rect"/>
                  </pic:spPr>
                </pic:pic>
              </a:graphicData>
            </a:graphic>
          </wp:inline>
        </w:drawing>
      </w:r>
    </w:p>
    <w:p>
      <w:pPr>
        <w:jc w:val="center"/>
      </w:pPr>
      <w:r>
        <w:rPr>
          <w:rFonts w:ascii="Times New Roman" w:hAnsi="Times New Roman"/>
          <w:i/>
          <w:sz w:val="20"/>
        </w:rPr>
        <w:t>Figure 3.2: Technology stack from the phase-1 report reference</w:t>
      </w:r>
    </w:p>
    <w:tbl>
      <w:tblPr>
        <w:tblStyle w:val="TableGrid"/>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w:t>
            </w:r>
          </w:p>
        </w:tc>
        <w:tc>
          <w:tcPr>
            <w:tcW w:type="dxa" w:w="3120"/>
          </w:tcPr>
          <w:p>
            <w:r>
              <w:t>Purpose</w:t>
            </w:r>
          </w:p>
        </w:tc>
      </w:tr>
      <w:tr>
        <w:tc>
          <w:tcPr>
            <w:tcW w:type="dxa" w:w="3120"/>
          </w:tcPr>
          <w:p>
            <w:r>
              <w:t>Frontend</w:t>
            </w:r>
          </w:p>
        </w:tc>
        <w:tc>
          <w:tcPr>
            <w:tcW w:type="dxa" w:w="3120"/>
          </w:tcPr>
          <w:p>
            <w:r>
              <w:t>Next.js 16, React 19, TypeScript, Tailwind</w:t>
            </w:r>
          </w:p>
        </w:tc>
        <w:tc>
          <w:tcPr>
            <w:tcW w:type="dxa" w:w="3120"/>
          </w:tcPr>
          <w:p>
            <w:r>
              <w:t>Role-based UI, dashboards, chat and reports</w:t>
            </w:r>
          </w:p>
        </w:tc>
      </w:tr>
      <w:tr>
        <w:tc>
          <w:tcPr>
            <w:tcW w:type="dxa" w:w="3120"/>
          </w:tcPr>
          <w:p>
            <w:r>
              <w:t>Backend</w:t>
            </w:r>
          </w:p>
        </w:tc>
        <w:tc>
          <w:tcPr>
            <w:tcW w:type="dxa" w:w="3120"/>
          </w:tcPr>
          <w:p>
            <w:r>
              <w:t>FastAPI, SQLAlchemy, JWT</w:t>
            </w:r>
          </w:p>
        </w:tc>
        <w:tc>
          <w:tcPr>
            <w:tcW w:type="dxa" w:w="3120"/>
          </w:tcPr>
          <w:p>
            <w:r>
              <w:t>APIs, persistence, auth, analytics and orchestration</w:t>
            </w:r>
          </w:p>
        </w:tc>
      </w:tr>
      <w:tr>
        <w:tc>
          <w:tcPr>
            <w:tcW w:type="dxa" w:w="3120"/>
          </w:tcPr>
          <w:p>
            <w:r>
              <w:t>ML Service</w:t>
            </w:r>
          </w:p>
        </w:tc>
        <w:tc>
          <w:tcPr>
            <w:tcW w:type="dxa" w:w="3120"/>
          </w:tcPr>
          <w:p>
            <w:r>
              <w:t>FastAPI, export registry, ONNX-ready models</w:t>
            </w:r>
          </w:p>
        </w:tc>
        <w:tc>
          <w:tcPr>
            <w:tcW w:type="dxa" w:w="3120"/>
          </w:tcPr>
          <w:p>
            <w:r>
              <w:t>Engagement inference and ensemble predictions</w:t>
            </w:r>
          </w:p>
        </w:tc>
      </w:tr>
      <w:tr>
        <w:tc>
          <w:tcPr>
            <w:tcW w:type="dxa" w:w="3120"/>
          </w:tcPr>
          <w:p>
            <w:r>
              <w:t>AI Tutor</w:t>
            </w:r>
          </w:p>
        </w:tc>
        <w:tc>
          <w:tcPr>
            <w:tcW w:type="dxa" w:w="3120"/>
          </w:tcPr>
          <w:p>
            <w:r>
              <w:t>Groq, PGVector, HuggingFace embeddings</w:t>
            </w:r>
          </w:p>
        </w:tc>
        <w:tc>
          <w:tcPr>
            <w:tcW w:type="dxa" w:w="3120"/>
          </w:tcPr>
          <w:p>
            <w:r>
              <w:t>Retrieval-augmented response generation</w:t>
            </w:r>
          </w:p>
        </w:tc>
      </w:tr>
      <w:tr>
        <w:tc>
          <w:tcPr>
            <w:tcW w:type="dxa" w:w="3120"/>
          </w:tcPr>
          <w:p>
            <w:r>
              <w:t>Cloud</w:t>
            </w:r>
          </w:p>
        </w:tc>
        <w:tc>
          <w:tcPr>
            <w:tcW w:type="dxa" w:w="3120"/>
          </w:tcPr>
          <w:p>
            <w:r>
              <w:t>AWS ECS, RDS, SQS, Cloudinary</w:t>
            </w:r>
          </w:p>
        </w:tc>
        <w:tc>
          <w:tcPr>
            <w:tcW w:type="dxa" w:w="3120"/>
          </w:tcPr>
          <w:p>
            <w:r>
              <w:t>Production hosting and async processing</w:t>
            </w:r>
          </w:p>
        </w:tc>
      </w:tr>
    </w:tbl>
    <w:p/>
    <w:p>
      <w:pPr>
        <w:pStyle w:val="Heading2"/>
        <w:jc w:val="left"/>
      </w:pPr>
      <w:r>
        <w:rPr>
          <w:rFonts w:ascii="Times New Roman" w:hAnsi="Times New Roman"/>
        </w:rPr>
        <w:t>3.2 Backend Modules</w:t>
      </w:r>
    </w:p>
    <w:p>
      <w:pPr>
        <w:jc w:val="both"/>
      </w:pPr>
      <w:r>
        <w:rPr>
          <w:rFonts w:ascii="Times New Roman" w:hAnsi="Times New Roman"/>
          <w:b w:val="0"/>
          <w:i w:val="0"/>
          <w:sz w:val="24"/>
        </w:rPr>
        <w:t>The backend includes routers for authentication, courses, lectures, engagement, quizzes, feedback, notifications, analytics, admin, users, gamification, assignments, activity tracking, tutor sessions, messaging, and Aika. This is the main source of business logic and the bridge between the UI and data stores.</w:t>
      </w:r>
    </w:p>
    <w:p>
      <w:pPr>
        <w:jc w:val="center"/>
      </w:pPr>
      <w:r>
        <w:drawing>
          <wp:inline xmlns:a="http://schemas.openxmlformats.org/drawingml/2006/main" xmlns:pic="http://schemas.openxmlformats.org/drawingml/2006/picture">
            <wp:extent cx="5760720" cy="13987028"/>
            <wp:docPr id="4" name="Picture 4"/>
            <wp:cNvGraphicFramePr>
              <a:graphicFrameLocks noChangeAspect="1"/>
            </wp:cNvGraphicFramePr>
            <a:graphic>
              <a:graphicData uri="http://schemas.openxmlformats.org/drawingml/2006/picture">
                <pic:pic>
                  <pic:nvPicPr>
                    <pic:cNvPr id="0" name="phase1_methodology_flow.png"/>
                    <pic:cNvPicPr/>
                  </pic:nvPicPr>
                  <pic:blipFill>
                    <a:blip r:embed="rId12"/>
                    <a:stretch>
                      <a:fillRect/>
                    </a:stretch>
                  </pic:blipFill>
                  <pic:spPr>
                    <a:xfrm>
                      <a:off x="0" y="0"/>
                      <a:ext cx="5760720" cy="13987028"/>
                    </a:xfrm>
                    <a:prstGeom prst="rect"/>
                  </pic:spPr>
                </pic:pic>
              </a:graphicData>
            </a:graphic>
          </wp:inline>
        </w:drawing>
      </w:r>
    </w:p>
    <w:p>
      <w:pPr>
        <w:jc w:val="center"/>
      </w:pPr>
      <w:r>
        <w:rPr>
          <w:rFonts w:ascii="Times New Roman" w:hAnsi="Times New Roman"/>
          <w:i/>
          <w:sz w:val="20"/>
        </w:rPr>
        <w:t>Figure 3.3: Methodology flow from the phase-1 report reference</w:t>
      </w:r>
    </w:p>
    <w:p>
      <w:pPr>
        <w:pStyle w:val="Heading2"/>
        <w:jc w:val="left"/>
      </w:pPr>
      <w:r>
        <w:rPr>
          <w:rFonts w:ascii="Times New Roman" w:hAnsi="Times New Roman"/>
        </w:rPr>
        <w:t>3.3 AI Tutor and RAG Flow</w:t>
      </w:r>
    </w:p>
    <w:p>
      <w:pPr>
        <w:jc w:val="center"/>
      </w:pPr>
      <w:r>
        <w:drawing>
          <wp:inline xmlns:a="http://schemas.openxmlformats.org/drawingml/2006/main" xmlns:pic="http://schemas.openxmlformats.org/drawingml/2006/picture">
            <wp:extent cx="5760720" cy="3275256"/>
            <wp:docPr id="5" name="Picture 5"/>
            <wp:cNvGraphicFramePr>
              <a:graphicFrameLocks noChangeAspect="1"/>
            </wp:cNvGraphicFramePr>
            <a:graphic>
              <a:graphicData uri="http://schemas.openxmlformats.org/drawingml/2006/picture">
                <pic:pic>
                  <pic:nvPicPr>
                    <pic:cNvPr id="0" name="aika_rag_flow.png"/>
                    <pic:cNvPicPr/>
                  </pic:nvPicPr>
                  <pic:blipFill>
                    <a:blip r:embed="rId13"/>
                    <a:stretch>
                      <a:fillRect/>
                    </a:stretch>
                  </pic:blipFill>
                  <pic:spPr>
                    <a:xfrm>
                      <a:off x="0" y="0"/>
                      <a:ext cx="5760720" cy="3275256"/>
                    </a:xfrm>
                    <a:prstGeom prst="rect"/>
                  </pic:spPr>
                </pic:pic>
              </a:graphicData>
            </a:graphic>
          </wp:inline>
        </w:drawing>
      </w:r>
    </w:p>
    <w:p>
      <w:pPr>
        <w:jc w:val="center"/>
      </w:pPr>
      <w:r>
        <w:rPr>
          <w:rFonts w:ascii="Times New Roman" w:hAnsi="Times New Roman"/>
          <w:i/>
          <w:sz w:val="20"/>
        </w:rPr>
        <w:t>Figure 3.2: Aika RAG ingestion and answer flow</w:t>
      </w:r>
    </w:p>
    <w:p>
      <w:pPr>
        <w:jc w:val="both"/>
      </w:pPr>
      <w:r>
        <w:rPr>
          <w:rFonts w:ascii="Times New Roman" w:hAnsi="Times New Roman"/>
          <w:b w:val="0"/>
          <w:i w:val="0"/>
          <w:sz w:val="24"/>
        </w:rPr>
        <w:t>Aika stores uploaded documents in PGVector, uses retrieval tools to find relevant chunks, and then generates answers through a Groq model. The phase-2 fix ensures the ask() method is callable from the router and that uploaded course material can actually influence the answer path.</w:t>
      </w:r>
    </w:p>
    <w:p>
      <w:pPr>
        <w:pStyle w:val="Heading2"/>
        <w:jc w:val="left"/>
      </w:pPr>
      <w:r>
        <w:rPr>
          <w:rFonts w:ascii="Times New Roman" w:hAnsi="Times New Roman"/>
        </w:rPr>
        <w:t>3.4 Cloud and Storage Design</w:t>
      </w:r>
    </w:p>
    <w:p>
      <w:pPr>
        <w:jc w:val="both"/>
      </w:pPr>
      <w:r>
        <w:rPr>
          <w:rFonts w:ascii="Times New Roman" w:hAnsi="Times New Roman"/>
          <w:b w:val="0"/>
          <w:i w:val="0"/>
          <w:sz w:val="24"/>
        </w:rPr>
        <w:t>AWS ECS is used for containerized compute, RDS for persistent relational storage, SQS for asynchronous task transport, and Cloudinary for media storage. This separation keeps the system easier to scale and makes it possible to pause compute while preserving stateful data when necessary.</w:t>
      </w:r>
    </w:p>
    <w:p>
      <w:pPr>
        <w:pStyle w:val="Heading2"/>
        <w:jc w:val="left"/>
      </w:pPr>
      <w:r>
        <w:rPr>
          <w:rFonts w:ascii="Times New Roman" w:hAnsi="Times New Roman"/>
        </w:rPr>
        <w:t>3.5 Request Flow</w:t>
      </w:r>
    </w:p>
    <w:p>
      <w:pPr>
        <w:jc w:val="both"/>
      </w:pPr>
      <w:r>
        <w:rPr>
          <w:rFonts w:ascii="Times New Roman" w:hAnsi="Times New Roman"/>
          <w:b w:val="0"/>
          <w:i w:val="0"/>
          <w:sz w:val="24"/>
        </w:rPr>
        <w:t>A typical request starts in the browser, passes through JWT-protected backend routes, and is then routed either to the database, the ML service, or the Aika retrieval chain. The result is returned to the frontend for visualization as a dashboard card, chart, or conversation response.</w:t>
      </w:r>
    </w:p>
    <w:p>
      <w:r>
        <w:br w:type="page"/>
      </w:r>
    </w:p>
    <w:p>
      <w:pPr>
        <w:jc w:val="center"/>
      </w:pPr>
      <w:r>
        <w:rPr>
          <w:rFonts w:ascii="Times New Roman" w:hAnsi="Times New Roman"/>
          <w:b/>
          <w:i w:val="0"/>
          <w:sz w:val="28"/>
        </w:rPr>
        <w:t>CHAPTER 4</w:t>
      </w:r>
    </w:p>
    <w:p>
      <w:pPr>
        <w:pStyle w:val="Heading1"/>
        <w:jc w:val="left"/>
      </w:pPr>
      <w:r>
        <w:rPr>
          <w:rFonts w:ascii="Times New Roman" w:hAnsi="Times New Roman"/>
        </w:rPr>
        <w:t>EXPERIMENTATION AND RESULTS</w:t>
      </w:r>
    </w:p>
    <w:p>
      <w:pPr>
        <w:jc w:val="both"/>
      </w:pPr>
      <w:r>
        <w:rPr>
          <w:rFonts w:ascii="Times New Roman" w:hAnsi="Times New Roman"/>
          <w:b w:val="0"/>
          <w:i w:val="0"/>
          <w:sz w:val="24"/>
        </w:rPr>
        <w:t>Phase-2 focuses on product-level evaluation using the implemented codebase, research artifacts, and exported model summaries. The current repository shows a functional deployment path for the platform and a clear model hierarchy for engagement analytics.</w:t>
      </w:r>
    </w:p>
    <w:p>
      <w:pPr>
        <w:jc w:val="center"/>
      </w:pPr>
      <w:r>
        <w:drawing>
          <wp:inline xmlns:a="http://schemas.openxmlformats.org/drawingml/2006/main" xmlns:pic="http://schemas.openxmlformats.org/drawingml/2006/picture">
            <wp:extent cx="5760720" cy="1470877"/>
            <wp:docPr id="6" name="Picture 6"/>
            <wp:cNvGraphicFramePr>
              <a:graphicFrameLocks noChangeAspect="1"/>
            </wp:cNvGraphicFramePr>
            <a:graphic>
              <a:graphicData uri="http://schemas.openxmlformats.org/drawingml/2006/picture">
                <pic:pic>
                  <pic:nvPicPr>
                    <pic:cNvPr id="0" name="phase1_model_comparison.png"/>
                    <pic:cNvPicPr/>
                  </pic:nvPicPr>
                  <pic:blipFill>
                    <a:blip r:embed="rId14"/>
                    <a:stretch>
                      <a:fillRect/>
                    </a:stretch>
                  </pic:blipFill>
                  <pic:spPr>
                    <a:xfrm>
                      <a:off x="0" y="0"/>
                      <a:ext cx="5760720" cy="1470877"/>
                    </a:xfrm>
                    <a:prstGeom prst="rect"/>
                  </pic:spPr>
                </pic:pic>
              </a:graphicData>
            </a:graphic>
          </wp:inline>
        </w:drawing>
      </w:r>
    </w:p>
    <w:p>
      <w:pPr>
        <w:jc w:val="center"/>
      </w:pPr>
      <w:r>
        <w:rPr>
          <w:rFonts w:ascii="Times New Roman" w:hAnsi="Times New Roman"/>
          <w:i/>
          <w:sz w:val="20"/>
        </w:rPr>
        <w:t>Figure 4.1: Model comparison from the phase-1 report reference</w:t>
      </w:r>
    </w:p>
    <w:p>
      <w:pPr>
        <w:pStyle w:val="Heading2"/>
        <w:jc w:val="left"/>
      </w:pPr>
      <w:r>
        <w:rPr>
          <w:rFonts w:ascii="Times New Roman" w:hAnsi="Times New Roman"/>
        </w:rPr>
        <w:t>4.1 Model Performance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Model</w:t>
            </w:r>
          </w:p>
        </w:tc>
        <w:tc>
          <w:tcPr>
            <w:tcW w:type="dxa" w:w="3120"/>
          </w:tcPr>
          <w:p>
            <w:r>
              <w:t>Reported Score</w:t>
            </w:r>
          </w:p>
        </w:tc>
        <w:tc>
          <w:tcPr>
            <w:tcW w:type="dxa" w:w="3120"/>
          </w:tcPr>
          <w:p>
            <w:r>
              <w:t>Interpretation</w:t>
            </w:r>
          </w:p>
        </w:tc>
      </w:tr>
      <w:tr>
        <w:tc>
          <w:tcPr>
            <w:tcW w:type="dxa" w:w="3120"/>
          </w:tcPr>
          <w:p>
            <w:r>
              <w:t>Transformer_ViT_59.6%_BEST</w:t>
            </w:r>
          </w:p>
        </w:tc>
        <w:tc>
          <w:tcPr>
            <w:tcW w:type="dxa" w:w="3120"/>
          </w:tcPr>
          <w:p>
            <w:r>
              <w:t>59.6% accuracy</w:t>
            </w:r>
          </w:p>
        </w:tc>
        <w:tc>
          <w:tcPr>
            <w:tcW w:type="dxa" w:w="3120"/>
          </w:tcPr>
          <w:p>
            <w:r>
              <w:t>Best overall balance of accuracy and latency</w:t>
            </w:r>
          </w:p>
        </w:tc>
      </w:tr>
      <w:tr>
        <w:tc>
          <w:tcPr>
            <w:tcW w:type="dxa" w:w="3120"/>
          </w:tcPr>
          <w:p>
            <w:r>
              <w:t>BiLSTM_Enhanced_FMAE_58.6%</w:t>
            </w:r>
          </w:p>
        </w:tc>
        <w:tc>
          <w:tcPr>
            <w:tcW w:type="dxa" w:w="3120"/>
          </w:tcPr>
          <w:p>
            <w:r>
              <w:t>58.6% accuracy</w:t>
            </w:r>
          </w:p>
        </w:tc>
        <w:tc>
          <w:tcPr>
            <w:tcW w:type="dxa" w:w="3120"/>
          </w:tcPr>
          <w:p>
            <w:r>
              <w:t>Faster alternative for near-real-time use</w:t>
            </w:r>
          </w:p>
        </w:tc>
      </w:tr>
      <w:tr>
        <w:tc>
          <w:tcPr>
            <w:tcW w:type="dxa" w:w="3120"/>
          </w:tcPr>
          <w:p>
            <w:r>
              <w:t>Fusion_Enhanced_57.4%</w:t>
            </w:r>
          </w:p>
        </w:tc>
        <w:tc>
          <w:tcPr>
            <w:tcW w:type="dxa" w:w="3120"/>
          </w:tcPr>
          <w:p>
            <w:r>
              <w:t>57.4% accuracy</w:t>
            </w:r>
          </w:p>
        </w:tc>
        <w:tc>
          <w:tcPr>
            <w:tcW w:type="dxa" w:w="3120"/>
          </w:tcPr>
          <w:p>
            <w:r>
              <w:t>Multi-modal fusion model</w:t>
            </w:r>
          </w:p>
        </w:tc>
      </w:tr>
      <w:tr>
        <w:tc>
          <w:tcPr>
            <w:tcW w:type="dxa" w:w="3120"/>
          </w:tcPr>
          <w:p>
            <w:r>
              <w:t>Baseline_LSTM_74.2%_BIASED</w:t>
            </w:r>
          </w:p>
        </w:tc>
        <w:tc>
          <w:tcPr>
            <w:tcW w:type="dxa" w:w="3120"/>
          </w:tcPr>
          <w:p>
            <w:r>
              <w:t>74.2% accuracy</w:t>
            </w:r>
          </w:p>
        </w:tc>
        <w:tc>
          <w:tcPr>
            <w:tcW w:type="dxa" w:w="3120"/>
          </w:tcPr>
          <w:p>
            <w:r>
              <w:t>Misleading baseline; only one-class behavior</w:t>
            </w:r>
          </w:p>
        </w:tc>
      </w:tr>
    </w:tbl>
    <w:p/>
    <w:p>
      <w:pPr>
        <w:jc w:val="center"/>
      </w:pPr>
      <w:r>
        <w:drawing>
          <wp:inline xmlns:a="http://schemas.openxmlformats.org/drawingml/2006/main" xmlns:pic="http://schemas.openxmlformats.org/drawingml/2006/picture">
            <wp:extent cx="5760720" cy="3234644"/>
            <wp:docPr id="7" name="Picture 7"/>
            <wp:cNvGraphicFramePr>
              <a:graphicFrameLocks noChangeAspect="1"/>
            </wp:cNvGraphicFramePr>
            <a:graphic>
              <a:graphicData uri="http://schemas.openxmlformats.org/drawingml/2006/picture">
                <pic:pic>
                  <pic:nvPicPr>
                    <pic:cNvPr id="0" name="phase1_dashboard_overview.png"/>
                    <pic:cNvPicPr/>
                  </pic:nvPicPr>
                  <pic:blipFill>
                    <a:blip r:embed="rId15"/>
                    <a:stretch>
                      <a:fillRect/>
                    </a:stretch>
                  </pic:blipFill>
                  <pic:spPr>
                    <a:xfrm>
                      <a:off x="0" y="0"/>
                      <a:ext cx="5760720" cy="3234644"/>
                    </a:xfrm>
                    <a:prstGeom prst="rect"/>
                  </pic:spPr>
                </pic:pic>
              </a:graphicData>
            </a:graphic>
          </wp:inline>
        </w:drawing>
      </w:r>
    </w:p>
    <w:p>
      <w:pPr>
        <w:jc w:val="center"/>
      </w:pPr>
      <w:r>
        <w:rPr>
          <w:rFonts w:ascii="Times New Roman" w:hAnsi="Times New Roman"/>
          <w:i/>
          <w:sz w:val="20"/>
        </w:rPr>
        <w:t>Figure 4.2: Dashboard overview from the phase-1 report reference</w:t>
      </w:r>
    </w:p>
    <w:p>
      <w:pPr>
        <w:jc w:val="both"/>
      </w:pPr>
      <w:r>
        <w:rPr>
          <w:rFonts w:ascii="Times New Roman" w:hAnsi="Times New Roman"/>
          <w:b w:val="0"/>
          <w:i w:val="0"/>
          <w:sz w:val="24"/>
        </w:rPr>
        <w:t>The deployment analysis recommends Transformer_ViT_59.6%_BEST as the best practical default because it balances performance with a clean deployment profile. For low-latency settings, the BiLSTM alternative remains attractive. The baseline LSTM is kept only as a cautionary reference because the high score does not reflect useful multi-class behavior.</w:t>
      </w:r>
    </w:p>
    <w:p>
      <w:pPr>
        <w:pStyle w:val="Heading2"/>
        <w:jc w:val="left"/>
      </w:pPr>
      <w:r>
        <w:rPr>
          <w:rFonts w:ascii="Times New Roman" w:hAnsi="Times New Roman"/>
        </w:rPr>
        <w:t>4.2 Research Figures</w:t>
      </w:r>
    </w:p>
    <w:p>
      <w:pPr>
        <w:jc w:val="center"/>
      </w:pPr>
      <w:r>
        <w:drawing>
          <wp:inline xmlns:a="http://schemas.openxmlformats.org/drawingml/2006/main" xmlns:pic="http://schemas.openxmlformats.org/drawingml/2006/picture">
            <wp:extent cx="5760720" cy="2547814"/>
            <wp:docPr id="8" name="Picture 8"/>
            <wp:cNvGraphicFramePr>
              <a:graphicFrameLocks noChangeAspect="1"/>
            </wp:cNvGraphicFramePr>
            <a:graphic>
              <a:graphicData uri="http://schemas.openxmlformats.org/drawingml/2006/picture">
                <pic:pic>
                  <pic:nvPicPr>
                    <pic:cNvPr id="0" name="phase1_result_gauge.png"/>
                    <pic:cNvPicPr/>
                  </pic:nvPicPr>
                  <pic:blipFill>
                    <a:blip r:embed="rId16"/>
                    <a:stretch>
                      <a:fillRect/>
                    </a:stretch>
                  </pic:blipFill>
                  <pic:spPr>
                    <a:xfrm>
                      <a:off x="0" y="0"/>
                      <a:ext cx="5760720" cy="2547814"/>
                    </a:xfrm>
                    <a:prstGeom prst="rect"/>
                  </pic:spPr>
                </pic:pic>
              </a:graphicData>
            </a:graphic>
          </wp:inline>
        </w:drawing>
      </w:r>
    </w:p>
    <w:p>
      <w:pPr>
        <w:jc w:val="center"/>
      </w:pPr>
      <w:r>
        <w:rPr>
          <w:rFonts w:ascii="Times New Roman" w:hAnsi="Times New Roman"/>
          <w:i/>
          <w:sz w:val="20"/>
        </w:rPr>
        <w:t>Figure 4.3: Result gauge from the phase-1 report reference</w:t>
      </w:r>
    </w:p>
    <w:p>
      <w:pPr>
        <w:jc w:val="center"/>
      </w:pPr>
      <w:r>
        <w:drawing>
          <wp:inline xmlns:a="http://schemas.openxmlformats.org/drawingml/2006/main" xmlns:pic="http://schemas.openxmlformats.org/drawingml/2006/picture">
            <wp:extent cx="5760720" cy="3021053"/>
            <wp:docPr id="9" name="Picture 9"/>
            <wp:cNvGraphicFramePr>
              <a:graphicFrameLocks noChangeAspect="1"/>
            </wp:cNvGraphicFramePr>
            <a:graphic>
              <a:graphicData uri="http://schemas.openxmlformats.org/drawingml/2006/picture">
                <pic:pic>
                  <pic:nvPicPr>
                    <pic:cNvPr id="0" name="phase1_implementation_flow.png"/>
                    <pic:cNvPicPr/>
                  </pic:nvPicPr>
                  <pic:blipFill>
                    <a:blip r:embed="rId17"/>
                    <a:stretch>
                      <a:fillRect/>
                    </a:stretch>
                  </pic:blipFill>
                  <pic:spPr>
                    <a:xfrm>
                      <a:off x="0" y="0"/>
                      <a:ext cx="5760720" cy="3021053"/>
                    </a:xfrm>
                    <a:prstGeom prst="rect"/>
                  </pic:spPr>
                </pic:pic>
              </a:graphicData>
            </a:graphic>
          </wp:inline>
        </w:drawing>
      </w:r>
    </w:p>
    <w:p>
      <w:pPr>
        <w:jc w:val="center"/>
      </w:pPr>
      <w:r>
        <w:rPr>
          <w:rFonts w:ascii="Times New Roman" w:hAnsi="Times New Roman"/>
          <w:i/>
          <w:sz w:val="20"/>
        </w:rPr>
        <w:t>Figure 4.4: Implementation flow from the phase-1 report reference</w:t>
      </w:r>
    </w:p>
    <w:p>
      <w:pPr>
        <w:pStyle w:val="Heading2"/>
        <w:jc w:val="left"/>
      </w:pPr>
      <w:r>
        <w:rPr>
          <w:rFonts w:ascii="Times New Roman" w:hAnsi="Times New Roman"/>
        </w:rPr>
        <w:t>4.3 Implementation Footprint</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Value</w:t>
            </w:r>
          </w:p>
        </w:tc>
        <w:tc>
          <w:tcPr>
            <w:tcW w:type="dxa" w:w="3120"/>
          </w:tcPr>
          <w:p>
            <w:r>
              <w:t>Evidence</w:t>
            </w:r>
          </w:p>
        </w:tc>
      </w:tr>
      <w:tr>
        <w:tc>
          <w:tcPr>
            <w:tcW w:type="dxa" w:w="3120"/>
          </w:tcPr>
          <w:p>
            <w:r>
              <w:t>Frontend route pages</w:t>
            </w:r>
          </w:p>
        </w:tc>
        <w:tc>
          <w:tcPr>
            <w:tcW w:type="dxa" w:w="3120"/>
          </w:tcPr>
          <w:p>
            <w:r>
              <w:t>29</w:t>
            </w:r>
          </w:p>
        </w:tc>
        <w:tc>
          <w:tcPr>
            <w:tcW w:type="dxa" w:w="3120"/>
          </w:tcPr>
          <w:p>
            <w:r>
              <w:t>Next.js app routes in the codebase</w:t>
            </w:r>
          </w:p>
        </w:tc>
      </w:tr>
      <w:tr>
        <w:tc>
          <w:tcPr>
            <w:tcW w:type="dxa" w:w="3120"/>
          </w:tcPr>
          <w:p>
            <w:r>
              <w:t>Frontend components</w:t>
            </w:r>
          </w:p>
        </w:tc>
        <w:tc>
          <w:tcPr>
            <w:tcW w:type="dxa" w:w="3120"/>
          </w:tcPr>
          <w:p>
            <w:r>
              <w:t>27</w:t>
            </w:r>
          </w:p>
        </w:tc>
        <w:tc>
          <w:tcPr>
            <w:tcW w:type="dxa" w:w="3120"/>
          </w:tcPr>
          <w:p>
            <w:r>
              <w:t>Reusable UI blocks and charts</w:t>
            </w:r>
          </w:p>
        </w:tc>
      </w:tr>
      <w:tr>
        <w:tc>
          <w:tcPr>
            <w:tcW w:type="dxa" w:w="3120"/>
          </w:tcPr>
          <w:p>
            <w:r>
              <w:t>Backend Python files</w:t>
            </w:r>
          </w:p>
        </w:tc>
        <w:tc>
          <w:tcPr>
            <w:tcW w:type="dxa" w:w="3120"/>
          </w:tcPr>
          <w:p>
            <w:r>
              <w:t>51</w:t>
            </w:r>
          </w:p>
        </w:tc>
        <w:tc>
          <w:tcPr>
            <w:tcW w:type="dxa" w:w="3120"/>
          </w:tcPr>
          <w:p>
            <w:r>
              <w:t>Routers, services, middleware, models</w:t>
            </w:r>
          </w:p>
        </w:tc>
      </w:tr>
      <w:tr>
        <w:tc>
          <w:tcPr>
            <w:tcW w:type="dxa" w:w="3120"/>
          </w:tcPr>
          <w:p>
            <w:r>
              <w:t>ML service Python files</w:t>
            </w:r>
          </w:p>
        </w:tc>
        <w:tc>
          <w:tcPr>
            <w:tcW w:type="dxa" w:w="3120"/>
          </w:tcPr>
          <w:p>
            <w:r>
              <w:t>19</w:t>
            </w:r>
          </w:p>
        </w:tc>
        <w:tc>
          <w:tcPr>
            <w:tcW w:type="dxa" w:w="3120"/>
          </w:tcPr>
          <w:p>
            <w:r>
              <w:t>API, worker, registry, model helpers</w:t>
            </w:r>
          </w:p>
        </w:tc>
      </w:tr>
      <w:tr>
        <w:tc>
          <w:tcPr>
            <w:tcW w:type="dxa" w:w="3120"/>
          </w:tcPr>
          <w:p>
            <w:r>
              <w:t>Backend test scripts</w:t>
            </w:r>
          </w:p>
        </w:tc>
        <w:tc>
          <w:tcPr>
            <w:tcW w:type="dxa" w:w="3120"/>
          </w:tcPr>
          <w:p>
            <w:r>
              <w:t>16</w:t>
            </w:r>
          </w:p>
        </w:tc>
        <w:tc>
          <w:tcPr>
            <w:tcW w:type="dxa" w:w="3120"/>
          </w:tcPr>
          <w:p>
            <w:r>
              <w:t>Dedicated test and validation scripts</w:t>
            </w:r>
          </w:p>
        </w:tc>
      </w:tr>
    </w:tbl>
    <w:p/>
    <w:p>
      <w:pPr>
        <w:jc w:val="both"/>
      </w:pPr>
      <w:r>
        <w:rPr>
          <w:rFonts w:ascii="Times New Roman" w:hAnsi="Times New Roman"/>
          <w:b w:val="0"/>
          <w:i w:val="0"/>
          <w:sz w:val="24"/>
        </w:rPr>
        <w:t>These counts show that the project has moved well beyond a prototype. The frontend, backend, and ML service each have a meaningful code footprint, and the overall system is sufficiently modular to support further additions without rewriting the architecture.</w:t>
      </w:r>
    </w:p>
    <w:p>
      <w:pPr>
        <w:pStyle w:val="Heading2"/>
        <w:jc w:val="left"/>
      </w:pPr>
      <w:r>
        <w:rPr>
          <w:rFonts w:ascii="Times New Roman" w:hAnsi="Times New Roman"/>
        </w:rPr>
        <w:t>4.4 Result Interpretation</w:t>
      </w:r>
    </w:p>
    <w:p>
      <w:pPr>
        <w:jc w:val="both"/>
      </w:pPr>
      <w:r>
        <w:rPr>
          <w:rFonts w:ascii="Times New Roman" w:hAnsi="Times New Roman"/>
          <w:b w:val="0"/>
          <w:i w:val="0"/>
          <w:sz w:val="24"/>
        </w:rPr>
        <w:t>The strongest results are not only numerical. The dashboard now shows live analytics values from the backend rather than placeholders, Aika can actually respond through the RAG path, and the admin analytics pages are connected to real correlation queries. These are important phase-2 quality improvements because they turn the platform into a demonstrable product.</w:t>
      </w:r>
    </w:p>
    <w:p>
      <w:r>
        <w:br w:type="page"/>
      </w:r>
    </w:p>
    <w:p>
      <w:pPr>
        <w:jc w:val="center"/>
      </w:pPr>
      <w:r>
        <w:rPr>
          <w:rFonts w:ascii="Times New Roman" w:hAnsi="Times New Roman"/>
          <w:b/>
          <w:i w:val="0"/>
          <w:sz w:val="28"/>
        </w:rPr>
        <w:t>CHAPTER 5</w:t>
      </w:r>
    </w:p>
    <w:p>
      <w:pPr>
        <w:pStyle w:val="Heading1"/>
        <w:jc w:val="left"/>
      </w:pPr>
      <w:r>
        <w:rPr>
          <w:rFonts w:ascii="Times New Roman" w:hAnsi="Times New Roman"/>
        </w:rPr>
        <w:t>SUSTAINABLE DEVELOPMENT GOALS</w:t>
      </w:r>
    </w:p>
    <w:p>
      <w:pPr>
        <w:jc w:val="both"/>
      </w:pPr>
      <w:r>
        <w:rPr>
          <w:rFonts w:ascii="Times New Roman" w:hAnsi="Times New Roman"/>
          <w:b w:val="0"/>
          <w:i w:val="0"/>
          <w:sz w:val="24"/>
        </w:rPr>
        <w:t>The project contributes to sustainable development by making digital education more accessible, measurable, and scalable. This chapter maps the SmartLMS platform to the most relevant Sustainable Development Goals and explains how the phase-2 implementation supports them.</w:t>
      </w:r>
    </w:p>
    <w:p>
      <w:pPr>
        <w:jc w:val="center"/>
      </w:pPr>
      <w:r>
        <w:drawing>
          <wp:inline xmlns:a="http://schemas.openxmlformats.org/drawingml/2006/main" xmlns:pic="http://schemas.openxmlformats.org/drawingml/2006/picture">
            <wp:extent cx="5760720" cy="3275256"/>
            <wp:docPr id="10" name="Picture 10"/>
            <wp:cNvGraphicFramePr>
              <a:graphicFrameLocks noChangeAspect="1"/>
            </wp:cNvGraphicFramePr>
            <a:graphic>
              <a:graphicData uri="http://schemas.openxmlformats.org/drawingml/2006/picture">
                <pic:pic>
                  <pic:nvPicPr>
                    <pic:cNvPr id="0" name="sdg_mapping.png"/>
                    <pic:cNvPicPr/>
                  </pic:nvPicPr>
                  <pic:blipFill>
                    <a:blip r:embed="rId18"/>
                    <a:stretch>
                      <a:fillRect/>
                    </a:stretch>
                  </pic:blipFill>
                  <pic:spPr>
                    <a:xfrm>
                      <a:off x="0" y="0"/>
                      <a:ext cx="5760720" cy="3275256"/>
                    </a:xfrm>
                    <a:prstGeom prst="rect"/>
                  </pic:spPr>
                </pic:pic>
              </a:graphicData>
            </a:graphic>
          </wp:inline>
        </w:drawing>
      </w:r>
    </w:p>
    <w:p>
      <w:pPr>
        <w:jc w:val="center"/>
      </w:pPr>
      <w:r>
        <w:rPr>
          <w:rFonts w:ascii="Times New Roman" w:hAnsi="Times New Roman"/>
          <w:i/>
          <w:sz w:val="20"/>
        </w:rPr>
        <w:t>Figure 5.1: SmartLMS mapping to Sustainable Development Goals</w:t>
      </w:r>
    </w:p>
    <w:p>
      <w:pPr>
        <w:pStyle w:val="Heading2"/>
        <w:jc w:val="left"/>
      </w:pPr>
      <w:r>
        <w:rPr>
          <w:rFonts w:ascii="Times New Roman" w:hAnsi="Times New Roman"/>
        </w:rPr>
        <w:t>5.1 SDG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t>SDG</w:t>
            </w:r>
          </w:p>
        </w:tc>
        <w:tc>
          <w:tcPr>
            <w:tcW w:type="dxa" w:w="3120"/>
          </w:tcPr>
          <w:p>
            <w:r>
              <w:t>Project Contribution</w:t>
            </w:r>
          </w:p>
        </w:tc>
        <w:tc>
          <w:tcPr>
            <w:tcW w:type="dxa" w:w="3120"/>
          </w:tcPr>
          <w:p>
            <w:r>
              <w:t>Phase-2 Impact</w:t>
            </w:r>
          </w:p>
        </w:tc>
      </w:tr>
      <w:tr>
        <w:tc>
          <w:tcPr>
            <w:tcW w:type="dxa" w:w="3120"/>
          </w:tcPr>
          <w:p>
            <w:r>
              <w:t>SDG 4 - Quality Education</w:t>
            </w:r>
          </w:p>
        </w:tc>
        <w:tc>
          <w:tcPr>
            <w:tcW w:type="dxa" w:w="3120"/>
          </w:tcPr>
          <w:p>
            <w:r>
              <w:t>Aika tutoring, adaptive dashboards, engagement feedback</w:t>
            </w:r>
          </w:p>
        </w:tc>
        <w:tc>
          <w:tcPr>
            <w:tcW w:type="dxa" w:w="3120"/>
          </w:tcPr>
          <w:p>
            <w:r>
              <w:t>Better learner support and personalization</w:t>
            </w:r>
          </w:p>
        </w:tc>
      </w:tr>
      <w:tr>
        <w:tc>
          <w:tcPr>
            <w:tcW w:type="dxa" w:w="3120"/>
          </w:tcPr>
          <w:p>
            <w:r>
              <w:t>SDG 9 - Industry, Innovation and Infrastructure</w:t>
            </w:r>
          </w:p>
        </w:tc>
        <w:tc>
          <w:tcPr>
            <w:tcW w:type="dxa" w:w="3120"/>
          </w:tcPr>
          <w:p>
            <w:r>
              <w:t>Cloud-native microservices and ML APIs</w:t>
            </w:r>
          </w:p>
        </w:tc>
        <w:tc>
          <w:tcPr>
            <w:tcW w:type="dxa" w:w="3120"/>
          </w:tcPr>
          <w:p>
            <w:r>
              <w:t>More scalable technical foundation</w:t>
            </w:r>
          </w:p>
        </w:tc>
      </w:tr>
      <w:tr>
        <w:tc>
          <w:tcPr>
            <w:tcW w:type="dxa" w:w="3120"/>
          </w:tcPr>
          <w:p>
            <w:r>
              <w:t>SDG 10 - Reduced Inequalities</w:t>
            </w:r>
          </w:p>
        </w:tc>
        <w:tc>
          <w:tcPr>
            <w:tcW w:type="dxa" w:w="3120"/>
          </w:tcPr>
          <w:p>
            <w:r>
              <w:t>Role-based interfaces and guided analytics</w:t>
            </w:r>
          </w:p>
        </w:tc>
        <w:tc>
          <w:tcPr>
            <w:tcW w:type="dxa" w:w="3120"/>
          </w:tcPr>
          <w:p>
            <w:r>
              <w:t>More accessible academic support</w:t>
            </w:r>
          </w:p>
        </w:tc>
      </w:tr>
      <w:tr>
        <w:tc>
          <w:tcPr>
            <w:tcW w:type="dxa" w:w="3120"/>
          </w:tcPr>
          <w:p>
            <w:r>
              <w:t>SDG 17 - Partnerships for the Goals</w:t>
            </w:r>
          </w:p>
        </w:tc>
        <w:tc>
          <w:tcPr>
            <w:tcW w:type="dxa" w:w="3120"/>
          </w:tcPr>
          <w:p>
            <w:r>
              <w:t>Integrated frontend, backend, ML, and cloud stack</w:t>
            </w:r>
          </w:p>
        </w:tc>
        <w:tc>
          <w:tcPr>
            <w:tcW w:type="dxa" w:w="3120"/>
          </w:tcPr>
          <w:p>
            <w:r>
              <w:t>Easier collaboration and reuse</w:t>
            </w:r>
          </w:p>
        </w:tc>
      </w:tr>
    </w:tbl>
    <w:p/>
    <w:p>
      <w:pPr>
        <w:pStyle w:val="Heading2"/>
        <w:jc w:val="left"/>
      </w:pPr>
      <w:r>
        <w:rPr>
          <w:rFonts w:ascii="Times New Roman" w:hAnsi="Times New Roman"/>
        </w:rPr>
        <w:t>5.2 Why This Mapping Matters</w:t>
      </w:r>
    </w:p>
    <w:p>
      <w:pPr>
        <w:jc w:val="both"/>
      </w:pPr>
      <w:r>
        <w:rPr>
          <w:rFonts w:ascii="Times New Roman" w:hAnsi="Times New Roman"/>
          <w:b w:val="0"/>
          <w:i w:val="0"/>
          <w:sz w:val="24"/>
        </w:rPr>
        <w:t>SDG 4 is the most direct match because the platform improves how students receive support and how teachers identify learning gaps. The dashboard, AI tutor, and analytics together reduce the delay between learner behavior and instructor response.</w:t>
      </w:r>
    </w:p>
    <w:p>
      <w:pPr>
        <w:jc w:val="both"/>
      </w:pPr>
      <w:r>
        <w:rPr>
          <w:rFonts w:ascii="Times New Roman" w:hAnsi="Times New Roman"/>
          <w:b w:val="0"/>
          <w:i w:val="0"/>
          <w:sz w:val="24"/>
        </w:rPr>
        <w:t>SDG 9 is supported by the system architecture itself: the application uses modular services, async queues, and cloud storage so that the solution can be deployed, maintained, and scaled like a practical digital product rather than a classroom demo.</w:t>
      </w:r>
    </w:p>
    <w:p>
      <w:pPr>
        <w:jc w:val="both"/>
      </w:pPr>
      <w:r>
        <w:rPr>
          <w:rFonts w:ascii="Times New Roman" w:hAnsi="Times New Roman"/>
          <w:b w:val="0"/>
          <w:i w:val="0"/>
          <w:sz w:val="24"/>
        </w:rPr>
        <w:t>SDG 10 is addressed by giving all learner roles a consistent interface and by adapting the teaching support to the measured evidence in the system. In practice, this reduces reliance on subjective observation alone.</w:t>
      </w:r>
    </w:p>
    <w:p>
      <w:pPr>
        <w:jc w:val="both"/>
      </w:pPr>
      <w:r>
        <w:rPr>
          <w:rFonts w:ascii="Times New Roman" w:hAnsi="Times New Roman"/>
          <w:b w:val="0"/>
          <w:i w:val="0"/>
          <w:sz w:val="24"/>
        </w:rPr>
        <w:t>SDG 17 is reflected in the way the frontend, backend, ML service, RAG layer, and cloud environment work together as a partnership of components. The project also encourages reuse of the analytics and tutoring layers in future academic or institutional settings.</w:t>
      </w:r>
    </w:p>
    <w:p>
      <w:r>
        <w:br w:type="page"/>
      </w:r>
    </w:p>
    <w:p>
      <w:pPr>
        <w:jc w:val="center"/>
      </w:pPr>
      <w:r>
        <w:rPr>
          <w:rFonts w:ascii="Times New Roman" w:hAnsi="Times New Roman"/>
          <w:b/>
          <w:i w:val="0"/>
          <w:sz w:val="28"/>
        </w:rPr>
        <w:t>CHAPTER 6</w:t>
      </w:r>
    </w:p>
    <w:p>
      <w:pPr>
        <w:pStyle w:val="Heading1"/>
        <w:jc w:val="left"/>
      </w:pPr>
      <w:r>
        <w:rPr>
          <w:rFonts w:ascii="Times New Roman" w:hAnsi="Times New Roman"/>
        </w:rPr>
        <w:t>CONCLUSION AND FUTURE SCOPE</w:t>
      </w:r>
    </w:p>
    <w:p>
      <w:pPr>
        <w:jc w:val="both"/>
      </w:pPr>
      <w:r>
        <w:rPr>
          <w:rFonts w:ascii="Times New Roman" w:hAnsi="Times New Roman"/>
          <w:b w:val="0"/>
          <w:i w:val="0"/>
          <w:sz w:val="24"/>
        </w:rPr>
        <w:t>The phase-2 report demonstrates that SmartLMS is no longer only an experimental idea. It is a working learning platform with dashboards, analytics, an AI tutor, course and lecture management, and cloud-ready deployment design. The codebase now supports a realistic end-to-end story from user authentication to model inference and RAG-based assistance.</w:t>
      </w:r>
    </w:p>
    <w:p>
      <w:pPr>
        <w:jc w:val="both"/>
      </w:pPr>
      <w:r>
        <w:rPr>
          <w:rFonts w:ascii="Times New Roman" w:hAnsi="Times New Roman"/>
          <w:b w:val="0"/>
          <w:i w:val="0"/>
          <w:sz w:val="24"/>
        </w:rPr>
        <w:t>In future iterations, the platform can be extended with mobile support, stronger multimodal fusion, richer teacher interventions, smarter notification policies, and more explicit feedback loops between engagement prediction and instructional guidance. The current architecture already leaves room for these additions without structural redesign.</w:t>
      </w:r>
    </w:p>
    <w:p>
      <w:pPr>
        <w:pStyle w:val="Heading2"/>
        <w:jc w:val="left"/>
      </w:pPr>
      <w:r>
        <w:rPr>
          <w:rFonts w:ascii="Times New Roman" w:hAnsi="Times New Roman"/>
        </w:rPr>
        <w:t>6.1 Future Scope</w:t>
      </w:r>
    </w:p>
    <w:p>
      <w:pPr>
        <w:jc w:val="both"/>
      </w:pPr>
      <w:r>
        <w:rPr>
          <w:rFonts w:ascii="Times New Roman" w:hAnsi="Times New Roman"/>
          <w:b w:val="0"/>
          <w:i w:val="0"/>
          <w:sz w:val="24"/>
        </w:rPr>
        <w:t>- Mobile and offline-friendly learning support.</w:t>
      </w:r>
    </w:p>
    <w:p>
      <w:pPr>
        <w:jc w:val="both"/>
      </w:pPr>
      <w:r>
        <w:rPr>
          <w:rFonts w:ascii="Times New Roman" w:hAnsi="Times New Roman"/>
          <w:b w:val="0"/>
          <w:i w:val="0"/>
          <w:sz w:val="24"/>
        </w:rPr>
        <w:t>- Broader multimodal inputs such as audio, screen events, and meeting integrations.</w:t>
      </w:r>
    </w:p>
    <w:p>
      <w:pPr>
        <w:jc w:val="both"/>
      </w:pPr>
      <w:r>
        <w:rPr>
          <w:rFonts w:ascii="Times New Roman" w:hAnsi="Times New Roman"/>
          <w:b w:val="0"/>
          <w:i w:val="0"/>
          <w:sz w:val="24"/>
        </w:rPr>
        <w:t>- More advanced model routing and explainability for the ML service.</w:t>
      </w:r>
    </w:p>
    <w:p>
      <w:pPr>
        <w:jc w:val="both"/>
      </w:pPr>
      <w:r>
        <w:rPr>
          <w:rFonts w:ascii="Times New Roman" w:hAnsi="Times New Roman"/>
          <w:b w:val="0"/>
          <w:i w:val="0"/>
          <w:sz w:val="24"/>
        </w:rPr>
        <w:t>- Adaptive, per-student baselines for more precise engagement analytics.</w:t>
      </w:r>
    </w:p>
    <w:p>
      <w:pPr>
        <w:jc w:val="both"/>
      </w:pPr>
      <w:r>
        <w:rPr>
          <w:rFonts w:ascii="Times New Roman" w:hAnsi="Times New Roman"/>
          <w:b w:val="0"/>
          <w:i w:val="0"/>
          <w:sz w:val="24"/>
        </w:rPr>
        <w:t>- Expanded knowledge-base indexing and better citation-aware tutoring.</w:t>
      </w:r>
    </w:p>
    <w:p>
      <w:r>
        <w:br w:type="page"/>
      </w:r>
    </w:p>
    <w:p>
      <w:pPr>
        <w:jc w:val="center"/>
      </w:pPr>
      <w:r>
        <w:rPr>
          <w:rFonts w:ascii="Times New Roman" w:hAnsi="Times New Roman"/>
          <w:b/>
          <w:i w:val="0"/>
          <w:sz w:val="28"/>
        </w:rPr>
        <w:t>REFERENCES</w:t>
      </w:r>
    </w:p>
    <w:p>
      <w:pPr>
        <w:jc w:val="both"/>
      </w:pPr>
      <w:r>
        <w:rPr>
          <w:rFonts w:ascii="Times New Roman" w:hAnsi="Times New Roman"/>
          <w:b w:val="0"/>
          <w:i w:val="0"/>
          <w:sz w:val="24"/>
        </w:rPr>
        <w:t>1. G. Gupta, D. R. Varma, A. Sethi, and M. K. Jawahar, 'DAiSEE: Towards User Engagement Recognition in the Wild,' ACM Multimedia, 2016.</w:t>
      </w:r>
    </w:p>
    <w:p>
      <w:pPr>
        <w:jc w:val="both"/>
      </w:pPr>
      <w:r>
        <w:rPr>
          <w:rFonts w:ascii="Times New Roman" w:hAnsi="Times New Roman"/>
          <w:b w:val="0"/>
          <w:i w:val="0"/>
          <w:sz w:val="24"/>
        </w:rPr>
        <w:t>2. D. Dhall, A. Asthana, R. Goecke, and T. Gedeon, 'Video and Image-Based Emotion Recognition Challenges in the Wild: EmotiW,' ACM ICMI, 2018.</w:t>
      </w:r>
    </w:p>
    <w:p>
      <w:pPr>
        <w:jc w:val="both"/>
      </w:pPr>
      <w:r>
        <w:rPr>
          <w:rFonts w:ascii="Times New Roman" w:hAnsi="Times New Roman"/>
          <w:b w:val="0"/>
          <w:i w:val="0"/>
          <w:sz w:val="24"/>
        </w:rPr>
        <w:t>3. Y. Tian, A. Kumar, and R. Singh, 'Predicting Student Engagement Using Sequential Ensemble Model,' IEEE Transactions on Learning Technologies, 2024.</w:t>
      </w:r>
    </w:p>
    <w:p>
      <w:pPr>
        <w:jc w:val="both"/>
      </w:pPr>
      <w:r>
        <w:rPr>
          <w:rFonts w:ascii="Times New Roman" w:hAnsi="Times New Roman"/>
          <w:b w:val="0"/>
          <w:i w:val="0"/>
          <w:sz w:val="24"/>
        </w:rPr>
        <w:t>4. Y. Huang, J. Sun, J. Li, and D. Wu, 'Teaching Performance Evaluation in Smart Campus Based on Grey-TOPSIS,' IEEE Transactions on Education, 2017.</w:t>
      </w:r>
    </w:p>
    <w:p>
      <w:pPr>
        <w:jc w:val="both"/>
      </w:pPr>
      <w:r>
        <w:rPr>
          <w:rFonts w:ascii="Times New Roman" w:hAnsi="Times New Roman"/>
          <w:b w:val="0"/>
          <w:i w:val="0"/>
          <w:sz w:val="24"/>
        </w:rPr>
        <w:t>5. SmartLMS research_and_training/TRAINING_PLAN_V4.md and KAGGLE_STEP_BY_STEP.md, internal project planning documents.</w:t>
      </w:r>
    </w:p>
    <w:p>
      <w:pPr>
        <w:jc w:val="both"/>
      </w:pPr>
      <w:r>
        <w:rPr>
          <w:rFonts w:ascii="Times New Roman" w:hAnsi="Times New Roman"/>
          <w:b w:val="0"/>
          <w:i w:val="0"/>
          <w:sz w:val="24"/>
        </w:rPr>
        <w:t>6. SmartLMS backend deployment analysis and export model readmes in smartlms-backend/export and smartlms-backend/deployment analysis.md.</w:t>
      </w:r>
    </w:p>
    <w:sectPr w:rsidR="00FC693F" w:rsidRPr="0006063C" w:rsidSect="00034616">
      <w:pgSz w:w="12240" w:h="15840"/>
      <w:pgMar w:top="994"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