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335B2">
      <w:pPr>
        <w:jc w:val="center"/>
        <w:rPr>
          <w:rFonts w:ascii="微软雅黑" w:hAnsi="微软雅黑" w:eastAsia="微软雅黑"/>
          <w:bCs/>
          <w:sz w:val="28"/>
          <w:szCs w:val="28"/>
        </w:rPr>
      </w:pPr>
      <w:r>
        <w:rPr>
          <w:rFonts w:ascii="微软雅黑" w:hAnsi="微软雅黑" w:eastAsia="微软雅黑"/>
          <w:bCs/>
          <w:sz w:val="28"/>
          <w:szCs w:val="28"/>
        </w:rPr>
        <w:t>202</w:t>
      </w:r>
      <w:r>
        <w:rPr>
          <w:rFonts w:hint="eastAsia" w:ascii="微软雅黑" w:hAnsi="微软雅黑" w:eastAsia="微软雅黑"/>
          <w:bCs/>
          <w:sz w:val="28"/>
          <w:szCs w:val="28"/>
          <w:lang w:val="en-US" w:eastAsia="zh-CN"/>
        </w:rPr>
        <w:t>6</w:t>
      </w:r>
      <w:r>
        <w:rPr>
          <w:rFonts w:ascii="微软雅黑" w:hAnsi="微软雅黑" w:eastAsia="微软雅黑"/>
          <w:bCs/>
          <w:sz w:val="28"/>
          <w:szCs w:val="28"/>
        </w:rPr>
        <w:t>第</w:t>
      </w:r>
      <w:r>
        <w:rPr>
          <w:rFonts w:hint="eastAsia" w:ascii="微软雅黑" w:hAnsi="微软雅黑" w:eastAsia="微软雅黑"/>
          <w:bCs/>
          <w:sz w:val="28"/>
          <w:szCs w:val="28"/>
          <w:lang w:val="en-US" w:eastAsia="zh-CN"/>
        </w:rPr>
        <w:t>十</w:t>
      </w:r>
      <w:r>
        <w:rPr>
          <w:rFonts w:ascii="微软雅黑" w:hAnsi="微软雅黑" w:eastAsia="微软雅黑"/>
          <w:bCs/>
          <w:sz w:val="28"/>
          <w:szCs w:val="28"/>
        </w:rPr>
        <w:t>届</w:t>
      </w:r>
      <w:r>
        <w:rPr>
          <w:rFonts w:hint="eastAsia" w:ascii="微软雅黑" w:hAnsi="微软雅黑" w:eastAsia="微软雅黑"/>
          <w:bCs/>
          <w:sz w:val="28"/>
          <w:szCs w:val="28"/>
        </w:rPr>
        <w:t>江南大学</w:t>
      </w:r>
      <w:r>
        <w:rPr>
          <w:rFonts w:hint="eastAsia" w:ascii="微软雅黑" w:hAnsi="微软雅黑" w:eastAsia="微软雅黑"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Cs/>
          <w:sz w:val="28"/>
          <w:szCs w:val="28"/>
        </w:rPr>
        <w:t>数学建模竞赛校赛题目</w:t>
      </w:r>
    </w:p>
    <w:p w14:paraId="2FD8A828">
      <w:pPr>
        <w:jc w:val="center"/>
        <w:rPr>
          <w:rFonts w:ascii="宋体" w:hAnsi="宋体" w:eastAsia="宋体"/>
          <w:b/>
          <w:bCs/>
          <w:szCs w:val="21"/>
        </w:rPr>
      </w:pPr>
      <w:r>
        <w:rPr>
          <w:rFonts w:ascii="宋体" w:hAnsi="宋体" w:eastAsia="宋体"/>
          <w:b/>
          <w:bCs/>
          <w:szCs w:val="21"/>
        </w:rPr>
        <w:t>(请先阅读“202</w:t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>5</w:t>
      </w:r>
      <w:r>
        <w:rPr>
          <w:rFonts w:ascii="宋体" w:hAnsi="宋体" w:eastAsia="宋体"/>
          <w:b/>
          <w:bCs/>
          <w:szCs w:val="21"/>
        </w:rPr>
        <w:t>年</w:t>
      </w:r>
      <w:r>
        <w:rPr>
          <w:rFonts w:hint="eastAsia" w:ascii="宋体" w:hAnsi="宋体" w:eastAsia="宋体"/>
          <w:b/>
          <w:bCs/>
          <w:szCs w:val="21"/>
        </w:rPr>
        <w:t>全国</w:t>
      </w:r>
      <w:r>
        <w:rPr>
          <w:rFonts w:ascii="宋体" w:hAnsi="宋体" w:eastAsia="宋体"/>
          <w:b/>
          <w:bCs/>
          <w:szCs w:val="21"/>
        </w:rPr>
        <w:t>大学生数学建模</w:t>
      </w:r>
      <w:r>
        <w:rPr>
          <w:rFonts w:hint="eastAsia" w:ascii="宋体" w:hAnsi="宋体" w:eastAsia="宋体"/>
          <w:b/>
          <w:bCs/>
          <w:szCs w:val="21"/>
        </w:rPr>
        <w:t>竞赛</w:t>
      </w:r>
      <w:r>
        <w:rPr>
          <w:rFonts w:ascii="宋体" w:hAnsi="宋体" w:eastAsia="宋体"/>
          <w:b/>
          <w:bCs/>
          <w:szCs w:val="21"/>
        </w:rPr>
        <w:t>论文格式规范”)</w:t>
      </w:r>
    </w:p>
    <w:p w14:paraId="6EF04C09">
      <w:pPr>
        <w:rPr>
          <w:rFonts w:ascii="宋体" w:hAnsi="宋体" w:eastAsia="宋体"/>
          <w:b/>
          <w:bCs/>
          <w:sz w:val="36"/>
          <w:szCs w:val="36"/>
        </w:rPr>
      </w:pPr>
      <w:r>
        <w:rPr>
          <w:rFonts w:ascii="宋体" w:hAnsi="宋体" w:eastAsia="宋体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368935</wp:posOffset>
                </wp:positionH>
                <wp:positionV relativeFrom="paragraph">
                  <wp:posOffset>32385</wp:posOffset>
                </wp:positionV>
                <wp:extent cx="4427855" cy="0"/>
                <wp:effectExtent l="0" t="0" r="29845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28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.05pt;margin-top:2.55pt;height:0pt;width:348.65pt;z-index:251660288;mso-width-relative:page;mso-height-relative:page;" filled="f" stroked="t" coordsize="21600,21600" o:gfxdata="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/CDjWtMAAAAGAQAADwAAAAAAAAABACAAAAAiAAAAZHJzL2Rvd25yZXYueG1s&#10;UEsBAhQAFAAAAAgAh07iQDvTj/b9AQAA6wMAAA4AAAAAAAAAAQAgAAAAIgEAAGRycy9lMm9Eb2Mu&#10;eG1sUEsFBgAAAAAGAAYAWQEAAJEFAAAAAA==&#10;">
                <v:fill on="f" focussize="0,0"/>
                <v:stroke weight="1pt" color="#262626 [274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eastAsia="宋体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367665</wp:posOffset>
                </wp:positionH>
                <wp:positionV relativeFrom="paragraph">
                  <wp:posOffset>72390</wp:posOffset>
                </wp:positionV>
                <wp:extent cx="4427855" cy="0"/>
                <wp:effectExtent l="0" t="19050" r="29845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28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.95pt;margin-top:5.7pt;height:0pt;width:348.65pt;z-index:251659264;mso-width-relative:page;mso-height-relative:page;" filled="f" stroked="t" coordsize="21600,21600" o:gfxdata="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ruLiU1gAAAAgBAAAPAAAAAAAAAAEAIAAAACIAAABkcnMvZG93bnJldi54&#10;bWxQSwECFAAUAAAACACHTuJA/j2dg/wBAADrAwAADgAAAAAAAAABACAAAAAlAQAAZHJzL2Uyb0Rv&#10;Yy54bWxQSwUGAAAAAAYABgBZAQAAkwUAAAAA&#10;">
                <v:fill on="f" focussize="0,0"/>
                <v:stroke weight="3pt" color="#262626 [2749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05DD713">
      <w:pPr>
        <w:adjustRightInd w:val="0"/>
        <w:snapToGrid w:val="0"/>
        <w:spacing w:line="600" w:lineRule="exact"/>
        <w:ind w:firstLine="420" w:firstLineChars="150"/>
        <w:jc w:val="center"/>
        <w:rPr>
          <w:rFonts w:hint="eastAsia" w:ascii="微软雅黑" w:hAnsi="微软雅黑" w:eastAsia="微软雅黑" w:cs="Times New Roman"/>
          <w:b/>
          <w:sz w:val="28"/>
          <w:szCs w:val="28"/>
        </w:rPr>
      </w:pPr>
      <w:r>
        <w:rPr>
          <w:rFonts w:hint="eastAsia" w:ascii="微软雅黑" w:hAnsi="微软雅黑" w:eastAsia="微软雅黑" w:cs="Times New Roman"/>
          <w:b/>
          <w:sz w:val="28"/>
          <w:szCs w:val="28"/>
        </w:rPr>
        <w:t>B题目：我国碳排放时空特征分析与趋势预测</w:t>
      </w:r>
    </w:p>
    <w:p w14:paraId="081AB6AE">
      <w:pPr>
        <w:pStyle w:val="6"/>
        <w:shd w:val="clear" w:color="auto" w:fill="FFFFFF"/>
        <w:adjustRightInd w:val="0"/>
        <w:snapToGrid w:val="0"/>
        <w:spacing w:before="0" w:beforeAutospacing="0" w:after="0" w:afterAutospacing="0" w:line="360" w:lineRule="auto"/>
        <w:rPr>
          <w:rStyle w:val="9"/>
          <w:color w:val="333333"/>
          <w:sz w:val="21"/>
          <w:szCs w:val="21"/>
        </w:rPr>
      </w:pPr>
    </w:p>
    <w:p w14:paraId="71EC4A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right="0" w:firstLine="630" w:firstLineChars="30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实现碳达峰、碳中和（以下简称 “双碳”）是我国推动高质量发展、促进经济社会全面绿色转型的重大战略决策。国家先后印发《关于完整准确全面贯彻新发展理念做好碳达峰碳中和工作的意见》《2030 年前碳达峰行动方案》，明确了中国力争‌2030年前实现碳达峰、2060年前实现碳中和‌的“双碳”目标‌‌。2023 年我国能源相关二氧化碳排放约 115 亿吨，区域排放差异明显，能源结构、产业布局、经济发展水平对碳排放影响突出。精准把握碳排放时空特征、识别关键驱动因素、科学研判中长期排放趋势，对制定差异化减排政策、稳步推进绿色低碳转型具有重要现实意义。</w:t>
      </w:r>
    </w:p>
    <w:p w14:paraId="5AC786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630" w:firstLineChars="30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请结合附件碳排放数据，参考国家统计年鉴、能源统计数据及公开政策资料，综合运用数学建模、统计分析、空间计量与情景预测等方法，完成以下研究任务：</w:t>
      </w:r>
    </w:p>
    <w:p w14:paraId="40A1DA6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bCs/>
          <w:color w:val="333333"/>
          <w:kern w:val="0"/>
          <w:sz w:val="21"/>
          <w:szCs w:val="21"/>
          <w:lang w:val="en-US" w:eastAsia="zh-CN" w:bidi="ar-SA"/>
        </w:rPr>
      </w:pPr>
      <w:r>
        <w:rPr>
          <w:rStyle w:val="9"/>
          <w:rFonts w:hint="default" w:ascii="Times New Roman" w:hAnsi="Times New Roman" w:eastAsia="宋体" w:cs="Times New Roman"/>
          <w:b/>
          <w:bCs w:val="0"/>
          <w:color w:val="333333"/>
          <w:kern w:val="0"/>
          <w:sz w:val="21"/>
          <w:szCs w:val="21"/>
          <w:lang w:val="en-US" w:eastAsia="zh-CN" w:bidi="ar-SA"/>
        </w:rPr>
        <w:t>问题一：</w:t>
      </w:r>
      <w:r>
        <w:rPr>
          <w:rStyle w:val="9"/>
          <w:rFonts w:hint="default" w:ascii="Times New Roman" w:hAnsi="Times New Roman" w:eastAsia="宋体" w:cs="Times New Roman"/>
          <w:b w:val="0"/>
          <w:bCs/>
          <w:color w:val="333333"/>
          <w:kern w:val="0"/>
          <w:sz w:val="21"/>
          <w:szCs w:val="21"/>
          <w:lang w:val="en-US" w:eastAsia="zh-CN" w:bidi="ar-SA"/>
        </w:rPr>
        <w:t>碳排放空间差异分析与省份分类分级</w:t>
      </w:r>
    </w:p>
    <w:p w14:paraId="398E33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20" w:firstLineChars="20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基于</w:t>
      </w:r>
      <w:r>
        <w:rPr>
          <w:rStyle w:val="9"/>
          <w:rFonts w:hint="eastAsia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附件1和附件2</w:t>
      </w:r>
      <w:bookmarkStart w:id="0" w:name="_GoBack"/>
      <w:bookmarkEnd w:id="0"/>
      <w:r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，选取碳排放总量、人均碳排放、碳排放强度等核心指标，分析各省碳排放空间分布特征与差异显著性。综合排放规模、排放效率、经济关联度构建多维度评价体系，建立分类分级模型，对全国各省碳排放水平进行科学分类与等级划分，并说明分类依据与政策适配性。</w:t>
      </w:r>
    </w:p>
    <w:p w14:paraId="0DB3610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bCs/>
          <w:color w:val="333333"/>
          <w:kern w:val="0"/>
          <w:sz w:val="21"/>
          <w:szCs w:val="21"/>
          <w:lang w:val="en-US" w:eastAsia="zh-CN" w:bidi="ar-SA"/>
        </w:rPr>
      </w:pPr>
      <w:r>
        <w:rPr>
          <w:rStyle w:val="9"/>
          <w:rFonts w:hint="default" w:ascii="Times New Roman" w:hAnsi="Times New Roman" w:eastAsia="宋体" w:cs="Times New Roman"/>
          <w:b/>
          <w:bCs w:val="0"/>
          <w:color w:val="333333"/>
          <w:kern w:val="0"/>
          <w:sz w:val="21"/>
          <w:szCs w:val="21"/>
          <w:lang w:val="en-US" w:eastAsia="zh-CN" w:bidi="ar-SA"/>
        </w:rPr>
        <w:t>问题二：</w:t>
      </w:r>
      <w:r>
        <w:rPr>
          <w:rStyle w:val="9"/>
          <w:rFonts w:hint="default" w:ascii="Times New Roman" w:hAnsi="Times New Roman" w:eastAsia="宋体" w:cs="Times New Roman"/>
          <w:b w:val="0"/>
          <w:bCs/>
          <w:color w:val="333333"/>
          <w:kern w:val="0"/>
          <w:sz w:val="21"/>
          <w:szCs w:val="21"/>
          <w:lang w:val="en-US" w:eastAsia="zh-CN" w:bidi="ar-SA"/>
        </w:rPr>
        <w:t>碳排放影响因素识别与预测模型构建</w:t>
      </w:r>
    </w:p>
    <w:p w14:paraId="6F8120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20" w:firstLineChars="20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Style w:val="9"/>
          <w:rFonts w:hint="eastAsia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选取</w:t>
      </w:r>
      <w:r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能源消费结构、产业结构、人均 GDP、城镇化率、技术水平等关键指标，</w:t>
      </w:r>
      <w:r>
        <w:rPr>
          <w:rStyle w:val="9"/>
          <w:rFonts w:hint="eastAsia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分析</w:t>
      </w:r>
      <w:r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影响碳排放的核心驱动因素。构建碳排放定量预测模型，完成模型参数估计、显著性检验与优化，确保模型具有良好拟合效果与预测精度</w:t>
      </w:r>
      <w:r>
        <w:rPr>
          <w:rStyle w:val="9"/>
          <w:rFonts w:hint="eastAsia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，</w:t>
      </w:r>
      <w:r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并说明模型的适用范围与局限性。</w:t>
      </w:r>
    </w:p>
    <w:p w14:paraId="46B38A4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bCs/>
          <w:color w:val="333333"/>
          <w:kern w:val="0"/>
          <w:sz w:val="21"/>
          <w:szCs w:val="21"/>
          <w:lang w:val="en-US" w:eastAsia="zh-CN" w:bidi="ar-SA"/>
        </w:rPr>
      </w:pPr>
      <w:r>
        <w:rPr>
          <w:rStyle w:val="9"/>
          <w:rFonts w:hint="default" w:ascii="Times New Roman" w:hAnsi="Times New Roman" w:eastAsia="宋体" w:cs="Times New Roman"/>
          <w:b/>
          <w:bCs w:val="0"/>
          <w:color w:val="333333"/>
          <w:kern w:val="0"/>
          <w:sz w:val="21"/>
          <w:szCs w:val="21"/>
          <w:lang w:val="en-US" w:eastAsia="zh-CN" w:bidi="ar-SA"/>
        </w:rPr>
        <w:t>问题三：</w:t>
      </w:r>
      <w:r>
        <w:rPr>
          <w:rStyle w:val="9"/>
          <w:rFonts w:hint="default" w:ascii="Times New Roman" w:hAnsi="Times New Roman" w:eastAsia="宋体" w:cs="Times New Roman"/>
          <w:b w:val="0"/>
          <w:bCs/>
          <w:color w:val="333333"/>
          <w:kern w:val="0"/>
          <w:sz w:val="21"/>
          <w:szCs w:val="21"/>
          <w:lang w:val="en-US" w:eastAsia="zh-CN" w:bidi="ar-SA"/>
        </w:rPr>
        <w:t>多情景碳排放趋势预测与碳达峰研判</w:t>
      </w:r>
    </w:p>
    <w:p w14:paraId="72C9BE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20" w:firstLineChars="20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基于最优预测模型，设定基准、低碳、强化低碳三种发展情景，预测 2026—2045 年全国碳排放总量与强度变化趋势，研判碳达峰时间节点、峰值水平及减排潜力，为 “双碳” 目标实施提供量化支撑。</w:t>
      </w:r>
    </w:p>
    <w:p w14:paraId="5BFFEC8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bCs/>
          <w:color w:val="333333"/>
          <w:kern w:val="0"/>
          <w:sz w:val="21"/>
          <w:szCs w:val="21"/>
          <w:lang w:val="en-US" w:eastAsia="zh-CN" w:bidi="ar-SA"/>
        </w:rPr>
      </w:pPr>
      <w:r>
        <w:rPr>
          <w:rStyle w:val="9"/>
          <w:rFonts w:hint="default" w:ascii="Times New Roman" w:hAnsi="Times New Roman" w:eastAsia="宋体" w:cs="Times New Roman"/>
          <w:b/>
          <w:bCs w:val="0"/>
          <w:color w:val="333333"/>
          <w:kern w:val="0"/>
          <w:sz w:val="21"/>
          <w:szCs w:val="21"/>
          <w:lang w:val="en-US" w:eastAsia="zh-CN" w:bidi="ar-SA"/>
        </w:rPr>
        <w:t>问题四：</w:t>
      </w:r>
      <w:r>
        <w:rPr>
          <w:rStyle w:val="9"/>
          <w:rFonts w:hint="default" w:ascii="Times New Roman" w:hAnsi="Times New Roman" w:eastAsia="宋体" w:cs="Times New Roman"/>
          <w:b w:val="0"/>
          <w:bCs/>
          <w:color w:val="333333"/>
          <w:kern w:val="0"/>
          <w:sz w:val="21"/>
          <w:szCs w:val="21"/>
          <w:lang w:val="en-US" w:eastAsia="zh-CN" w:bidi="ar-SA"/>
        </w:rPr>
        <w:t>政策建议</w:t>
      </w:r>
    </w:p>
    <w:p w14:paraId="1A1044ED">
      <w:pPr>
        <w:pStyle w:val="6"/>
        <w:shd w:val="clear" w:color="auto" w:fill="FFFFFF"/>
        <w:adjustRightInd w:val="0"/>
        <w:snapToGrid w:val="0"/>
        <w:spacing w:before="0" w:beforeAutospacing="0" w:after="0" w:afterAutospacing="0" w:line="360" w:lineRule="auto"/>
        <w:ind w:firstLine="420" w:firstLineChars="200"/>
        <w:rPr>
          <w:rStyle w:val="10"/>
          <w:rFonts w:cs="Times New Roman" w:asciiTheme="minorHAnsi" w:hAnsiTheme="minorHAnsi" w:eastAsiaTheme="minorEastAsia"/>
          <w:bCs/>
          <w:sz w:val="21"/>
          <w:szCs w:val="21"/>
        </w:rPr>
      </w:pPr>
      <w:r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结合问题一至三的研究结论，针对 “双碳” 目标实现路径，从优化能源结构、推动产业升级、实施区域差异化减排、强化技术创新、完善政策机制等方面，提出科学可行、针对性强、可操作性高的政策建议，形成单独页面的政策建议报告（字数 500 字左右）</w:t>
      </w:r>
      <w:r>
        <w:rPr>
          <w:rFonts w:ascii="Helvetica" w:hAnsi="Helvetica"/>
          <w:color w:val="333333"/>
          <w:sz w:val="21"/>
          <w:szCs w:val="21"/>
          <w:shd w:val="clear" w:color="auto" w:fill="FFFFFF"/>
        </w:rPr>
        <w:t>。</w:t>
      </w:r>
    </w:p>
    <w:p w14:paraId="4DA640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20" w:firstLineChars="20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</w:pPr>
    </w:p>
    <w:p w14:paraId="403046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20" w:firstLineChars="20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</w:pPr>
    </w:p>
    <w:p w14:paraId="2025D3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20" w:firstLineChars="20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</w:pPr>
    </w:p>
    <w:p w14:paraId="543368D0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/>
        <w:jc w:val="left"/>
        <w:textAlignment w:val="auto"/>
        <w:rPr>
          <w:rStyle w:val="9"/>
          <w:rFonts w:hint="default" w:ascii="Times New Roman" w:hAnsi="Times New Roman" w:eastAsia="宋体" w:cs="Times New Roman"/>
          <w:b/>
          <w:bCs w:val="0"/>
          <w:color w:val="333333"/>
          <w:kern w:val="0"/>
          <w:sz w:val="21"/>
          <w:szCs w:val="21"/>
          <w:lang w:val="en-US" w:eastAsia="zh-CN" w:bidi="ar-SA"/>
        </w:rPr>
      </w:pPr>
    </w:p>
    <w:p w14:paraId="503200A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/>
        <w:jc w:val="left"/>
        <w:textAlignment w:val="auto"/>
        <w:rPr>
          <w:rStyle w:val="9"/>
          <w:rFonts w:hint="default" w:ascii="Times New Roman" w:hAnsi="Times New Roman" w:eastAsia="宋体" w:cs="Times New Roman"/>
          <w:b/>
          <w:bCs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Style w:val="9"/>
          <w:rFonts w:hint="default" w:ascii="Times New Roman" w:hAnsi="Times New Roman" w:eastAsia="宋体" w:cs="Times New Roman"/>
          <w:b/>
          <w:bCs w:val="0"/>
          <w:color w:val="333333"/>
          <w:kern w:val="0"/>
          <w:sz w:val="21"/>
          <w:szCs w:val="21"/>
          <w:lang w:val="en-US" w:eastAsia="zh-CN" w:bidi="ar-SA"/>
        </w:rPr>
        <w:t>数据说明</w:t>
      </w:r>
    </w:p>
    <w:p w14:paraId="3216D6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附件1：2019—2025 年全国各省碳排放数据</w:t>
      </w:r>
    </w:p>
    <w:p w14:paraId="42F2B5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附件2：2022 年全国 30 个省份碳排放清单</w:t>
      </w:r>
    </w:p>
    <w:p w14:paraId="578CDD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</w:pPr>
    </w:p>
    <w:p w14:paraId="7108EB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/>
        <w:jc w:val="left"/>
        <w:textAlignment w:val="auto"/>
        <w:rPr>
          <w:rStyle w:val="9"/>
          <w:rFonts w:hint="default" w:ascii="Times New Roman" w:hAnsi="Times New Roman" w:eastAsia="宋体" w:cs="Times New Roman"/>
          <w:b/>
          <w:bCs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Style w:val="9"/>
          <w:rFonts w:hint="default" w:ascii="Times New Roman" w:hAnsi="Times New Roman" w:eastAsia="宋体" w:cs="Times New Roman"/>
          <w:b/>
          <w:bCs w:val="0"/>
          <w:color w:val="333333"/>
          <w:kern w:val="0"/>
          <w:sz w:val="21"/>
          <w:szCs w:val="21"/>
          <w:lang w:val="en-US" w:eastAsia="zh-CN" w:bidi="ar-SA"/>
        </w:rPr>
        <w:t>参考数据来源</w:t>
      </w:r>
    </w:p>
    <w:p w14:paraId="6326949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-360" w:leftChars="0" w:right="0" w:rightChars="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中国统计年鉴、中国能源统计年鉴</w:t>
      </w:r>
    </w:p>
    <w:p w14:paraId="49B3288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-360" w:leftChars="0" w:right="0" w:rightChars="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Style w:val="9"/>
          <w:rFonts w:hint="eastAsia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 xml:space="preserve">2. </w:t>
      </w:r>
      <w:r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中国碳核算数据库（CEADs）</w:t>
      </w:r>
    </w:p>
    <w:p w14:paraId="3F765B1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-360" w:leftChars="0" w:right="0" w:rightChars="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</w:pPr>
      <w:r>
        <w:rPr>
          <w:rStyle w:val="9"/>
          <w:rFonts w:hint="eastAsia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 xml:space="preserve">3. </w:t>
      </w:r>
      <w:r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国家统计局、生态环境部公开数据</w:t>
      </w:r>
    </w:p>
    <w:p w14:paraId="5C1FF05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-360" w:leftChars="0" w:right="0" w:rightChars="0"/>
        <w:jc w:val="left"/>
        <w:textAlignment w:val="auto"/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</w:pPr>
    </w:p>
    <w:p w14:paraId="5F6663A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-360" w:leftChars="0" w:right="0" w:rightChars="0"/>
        <w:jc w:val="left"/>
        <w:textAlignment w:val="auto"/>
        <w:rPr>
          <w:rStyle w:val="10"/>
          <w:rFonts w:hint="default" w:cs="Times New Roman" w:asciiTheme="minorHAnsi" w:hAnsiTheme="minorHAnsi" w:eastAsiaTheme="minorEastAsia"/>
          <w:bCs/>
          <w:kern w:val="0"/>
          <w:sz w:val="21"/>
          <w:szCs w:val="21"/>
          <w:lang w:val="en-US" w:eastAsia="zh-CN" w:bidi="ar-SA"/>
        </w:rPr>
      </w:pPr>
      <w:r>
        <w:rPr>
          <w:rStyle w:val="9"/>
          <w:rFonts w:hint="default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中共中央 国务院印发碳达峰碳中和工作意见 碳达峰碳中和具体目标首次公布</w:t>
      </w:r>
      <w:r>
        <w:rPr>
          <w:rStyle w:val="9"/>
          <w:rFonts w:hint="eastAsia" w:ascii="Times New Roman" w:hAnsi="Times New Roman" w:eastAsia="宋体" w:cs="Times New Roman"/>
          <w:b w:val="0"/>
          <w:color w:val="333333"/>
          <w:kern w:val="0"/>
          <w:sz w:val="21"/>
          <w:szCs w:val="21"/>
          <w:lang w:val="en-US" w:eastAsia="zh-CN" w:bidi="ar-SA"/>
        </w:rPr>
        <w:t>，视频链接：</w:t>
      </w:r>
      <w:r>
        <w:rPr>
          <w:rStyle w:val="10"/>
          <w:rFonts w:hint="default" w:cs="Times New Roman" w:asciiTheme="minorHAnsi" w:hAnsiTheme="minorHAnsi" w:eastAsiaTheme="minorEastAsia"/>
          <w:bCs/>
          <w:kern w:val="0"/>
          <w:sz w:val="21"/>
          <w:szCs w:val="21"/>
          <w:lang w:val="en-US" w:eastAsia="zh-CN" w:bidi="ar-SA"/>
        </w:rPr>
        <w:t>https://tv.cctv.com/2021/10/25/VIDElHUgdVWujBEHKkiwyIwo211025.shtml</w:t>
      </w:r>
    </w:p>
    <w:p w14:paraId="3E10D8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Style w:val="9"/>
          <w:rFonts w:hint="eastAsia" w:asciiTheme="minorHAnsi" w:hAnsiTheme="minorHAnsi" w:eastAsiaTheme="minorEastAsia" w:cstheme="minorBidi"/>
          <w:b w:val="0"/>
          <w:color w:val="333333"/>
          <w:kern w:val="0"/>
          <w:sz w:val="21"/>
          <w:szCs w:val="21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EBF3D"/>
    <w:multiLevelType w:val="singleLevel"/>
    <w:tmpl w:val="80BEBF3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527"/>
    <w:rsid w:val="00227DA3"/>
    <w:rsid w:val="002F061E"/>
    <w:rsid w:val="0031688E"/>
    <w:rsid w:val="003633F2"/>
    <w:rsid w:val="0043282C"/>
    <w:rsid w:val="005D1527"/>
    <w:rsid w:val="00775029"/>
    <w:rsid w:val="009140C5"/>
    <w:rsid w:val="00A03052"/>
    <w:rsid w:val="00BB13FC"/>
    <w:rsid w:val="00CA3921"/>
    <w:rsid w:val="00DC274F"/>
    <w:rsid w:val="00E011EB"/>
    <w:rsid w:val="00E108AF"/>
    <w:rsid w:val="00E36E0D"/>
    <w:rsid w:val="00EE6E2A"/>
    <w:rsid w:val="00FF52FE"/>
    <w:rsid w:val="44A34ECD"/>
    <w:rsid w:val="4AA77F21"/>
    <w:rsid w:val="55B563C4"/>
    <w:rsid w:val="6247641D"/>
    <w:rsid w:val="6D8C327A"/>
    <w:rsid w:val="73E8088F"/>
    <w:rsid w:val="D5FE8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Char"/>
    <w:basedOn w:val="8"/>
    <w:link w:val="5"/>
    <w:uiPriority w:val="99"/>
    <w:rPr>
      <w:sz w:val="18"/>
      <w:szCs w:val="18"/>
    </w:rPr>
  </w:style>
  <w:style w:type="character" w:customStyle="1" w:styleId="12">
    <w:name w:val="页脚 Char"/>
    <w:basedOn w:val="8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984</Words>
  <Characters>1111</Characters>
  <Lines>12</Lines>
  <Paragraphs>3</Paragraphs>
  <TotalTime>78</TotalTime>
  <ScaleCrop>false</ScaleCrop>
  <LinksUpToDate>false</LinksUpToDate>
  <CharactersWithSpaces>1133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2024-05-06T08:08:00Z</dcterms:created>
  <dc:creator>dell</dc:creator>
  <cp:lastModifiedBy>R4and0m99</cp:lastModifiedBy>
  <dcterms:modified xsi:type="dcterms:W3CDTF">2026-05-21T10:23:23Z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eyJoZGlkIjoiYjcxMjg5OGQxNTk0M2JjNGVhZjlmZTNiNGEyNmJiNTUiLCJ1c2VySWQiOiI4NzM3NTgzODgifQ==</vt:lpwstr>
  </property>
  <property fmtid="{D5CDD505-2E9C-101B-9397-08002B2CF9AE}" pid="3" name="KSOProductBuildVer">
    <vt:lpwstr>2052-12.1.25895.25895</vt:lpwstr>
  </property>
  <property fmtid="{D5CDD505-2E9C-101B-9397-08002B2CF9AE}" pid="4" name="ICV">
    <vt:lpwstr>753AFD07A4FC4C67ABF2BC069CDEDA9D_12</vt:lpwstr>
  </property>
</Properties>
</file>