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p>
      <w:pPr>
        <w:pStyle w:val="Heading2"/>
      </w:pPr>
      <w:r>
        <w:t xml:space="preserve">Venus M1</w:t>
      </w:r>
    </w:p>
    <w:p>
      <w:r>
        <w:t xml:space="preserve">This build is the first mark of the ship: the loop closed, the bridge as the front page, the quarter furnished, the counsel aboard (through the ledger server, when it has a key), and the editor, which makes any template on the ship customizable from inside it and hands the change back as a file. M2 is the decks reading those customizations directly, so a change made in the workshop shows on every deck without a rebuild; and the corn guilds run in the town.</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