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9894" w14:textId="77777777" w:rsidR="00642599" w:rsidRDefault="00642599">
      <w:pPr>
        <w:rPr>
          <w:rFonts w:hint="eastAsia"/>
        </w:rPr>
      </w:pPr>
    </w:p>
    <w:p w14:paraId="43844227" w14:textId="77777777" w:rsidR="00642599" w:rsidRDefault="00000000">
      <w:pPr>
        <w:jc w:val="center"/>
        <w:rPr>
          <w:rFonts w:hint="eastAsia"/>
        </w:rPr>
      </w:pPr>
      <w:r>
        <w:rPr>
          <w:b/>
          <w:color w:val="141414"/>
          <w:sz w:val="44"/>
        </w:rPr>
        <w:t>KwaaiNet: A Trust-Centered</w:t>
      </w:r>
      <w:r>
        <w:rPr>
          <w:b/>
          <w:color w:val="141414"/>
          <w:sz w:val="44"/>
        </w:rPr>
        <w:br/>
        <w:t>Decentralized AI Network</w:t>
      </w:r>
    </w:p>
    <w:p w14:paraId="43EAAA95" w14:textId="77777777" w:rsidR="00642599" w:rsidRDefault="00642599">
      <w:pPr>
        <w:rPr>
          <w:rFonts w:hint="eastAsia"/>
        </w:rPr>
      </w:pPr>
    </w:p>
    <w:p w14:paraId="1C9EFCDC" w14:textId="77777777" w:rsidR="00642599" w:rsidRDefault="00000000">
      <w:pPr>
        <w:jc w:val="center"/>
        <w:rPr>
          <w:rFonts w:hint="eastAsia"/>
        </w:rPr>
      </w:pPr>
      <w:r>
        <w:rPr>
          <w:color w:val="505050"/>
          <w:sz w:val="24"/>
        </w:rPr>
        <w:t>Technical Whitepaper — Version 0.3</w:t>
      </w:r>
      <w:r>
        <w:rPr>
          <w:color w:val="505050"/>
          <w:sz w:val="24"/>
        </w:rPr>
        <w:br/>
        <w:t>Kwaai Foundation — March 2026</w:t>
      </w:r>
    </w:p>
    <w:p w14:paraId="1A573886" w14:textId="77777777" w:rsidR="00642599" w:rsidRDefault="00642599">
      <w:pPr>
        <w:rPr>
          <w:rFonts w:hint="eastAsia"/>
        </w:rPr>
      </w:pPr>
    </w:p>
    <w:p w14:paraId="1F2033CA" w14:textId="77777777" w:rsidR="00642599" w:rsidRDefault="00000000">
      <w:pPr>
        <w:rPr>
          <w:rFonts w:hint="eastAsia"/>
        </w:rPr>
      </w:pPr>
      <w:r>
        <w:br w:type="page"/>
      </w:r>
    </w:p>
    <w:p w14:paraId="316F8E52" w14:textId="77777777" w:rsidR="00642599" w:rsidRDefault="00000000">
      <w:pPr>
        <w:pStyle w:val="Heading1"/>
      </w:pPr>
      <w:r>
        <w:lastRenderedPageBreak/>
        <w:t>Abstract</w:t>
      </w:r>
    </w:p>
    <w:p w14:paraId="1FB3B3A3" w14:textId="77777777" w:rsidR="00642599" w:rsidRDefault="00000000">
      <w:pPr>
        <w:spacing w:after="120"/>
        <w:rPr>
          <w:rFonts w:hint="eastAsia"/>
        </w:rPr>
      </w:pPr>
      <w:r>
        <w:t>KwaaiNet is an open-source, decentralized AI network that turns heterogeneous commodity hardware into a shared AI computer governed by verifiable trust rather than corporate policy. Its architecture places cryptographic identity and attestation at the center of three intersecting capabilities: distributed transformer inference, encrypted knowledge retrieval, and encrypted peer-to-peer networking. This paper describes the design, the protocol decisions, the current implementation status, and the research directions that remain open.</w:t>
      </w:r>
    </w:p>
    <w:p w14:paraId="0DDE51CB" w14:textId="77777777" w:rsidR="00AF50C5" w:rsidRDefault="00AF50C5">
      <w:pPr>
        <w:pStyle w:val="Heading1"/>
      </w:pPr>
      <w:r>
        <w:rPr>
          <w:noProof/>
        </w:rPr>
        <w:drawing>
          <wp:inline distT="0" distB="0" distL="0" distR="0" wp14:anchorId="678CA474" wp14:editId="7E4DD8C4">
            <wp:extent cx="5486400" cy="3086100"/>
            <wp:effectExtent l="0" t="0" r="0" b="0"/>
            <wp:docPr id="126171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11538" name="Picture 1261711538"/>
                    <pic:cNvPicPr/>
                  </pic:nvPicPr>
                  <pic:blipFill>
                    <a:blip r:embed="rId6"/>
                    <a:stretch>
                      <a:fillRect/>
                    </a:stretch>
                  </pic:blipFill>
                  <pic:spPr>
                    <a:xfrm>
                      <a:off x="0" y="0"/>
                      <a:ext cx="5486400" cy="3086100"/>
                    </a:xfrm>
                    <a:prstGeom prst="rect">
                      <a:avLst/>
                    </a:prstGeom>
                  </pic:spPr>
                </pic:pic>
              </a:graphicData>
            </a:graphic>
          </wp:inline>
        </w:drawing>
      </w:r>
    </w:p>
    <w:p w14:paraId="4BFF3181" w14:textId="0B81CE91" w:rsidR="00642599" w:rsidRDefault="00000000">
      <w:pPr>
        <w:pStyle w:val="Heading1"/>
      </w:pPr>
      <w:r>
        <w:t>1. Introduction</w:t>
      </w:r>
    </w:p>
    <w:p w14:paraId="181B1209" w14:textId="77777777" w:rsidR="00642599" w:rsidRDefault="00000000">
      <w:pPr>
        <w:spacing w:after="120"/>
        <w:rPr>
          <w:rFonts w:hint="eastAsia"/>
        </w:rPr>
      </w:pPr>
      <w:r>
        <w:t>The rapid deployment of large language models has consolidated AI infrastructure around a small number of hyperscale cloud providers. This concentration creates risks that are structural, not incidental: users and institutions that depend on centralized inference have no verifiable guarantee about data handling, no recourse against jurisdictional interference, and no resilience against provider failure. Even when model weights are published under open licenses, the infrastructure that serves them remains opaque and centralized.</w:t>
      </w:r>
    </w:p>
    <w:p w14:paraId="618F9386" w14:textId="77777777" w:rsidR="00642599" w:rsidRDefault="00000000">
      <w:pPr>
        <w:spacing w:after="120"/>
        <w:rPr>
          <w:rFonts w:hint="eastAsia"/>
        </w:rPr>
      </w:pPr>
      <w:r>
        <w:t xml:space="preserve">Prior work on decentralized AI infrastructure has addressed individual aspects of this problem. Petals [1] demonstrated that large transformer models can be run collaboratively across volunteer hardware by pipelining activations through a chain of servers, each holding a contiguous range of transformer blocks. Federated learning [2] distributes training while keeping data local but does not address inference or knowledge </w:t>
      </w:r>
      <w:r>
        <w:lastRenderedPageBreak/>
        <w:t>retrieval. Secure multi-party computation [3] and homomorphic encryption [4] provide cryptographic privacy for computation and data, but have generally been studied in isolation from the networking and identity challenges of a production peer-to-peer system.</w:t>
      </w:r>
    </w:p>
    <w:p w14:paraId="5C1B549E" w14:textId="77777777" w:rsidR="00642599" w:rsidRDefault="00000000">
      <w:pPr>
        <w:spacing w:after="120"/>
        <w:rPr>
          <w:rFonts w:hint="eastAsia"/>
        </w:rPr>
      </w:pPr>
      <w:r>
        <w:t xml:space="preserve">KwaaiNet combines these strands into a unified architecture grounded in one design bet: that </w:t>
      </w:r>
      <w:r>
        <w:rPr>
          <w:b/>
        </w:rPr>
        <w:t>trust, identity, and attestation must be first-class primitives</w:t>
      </w:r>
      <w:r>
        <w:t>, not retrofitted policies. The system is implemented in Rust, exposes an OpenAI-compatible HTTP API so that existing tooling requires no modification, and maintains wire-format compatibility with the Python Hivemind DHT network [5] so that nodes are immediately visible on existing network maps.</w:t>
      </w:r>
    </w:p>
    <w:p w14:paraId="1F8A228B" w14:textId="77777777" w:rsidR="00642599" w:rsidRDefault="00000000">
      <w:pPr>
        <w:pStyle w:val="Heading1"/>
      </w:pPr>
      <w:r>
        <w:t>2. Architecture Overview</w:t>
      </w:r>
    </w:p>
    <w:p w14:paraId="115BEC9D" w14:textId="77777777" w:rsidR="00642599" w:rsidRDefault="00000000">
      <w:pPr>
        <w:spacing w:after="120"/>
        <w:rPr>
          <w:rFonts w:hint="eastAsia"/>
        </w:rPr>
      </w:pPr>
      <w:r>
        <w:t>Each KwaaiNet node is a single Rust process (</w:t>
      </w:r>
      <w:r>
        <w:rPr>
          <w:rFonts w:ascii="Courier New" w:hAnsi="Courier New"/>
          <w:sz w:val="19"/>
        </w:rPr>
        <w:t>kwaainet</w:t>
      </w:r>
      <w:r>
        <w:t>) composed of three subsystems and a mandatory trust core:</w:t>
      </w:r>
    </w:p>
    <w:p w14:paraId="0E910CC5" w14:textId="77777777" w:rsidR="00642599" w:rsidRDefault="00000000">
      <w:pPr>
        <w:pStyle w:val="Code"/>
      </w:pPr>
      <w:r>
        <w:t>pub struct DistributedAINode {</w:t>
      </w:r>
    </w:p>
    <w:p w14:paraId="6DA38AD9" w14:textId="77777777" w:rsidR="00642599" w:rsidRDefault="00000000">
      <w:pPr>
        <w:pStyle w:val="Code"/>
      </w:pPr>
      <w:r>
        <w:t xml:space="preserve">    // Branch: Shared Compute</w:t>
      </w:r>
    </w:p>
    <w:p w14:paraId="3612AA42" w14:textId="77777777" w:rsidR="00642599" w:rsidRDefault="00000000">
      <w:pPr>
        <w:pStyle w:val="Code"/>
      </w:pPr>
      <w:r>
        <w:t xml:space="preserve">    inference_engine: CandelEngine,</w:t>
      </w:r>
    </w:p>
    <w:p w14:paraId="051A7062" w14:textId="77777777" w:rsidR="00642599" w:rsidRDefault="00642599">
      <w:pPr>
        <w:pStyle w:val="Code"/>
      </w:pPr>
    </w:p>
    <w:p w14:paraId="6256213D" w14:textId="77777777" w:rsidR="00642599" w:rsidRDefault="00000000">
      <w:pPr>
        <w:pStyle w:val="Code"/>
      </w:pPr>
      <w:r>
        <w:t xml:space="preserve">    // Branch: P2P Network</w:t>
      </w:r>
    </w:p>
    <w:p w14:paraId="1D45FF7F" w14:textId="77777777" w:rsidR="00642599" w:rsidRDefault="00000000">
      <w:pPr>
        <w:pStyle w:val="Code"/>
      </w:pPr>
      <w:r>
        <w:t xml:space="preserve">    p2p_network: P2PNetwork,</w:t>
      </w:r>
    </w:p>
    <w:p w14:paraId="216778EA" w14:textId="77777777" w:rsidR="00642599" w:rsidRDefault="00642599">
      <w:pPr>
        <w:pStyle w:val="Code"/>
      </w:pPr>
    </w:p>
    <w:p w14:paraId="19967151" w14:textId="77777777" w:rsidR="00642599" w:rsidRDefault="00000000">
      <w:pPr>
        <w:pStyle w:val="Code"/>
      </w:pPr>
      <w:r>
        <w:t xml:space="preserve">    // Branch: Shared Secure Storage</w:t>
      </w:r>
    </w:p>
    <w:p w14:paraId="3B85EEC4" w14:textId="77777777" w:rsidR="00642599" w:rsidRDefault="00000000">
      <w:pPr>
        <w:pStyle w:val="Code"/>
      </w:pPr>
      <w:r>
        <w:t xml:space="preserve">    kb_engine: Option&lt;KnowledgeBaseEngine&gt;,</w:t>
      </w:r>
    </w:p>
    <w:p w14:paraId="1C25B3D7" w14:textId="77777777" w:rsidR="00642599" w:rsidRDefault="00642599">
      <w:pPr>
        <w:pStyle w:val="Code"/>
      </w:pPr>
    </w:p>
    <w:p w14:paraId="6D710263" w14:textId="77777777" w:rsidR="00642599" w:rsidRDefault="00000000">
      <w:pPr>
        <w:pStyle w:val="Code"/>
      </w:pPr>
      <w:r>
        <w:t xml:space="preserve">    // Center: Decentralized Trust</w:t>
      </w:r>
    </w:p>
    <w:p w14:paraId="23759484" w14:textId="77777777" w:rsidR="00642599" w:rsidRDefault="00000000">
      <w:pPr>
        <w:pStyle w:val="Code"/>
      </w:pPr>
      <w:r>
        <w:t xml:space="preserve">    identity: Option&lt;IdentityProvider&gt;,</w:t>
      </w:r>
    </w:p>
    <w:p w14:paraId="70CF4BDD" w14:textId="77777777" w:rsidR="00642599" w:rsidRDefault="00000000">
      <w:pPr>
        <w:pStyle w:val="Code"/>
      </w:pPr>
      <w:r>
        <w:t xml:space="preserve">    encryption_layer: E2EEncryption,</w:t>
      </w:r>
    </w:p>
    <w:p w14:paraId="5B9E5B2A" w14:textId="77777777" w:rsidR="00642599" w:rsidRDefault="00000000">
      <w:pPr>
        <w:pStyle w:val="Code"/>
      </w:pPr>
      <w:r>
        <w:t xml:space="preserve">    trust_graph_client: Option&lt;TrustGraphClient&gt;,</w:t>
      </w:r>
    </w:p>
    <w:p w14:paraId="651C3A17" w14:textId="77777777" w:rsidR="00642599" w:rsidRDefault="00642599">
      <w:pPr>
        <w:pStyle w:val="Code"/>
      </w:pPr>
    </w:p>
    <w:p w14:paraId="06ED6A69" w14:textId="77777777" w:rsidR="00642599" w:rsidRDefault="00000000">
      <w:pPr>
        <w:pStyle w:val="Code"/>
      </w:pPr>
      <w:r>
        <w:t xml:space="preserve">    carbon_tracker: EnvironmentalMetrics,</w:t>
      </w:r>
    </w:p>
    <w:p w14:paraId="5D1800C1" w14:textId="77777777" w:rsidR="00642599" w:rsidRDefault="00000000">
      <w:pPr>
        <w:pStyle w:val="Code"/>
      </w:pPr>
      <w:r>
        <w:t xml:space="preserve">    contribution_tracker: ResourceMetrics,</w:t>
      </w:r>
    </w:p>
    <w:p w14:paraId="7CE1D84E" w14:textId="77777777" w:rsidR="00642599" w:rsidRDefault="00000000">
      <w:pPr>
        <w:pStyle w:val="Code"/>
      </w:pPr>
      <w:r>
        <w:t>}</w:t>
      </w:r>
    </w:p>
    <w:p w14:paraId="7F3433A0" w14:textId="77777777" w:rsidR="00642599" w:rsidRDefault="00000000">
      <w:pPr>
        <w:spacing w:after="120"/>
        <w:rPr>
          <w:rFonts w:hint="eastAsia"/>
        </w:rPr>
      </w:pPr>
      <w:r>
        <w:t>The three subsystems may be enabled independently: a node without a GPU can contribute storage and routing without serving inference. However, all participation — inference scheduling, storage placement, and connection gating — flows through the trust core. This paper treats each subsystem in turn, beginning with the trust core that underlies all of them.</w:t>
      </w:r>
    </w:p>
    <w:p w14:paraId="10AD74BE" w14:textId="77777777" w:rsidR="00642599" w:rsidRDefault="00000000">
      <w:pPr>
        <w:pStyle w:val="Heading1"/>
      </w:pPr>
      <w:r>
        <w:lastRenderedPageBreak/>
        <w:t>3. Decentralized Trust</w:t>
      </w:r>
    </w:p>
    <w:p w14:paraId="69645AFD" w14:textId="77777777" w:rsidR="00642599" w:rsidRDefault="00000000">
      <w:pPr>
        <w:pStyle w:val="Heading2"/>
      </w:pPr>
      <w:r>
        <w:t>3.1  Persistent Cryptographic Identity</w:t>
      </w:r>
    </w:p>
    <w:p w14:paraId="4A037E11" w14:textId="77777777" w:rsidR="00642599" w:rsidRDefault="00000000">
      <w:pPr>
        <w:spacing w:after="120"/>
        <w:rPr>
          <w:rFonts w:hint="eastAsia"/>
        </w:rPr>
      </w:pPr>
      <w:r>
        <w:t xml:space="preserve">Each node generates an Ed25519 keypair [6] on first launch and writes it as a protobuf-encoded binary to </w:t>
      </w:r>
      <w:r>
        <w:rPr>
          <w:rFonts w:ascii="Courier New" w:hAnsi="Courier New"/>
          <w:sz w:val="19"/>
        </w:rPr>
        <w:t>~/.kwaainet/identity.key</w:t>
      </w:r>
      <w:r>
        <w:t xml:space="preserve">. The Ed25519 scheme was chosen for its compact key and signature sizes (32-byte public keys, 64-byte signatures), fast verification, and resistance to side-channel attacks compared with ECDSA [7]. The same key file is passed to the embedded </w:t>
      </w:r>
      <w:r>
        <w:rPr>
          <w:rFonts w:ascii="Courier New" w:hAnsi="Courier New"/>
          <w:sz w:val="19"/>
        </w:rPr>
        <w:t>go-libp2p-daemon</w:t>
      </w:r>
      <w:r>
        <w:t xml:space="preserve"> [8] via its </w:t>
      </w:r>
      <w:r>
        <w:rPr>
          <w:rFonts w:ascii="Courier New" w:hAnsi="Courier New"/>
          <w:sz w:val="19"/>
        </w:rPr>
        <w:t>-id</w:t>
      </w:r>
      <w:r>
        <w:t xml:space="preserve"> flag, ensuring that the libp2p </w:t>
      </w:r>
      <w:r>
        <w:rPr>
          <w:rFonts w:ascii="Courier New" w:hAnsi="Courier New"/>
          <w:sz w:val="19"/>
        </w:rPr>
        <w:t>PeerId</w:t>
      </w:r>
      <w:r>
        <w:t xml:space="preserve"> and the application-layer identity are derived from the same keypair.</w:t>
      </w:r>
    </w:p>
    <w:p w14:paraId="03082A12" w14:textId="77777777" w:rsidR="00642599" w:rsidRDefault="00000000">
      <w:pPr>
        <w:spacing w:after="120"/>
        <w:rPr>
          <w:rFonts w:hint="eastAsia"/>
        </w:rPr>
      </w:pPr>
      <w:r>
        <w:t>Two identifiers are derived deterministically from this keypair:</w:t>
      </w:r>
    </w:p>
    <w:p w14:paraId="6B42AA7C" w14:textId="77777777" w:rsidR="00642599" w:rsidRDefault="00000000">
      <w:pPr>
        <w:pStyle w:val="ListBullet"/>
        <w:rPr>
          <w:rFonts w:hint="eastAsia"/>
        </w:rPr>
      </w:pPr>
      <w:r>
        <w:rPr>
          <w:b/>
        </w:rPr>
        <w:t>PeerId</w:t>
      </w:r>
      <w:r>
        <w:t xml:space="preserve"> — the libp2p peer identifier used for Kademlia DHT routing [9], stream multiplexing, and protocol dispatch.</w:t>
      </w:r>
    </w:p>
    <w:p w14:paraId="77934EDB" w14:textId="77777777" w:rsidR="00642599" w:rsidRDefault="00000000">
      <w:pPr>
        <w:pStyle w:val="ListBullet"/>
        <w:rPr>
          <w:rFonts w:hint="eastAsia"/>
        </w:rPr>
      </w:pPr>
      <w:r>
        <w:rPr>
          <w:rFonts w:ascii="Courier New" w:hAnsi="Courier New"/>
          <w:sz w:val="20"/>
        </w:rPr>
        <w:t>did:peer:</w:t>
      </w:r>
      <w:r>
        <w:t xml:space="preserve"> — a W3C Decentralized Identifier [10] anchored to the same public key, used as the subject and issuer of Verifiable Credentials.</w:t>
      </w:r>
    </w:p>
    <w:p w14:paraId="69452968" w14:textId="77777777" w:rsidR="00642599" w:rsidRDefault="00000000">
      <w:pPr>
        <w:spacing w:after="120"/>
        <w:rPr>
          <w:rFonts w:hint="eastAsia"/>
        </w:rPr>
      </w:pPr>
      <w:r>
        <w:t xml:space="preserve">The persistence of this keypair is not merely a convenience: without a stable identity, each restart would produce a new </w:t>
      </w:r>
      <w:r>
        <w:rPr>
          <w:rFonts w:ascii="Courier New" w:hAnsi="Courier New"/>
          <w:sz w:val="19"/>
        </w:rPr>
        <w:t>PeerId</w:t>
      </w:r>
      <w:r>
        <w:t>, orphaning any credentials issued to the previous DID. The credential-identity binding would be broken on every restart, making trust accumulation impossible.</w:t>
      </w:r>
    </w:p>
    <w:p w14:paraId="1D5272BE" w14:textId="77777777" w:rsidR="00642599" w:rsidRDefault="00000000">
      <w:pPr>
        <w:pStyle w:val="Heading2"/>
      </w:pPr>
      <w:r>
        <w:t>3.2  Verifiable Credentials</w:t>
      </w:r>
    </w:p>
    <w:p w14:paraId="7F08B571" w14:textId="77777777" w:rsidR="00642599" w:rsidRDefault="00000000">
      <w:pPr>
        <w:spacing w:after="120"/>
        <w:rPr>
          <w:rFonts w:hint="eastAsia"/>
        </w:rPr>
      </w:pPr>
      <w:r>
        <w:t xml:space="preserve">The trust system implements W3C Verifiable Credentials Data Model 1.1 [11]. A </w:t>
      </w:r>
      <w:r>
        <w:rPr>
          <w:rFonts w:ascii="Courier New" w:hAnsi="Courier New"/>
          <w:sz w:val="19"/>
        </w:rPr>
        <w:t>VerifiableCredential</w:t>
      </w:r>
      <w:r>
        <w:t xml:space="preserve"> carries a JSON-LD structure with </w:t>
      </w:r>
      <w:r>
        <w:rPr>
          <w:rFonts w:ascii="Courier New" w:hAnsi="Courier New"/>
          <w:sz w:val="19"/>
        </w:rPr>
        <w:t>@context</w:t>
      </w:r>
      <w:r>
        <w:t xml:space="preserve">, </w:t>
      </w:r>
      <w:r>
        <w:rPr>
          <w:rFonts w:ascii="Courier New" w:hAnsi="Courier New"/>
          <w:sz w:val="19"/>
        </w:rPr>
        <w:t>type</w:t>
      </w:r>
      <w:r>
        <w:t xml:space="preserve">, </w:t>
      </w:r>
      <w:r>
        <w:rPr>
          <w:rFonts w:ascii="Courier New" w:hAnsi="Courier New"/>
          <w:sz w:val="19"/>
        </w:rPr>
        <w:t>issuer</w:t>
      </w:r>
      <w:r>
        <w:t xml:space="preserve">, </w:t>
      </w:r>
      <w:r>
        <w:rPr>
          <w:rFonts w:ascii="Courier New" w:hAnsi="Courier New"/>
          <w:sz w:val="19"/>
        </w:rPr>
        <w:t>issuanceDate</w:t>
      </w:r>
      <w:r>
        <w:t xml:space="preserve">, optional </w:t>
      </w:r>
      <w:r>
        <w:rPr>
          <w:rFonts w:ascii="Courier New" w:hAnsi="Courier New"/>
          <w:sz w:val="19"/>
        </w:rPr>
        <w:t>expirationDate</w:t>
      </w:r>
      <w:r>
        <w:t xml:space="preserve">, and a </w:t>
      </w:r>
      <w:r>
        <w:rPr>
          <w:rFonts w:ascii="Courier New" w:hAnsi="Courier New"/>
          <w:sz w:val="19"/>
        </w:rPr>
        <w:t>credentialSubject</w:t>
      </w:r>
      <w:r>
        <w:t xml:space="preserve"> block containing the attestation claims. Proofs use Ed25519 signatures over a canonical JSON serialization of the credential, allowing offline verification against the issuer's DID.</w:t>
      </w:r>
    </w:p>
    <w:p w14:paraId="0C25A8C4" w14:textId="440236D8" w:rsidR="00642599" w:rsidRDefault="00AF50C5">
      <w:pPr>
        <w:spacing w:after="120"/>
        <w:rPr>
          <w:rFonts w:hint="eastAsia"/>
        </w:rPr>
      </w:pPr>
      <w:r>
        <w:t>C</w:t>
      </w:r>
      <w:r w:rsidR="00000000">
        <w:t>redential type</w:t>
      </w:r>
      <w:r>
        <w:t xml:space="preserve"> examples,</w:t>
      </w:r>
      <w:r w:rsidR="00000000">
        <w:t xml:space="preserve"> each representing a distinct tier of behavioral attestation:</w:t>
      </w:r>
    </w:p>
    <w:tbl>
      <w:tblPr>
        <w:tblStyle w:val="TableGrid"/>
        <w:tblW w:w="0" w:type="auto"/>
        <w:tblLook w:val="04A0" w:firstRow="1" w:lastRow="0" w:firstColumn="1" w:lastColumn="0" w:noHBand="0" w:noVBand="1"/>
      </w:tblPr>
      <w:tblGrid>
        <w:gridCol w:w="2880"/>
        <w:gridCol w:w="2880"/>
        <w:gridCol w:w="2880"/>
      </w:tblGrid>
      <w:tr w:rsidR="00642599" w14:paraId="621B8A11" w14:textId="77777777">
        <w:tc>
          <w:tcPr>
            <w:tcW w:w="2880" w:type="dxa"/>
          </w:tcPr>
          <w:p w14:paraId="1BC80C4C" w14:textId="77777777" w:rsidR="00642599" w:rsidRDefault="00000000">
            <w:pPr>
              <w:spacing w:after="60"/>
              <w:rPr>
                <w:rFonts w:hint="eastAsia"/>
              </w:rPr>
            </w:pPr>
            <w:r>
              <w:rPr>
                <w:b/>
              </w:rPr>
              <w:t>Credential</w:t>
            </w:r>
          </w:p>
        </w:tc>
        <w:tc>
          <w:tcPr>
            <w:tcW w:w="2880" w:type="dxa"/>
          </w:tcPr>
          <w:p w14:paraId="648C6FB6" w14:textId="77777777" w:rsidR="00642599" w:rsidRDefault="00000000">
            <w:pPr>
              <w:spacing w:after="60"/>
              <w:rPr>
                <w:rFonts w:hint="eastAsia"/>
              </w:rPr>
            </w:pPr>
            <w:r>
              <w:rPr>
                <w:b/>
              </w:rPr>
              <w:t>Issuer</w:t>
            </w:r>
          </w:p>
        </w:tc>
        <w:tc>
          <w:tcPr>
            <w:tcW w:w="2880" w:type="dxa"/>
          </w:tcPr>
          <w:p w14:paraId="7AA68A7B" w14:textId="77777777" w:rsidR="00642599" w:rsidRDefault="00000000">
            <w:pPr>
              <w:spacing w:after="60"/>
              <w:rPr>
                <w:rFonts w:hint="eastAsia"/>
              </w:rPr>
            </w:pPr>
            <w:r>
              <w:rPr>
                <w:b/>
              </w:rPr>
              <w:t>Semantic Meaning</w:t>
            </w:r>
          </w:p>
        </w:tc>
      </w:tr>
      <w:tr w:rsidR="00642599" w14:paraId="4AD45E71" w14:textId="77777777">
        <w:tc>
          <w:tcPr>
            <w:tcW w:w="2880" w:type="dxa"/>
          </w:tcPr>
          <w:p w14:paraId="558C91E8" w14:textId="77777777" w:rsidR="00642599" w:rsidRDefault="00000000">
            <w:pPr>
              <w:spacing w:after="60"/>
              <w:rPr>
                <w:rFonts w:hint="eastAsia"/>
              </w:rPr>
            </w:pPr>
            <w:r>
              <w:t>FiduciaryPledgeVC</w:t>
            </w:r>
          </w:p>
        </w:tc>
        <w:tc>
          <w:tcPr>
            <w:tcW w:w="2880" w:type="dxa"/>
          </w:tcPr>
          <w:p w14:paraId="0CC6420F" w14:textId="77777777" w:rsidR="00642599" w:rsidRDefault="00000000">
            <w:pPr>
              <w:spacing w:after="60"/>
              <w:rPr>
                <w:rFonts w:hint="eastAsia"/>
              </w:rPr>
            </w:pPr>
            <w:r>
              <w:t>GliaNet</w:t>
            </w:r>
          </w:p>
        </w:tc>
        <w:tc>
          <w:tcPr>
            <w:tcW w:w="2880" w:type="dxa"/>
          </w:tcPr>
          <w:p w14:paraId="2CE0E595" w14:textId="77777777" w:rsidR="00642599" w:rsidRDefault="00000000">
            <w:pPr>
              <w:spacing w:after="60"/>
              <w:rPr>
                <w:rFonts w:hint="eastAsia"/>
              </w:rPr>
            </w:pPr>
            <w:r>
              <w:t>Operator signed the GliaNet Fiduciary Pledge</w:t>
            </w:r>
          </w:p>
        </w:tc>
      </w:tr>
      <w:tr w:rsidR="00642599" w14:paraId="1685BB96" w14:textId="77777777">
        <w:tc>
          <w:tcPr>
            <w:tcW w:w="2880" w:type="dxa"/>
          </w:tcPr>
          <w:p w14:paraId="503802AC" w14:textId="77777777" w:rsidR="00642599" w:rsidRDefault="00000000">
            <w:pPr>
              <w:spacing w:after="60"/>
              <w:rPr>
                <w:rFonts w:hint="eastAsia"/>
              </w:rPr>
            </w:pPr>
            <w:r>
              <w:t>VerifiedNodeVC</w:t>
            </w:r>
          </w:p>
        </w:tc>
        <w:tc>
          <w:tcPr>
            <w:tcW w:w="2880" w:type="dxa"/>
          </w:tcPr>
          <w:p w14:paraId="0FCB505C" w14:textId="77777777" w:rsidR="00642599" w:rsidRDefault="00000000">
            <w:pPr>
              <w:spacing w:after="60"/>
              <w:rPr>
                <w:rFonts w:hint="eastAsia"/>
              </w:rPr>
            </w:pPr>
            <w:r>
              <w:t>Kwaai Foundation</w:t>
            </w:r>
          </w:p>
        </w:tc>
        <w:tc>
          <w:tcPr>
            <w:tcW w:w="2880" w:type="dxa"/>
          </w:tcPr>
          <w:p w14:paraId="05D6A507" w14:textId="77777777" w:rsidR="00642599" w:rsidRDefault="00000000">
            <w:pPr>
              <w:spacing w:after="60"/>
              <w:rPr>
                <w:rFonts w:hint="eastAsia"/>
              </w:rPr>
            </w:pPr>
            <w:r>
              <w:t>Node passed Foundation onboarding</w:t>
            </w:r>
          </w:p>
        </w:tc>
      </w:tr>
      <w:tr w:rsidR="00642599" w14:paraId="0F6975D0" w14:textId="77777777">
        <w:tc>
          <w:tcPr>
            <w:tcW w:w="2880" w:type="dxa"/>
          </w:tcPr>
          <w:p w14:paraId="237A2C41" w14:textId="77777777" w:rsidR="00642599" w:rsidRDefault="00000000">
            <w:pPr>
              <w:spacing w:after="60"/>
              <w:rPr>
                <w:rFonts w:hint="eastAsia"/>
              </w:rPr>
            </w:pPr>
            <w:r>
              <w:t>UptimeVC</w:t>
            </w:r>
          </w:p>
        </w:tc>
        <w:tc>
          <w:tcPr>
            <w:tcW w:w="2880" w:type="dxa"/>
          </w:tcPr>
          <w:p w14:paraId="21008D63" w14:textId="77777777" w:rsidR="00642599" w:rsidRDefault="00000000">
            <w:pPr>
              <w:spacing w:after="60"/>
              <w:rPr>
                <w:rFonts w:hint="eastAsia"/>
              </w:rPr>
            </w:pPr>
            <w:r>
              <w:t>Bootstrap servers</w:t>
            </w:r>
          </w:p>
        </w:tc>
        <w:tc>
          <w:tcPr>
            <w:tcW w:w="2880" w:type="dxa"/>
          </w:tcPr>
          <w:p w14:paraId="2D3CC54A" w14:textId="77777777" w:rsidR="00642599" w:rsidRDefault="00000000">
            <w:pPr>
              <w:spacing w:after="60"/>
              <w:rPr>
                <w:rFonts w:hint="eastAsia"/>
              </w:rPr>
            </w:pPr>
            <w:r>
              <w:t>Node maintained uptime ≥ threshold over N days</w:t>
            </w:r>
          </w:p>
        </w:tc>
      </w:tr>
      <w:tr w:rsidR="00642599" w14:paraId="7662E20F" w14:textId="77777777">
        <w:tc>
          <w:tcPr>
            <w:tcW w:w="2880" w:type="dxa"/>
          </w:tcPr>
          <w:p w14:paraId="5BD95C71" w14:textId="77777777" w:rsidR="00642599" w:rsidRDefault="00000000">
            <w:pPr>
              <w:spacing w:after="60"/>
              <w:rPr>
                <w:rFonts w:hint="eastAsia"/>
              </w:rPr>
            </w:pPr>
            <w:r>
              <w:t>ThroughputVC</w:t>
            </w:r>
          </w:p>
        </w:tc>
        <w:tc>
          <w:tcPr>
            <w:tcW w:w="2880" w:type="dxa"/>
          </w:tcPr>
          <w:p w14:paraId="3CBC3783" w14:textId="77777777" w:rsidR="00642599" w:rsidRDefault="00000000">
            <w:pPr>
              <w:spacing w:after="60"/>
              <w:rPr>
                <w:rFonts w:hint="eastAsia"/>
              </w:rPr>
            </w:pPr>
            <w:r>
              <w:t>Peer-witnessed</w:t>
            </w:r>
          </w:p>
        </w:tc>
        <w:tc>
          <w:tcPr>
            <w:tcW w:w="2880" w:type="dxa"/>
          </w:tcPr>
          <w:p w14:paraId="1BAA7BFA" w14:textId="77777777" w:rsidR="00642599" w:rsidRDefault="00000000">
            <w:pPr>
              <w:spacing w:after="60"/>
              <w:rPr>
                <w:rFonts w:hint="eastAsia"/>
              </w:rPr>
            </w:pPr>
            <w:r>
              <w:t>Throughput within X% of advertised value</w:t>
            </w:r>
          </w:p>
        </w:tc>
      </w:tr>
      <w:tr w:rsidR="00642599" w14:paraId="71BE21CE" w14:textId="77777777">
        <w:tc>
          <w:tcPr>
            <w:tcW w:w="2880" w:type="dxa"/>
          </w:tcPr>
          <w:p w14:paraId="4A875B26" w14:textId="77777777" w:rsidR="00642599" w:rsidRDefault="00000000">
            <w:pPr>
              <w:spacing w:after="60"/>
              <w:rPr>
                <w:rFonts w:hint="eastAsia"/>
              </w:rPr>
            </w:pPr>
            <w:r>
              <w:t>SummitAttendeeVC</w:t>
            </w:r>
          </w:p>
        </w:tc>
        <w:tc>
          <w:tcPr>
            <w:tcW w:w="2880" w:type="dxa"/>
          </w:tcPr>
          <w:p w14:paraId="45C0AAD4" w14:textId="77777777" w:rsidR="00642599" w:rsidRDefault="00000000">
            <w:pPr>
              <w:spacing w:after="60"/>
              <w:rPr>
                <w:rFonts w:hint="eastAsia"/>
              </w:rPr>
            </w:pPr>
            <w:r>
              <w:t>Summit organizer</w:t>
            </w:r>
          </w:p>
        </w:tc>
        <w:tc>
          <w:tcPr>
            <w:tcW w:w="2880" w:type="dxa"/>
          </w:tcPr>
          <w:p w14:paraId="0B6661AF" w14:textId="77777777" w:rsidR="00642599" w:rsidRDefault="00000000">
            <w:pPr>
              <w:spacing w:after="60"/>
              <w:rPr>
                <w:rFonts w:hint="eastAsia"/>
              </w:rPr>
            </w:pPr>
            <w:r>
              <w:t>Attendance at a Kwaai Personal AI Summit</w:t>
            </w:r>
          </w:p>
        </w:tc>
      </w:tr>
      <w:tr w:rsidR="00642599" w14:paraId="268353B9" w14:textId="77777777">
        <w:tc>
          <w:tcPr>
            <w:tcW w:w="2880" w:type="dxa"/>
          </w:tcPr>
          <w:p w14:paraId="2623D49F" w14:textId="77777777" w:rsidR="00642599" w:rsidRDefault="00000000">
            <w:pPr>
              <w:spacing w:after="60"/>
              <w:rPr>
                <w:rFonts w:hint="eastAsia"/>
              </w:rPr>
            </w:pPr>
            <w:r>
              <w:t>PeerEndorsementVC</w:t>
            </w:r>
          </w:p>
        </w:tc>
        <w:tc>
          <w:tcPr>
            <w:tcW w:w="2880" w:type="dxa"/>
          </w:tcPr>
          <w:p w14:paraId="47A0AA1C" w14:textId="77777777" w:rsidR="00642599" w:rsidRDefault="00000000">
            <w:pPr>
              <w:spacing w:after="60"/>
              <w:rPr>
                <w:rFonts w:hint="eastAsia"/>
              </w:rPr>
            </w:pPr>
            <w:r>
              <w:t>Any peer</w:t>
            </w:r>
          </w:p>
        </w:tc>
        <w:tc>
          <w:tcPr>
            <w:tcW w:w="2880" w:type="dxa"/>
          </w:tcPr>
          <w:p w14:paraId="79AABF8C" w14:textId="77777777" w:rsidR="00642599" w:rsidRDefault="00000000">
            <w:pPr>
              <w:spacing w:after="60"/>
              <w:rPr>
                <w:rFonts w:hint="eastAsia"/>
              </w:rPr>
            </w:pPr>
            <w:r>
              <w:t>Peer-to-peer reliability endorsement</w:t>
            </w:r>
          </w:p>
        </w:tc>
      </w:tr>
    </w:tbl>
    <w:p w14:paraId="172FAF69" w14:textId="77777777" w:rsidR="00642599" w:rsidRDefault="00642599">
      <w:pPr>
        <w:rPr>
          <w:rFonts w:hint="eastAsia"/>
        </w:rPr>
      </w:pPr>
    </w:p>
    <w:p w14:paraId="1B690266" w14:textId="77777777" w:rsidR="00642599" w:rsidRDefault="00000000">
      <w:pPr>
        <w:spacing w:after="120"/>
        <w:rPr>
          <w:rFonts w:hint="eastAsia"/>
        </w:rPr>
      </w:pPr>
      <w:r>
        <w:t xml:space="preserve">Credentials are stored in a local wallet at </w:t>
      </w:r>
      <w:r>
        <w:rPr>
          <w:rFonts w:ascii="Courier New" w:hAnsi="Courier New"/>
          <w:sz w:val="19"/>
        </w:rPr>
        <w:t>~/.kwaainet/credentials/</w:t>
      </w:r>
      <w:r>
        <w:t xml:space="preserve"> and can be imported, listed, and verified entirely offline. A </w:t>
      </w:r>
      <w:r>
        <w:rPr>
          <w:rFonts w:ascii="Courier New" w:hAnsi="Courier New"/>
          <w:sz w:val="19"/>
        </w:rPr>
        <w:t>BindingVC</w:t>
      </w:r>
      <w:r>
        <w:t xml:space="preserve"> type additionally links a passkey </w:t>
      </w:r>
      <w:r>
        <w:rPr>
          <w:rFonts w:ascii="Courier New" w:hAnsi="Courier New"/>
          <w:sz w:val="19"/>
        </w:rPr>
        <w:t>did:key:</w:t>
      </w:r>
      <w:r>
        <w:t xml:space="preserve"> identity to a node's </w:t>
      </w:r>
      <w:r>
        <w:rPr>
          <w:rFonts w:ascii="Courier New" w:hAnsi="Courier New"/>
          <w:sz w:val="19"/>
        </w:rPr>
        <w:t>did:peer:</w:t>
      </w:r>
      <w:r>
        <w:t xml:space="preserve"> DID, enabling user-to-node attribution without requiring users to manage raw keypairs.</w:t>
      </w:r>
    </w:p>
    <w:p w14:paraId="268DBFD3" w14:textId="77777777" w:rsidR="00642599" w:rsidRDefault="00000000">
      <w:pPr>
        <w:pStyle w:val="Heading2"/>
      </w:pPr>
      <w:r>
        <w:t>3.3  Local Trust Score</w:t>
      </w:r>
    </w:p>
    <w:p w14:paraId="2704C10B" w14:textId="77777777" w:rsidR="00642599" w:rsidRDefault="00000000">
      <w:pPr>
        <w:spacing w:after="120"/>
        <w:rPr>
          <w:rFonts w:hint="eastAsia"/>
        </w:rPr>
      </w:pPr>
      <w:r>
        <w:t>Trust scores are computed locally by the querying node — there is no central registry. The score is a function of a node's verifiable credentials: their types, their issuers, and how recently they were issued. Credentials decay in value over time, keeping the trust graph current without requiring frequent re-issuance, drawing on the intuition from PageRank-derived reputation systems that stale information should contribute less [12].</w:t>
      </w:r>
    </w:p>
    <w:p w14:paraId="7C6E9018" w14:textId="77777777" w:rsidR="00642599" w:rsidRDefault="00000000">
      <w:pPr>
        <w:spacing w:after="120"/>
        <w:rPr>
          <w:rFonts w:hint="eastAsia"/>
        </w:rPr>
      </w:pPr>
      <w:r>
        <w:t>As an illustrative example, a time-decayed weighted sum over credential types might look like:</w:t>
      </w:r>
    </w:p>
    <w:p w14:paraId="389AE566" w14:textId="77777777" w:rsidR="00642599" w:rsidRDefault="00000000">
      <w:pPr>
        <w:pStyle w:val="Code"/>
      </w:pPr>
      <w:r>
        <w:t>score = min(1.0,  Σ  weight(vc_type) × 0.5^(age_days / 365))</w:t>
      </w:r>
    </w:p>
    <w:p w14:paraId="295F5D7C" w14:textId="77777777" w:rsidR="00642599" w:rsidRDefault="00000000">
      <w:pPr>
        <w:spacing w:after="120"/>
        <w:rPr>
          <w:rFonts w:hint="eastAsia"/>
        </w:rPr>
      </w:pPr>
      <w:r>
        <w:t>where each credential type carries a weight reflecting its attestation strength — a peer-witnessed throughput benchmark contributing less than a signed fiduciary pledge, for instance — and the exponential term gives roughly a one-year half-life. Scores map to human-readable tiers (Unknown, Known, Verified, Trusted) that gate access to sensitive workloads.</w:t>
      </w:r>
    </w:p>
    <w:p w14:paraId="4A92394F" w14:textId="77777777" w:rsidR="00642599" w:rsidRDefault="00000000">
      <w:pPr>
        <w:spacing w:after="120"/>
        <w:rPr>
          <w:rFonts w:hint="eastAsia"/>
        </w:rPr>
      </w:pPr>
      <w:r>
        <w:t>The exact weighting scheme, decay function, and tier boundaries are under active development and will be finalized as the credential ecosystem matures.</w:t>
      </w:r>
    </w:p>
    <w:p w14:paraId="66AD6EAD" w14:textId="77777777" w:rsidR="00642599" w:rsidRDefault="00000000">
      <w:pPr>
        <w:pStyle w:val="Heading2"/>
      </w:pPr>
      <w:r>
        <w:t>3.4  Planned: EigenTrust Propagation</w:t>
      </w:r>
    </w:p>
    <w:p w14:paraId="267BE107" w14:textId="77777777" w:rsidR="00642599" w:rsidRDefault="00000000">
      <w:pPr>
        <w:spacing w:after="120"/>
        <w:rPr>
          <w:rFonts w:hint="eastAsia"/>
        </w:rPr>
      </w:pPr>
      <w:r>
        <w:t>The current score is credential-only. Phase 4 will add transitive peer endorsements via a variant of the EigenTrust algorithm [13], which was originally developed to suppress malicious peers in Gnutella-scale P2P file-sharing networks. EigenTrust's key property is Sybil resistance: endorsements from low-trust nodes propagate proportionally less, so an attacker who creates many colluding identities cannot manufacture high trust scores for arbitrary peers. The planned formula:</w:t>
      </w:r>
    </w:p>
    <w:p w14:paraId="79749EE2" w14:textId="77777777" w:rsidR="00642599" w:rsidRDefault="00000000">
      <w:pPr>
        <w:pStyle w:val="Code"/>
      </w:pPr>
      <w:r>
        <w:t>Phase 4 score =</w:t>
      </w:r>
    </w:p>
    <w:p w14:paraId="0A004009" w14:textId="77777777" w:rsidR="00642599" w:rsidRDefault="00000000">
      <w:pPr>
        <w:pStyle w:val="Code"/>
      </w:pPr>
      <w:r>
        <w:t xml:space="preserve">  w₁ × DirectPeerRatings</w:t>
      </w:r>
    </w:p>
    <w:p w14:paraId="46A55D61" w14:textId="77777777" w:rsidR="00642599" w:rsidRDefault="00000000">
      <w:pPr>
        <w:pStyle w:val="Code"/>
      </w:pPr>
      <w:r>
        <w:t xml:space="preserve">  w₂ × CredentialScore</w:t>
      </w:r>
    </w:p>
    <w:p w14:paraId="50FC3059" w14:textId="77777777" w:rsidR="00642599" w:rsidRDefault="00000000">
      <w:pPr>
        <w:pStyle w:val="Code"/>
      </w:pPr>
      <w:r>
        <w:t xml:space="preserve">  w₃ × TransitiveEndorsements  (weight × 0.5 per hop)</w:t>
      </w:r>
    </w:p>
    <w:p w14:paraId="75D7A590" w14:textId="77777777" w:rsidR="00642599" w:rsidRDefault="00000000">
      <w:pPr>
        <w:pStyle w:val="Code"/>
      </w:pPr>
      <w:r>
        <w:t xml:space="preserve">  × TimeDecay(age_of_assertions)</w:t>
      </w:r>
    </w:p>
    <w:p w14:paraId="6CF78058" w14:textId="77777777" w:rsidR="00642599" w:rsidRDefault="00000000">
      <w:pPr>
        <w:spacing w:after="120"/>
        <w:rPr>
          <w:rFonts w:hint="eastAsia"/>
        </w:rPr>
      </w:pPr>
      <w:r>
        <w:t xml:space="preserve">Until Phase 4 ships, the </w:t>
      </w:r>
      <w:r>
        <w:rPr>
          <w:rFonts w:ascii="Courier New" w:hAnsi="Courier New"/>
          <w:sz w:val="19"/>
        </w:rPr>
        <w:t>peer_endorsement_contribution</w:t>
      </w:r>
      <w:r>
        <w:t xml:space="preserve"> field in the score struct is always </w:t>
      </w:r>
      <w:r>
        <w:rPr>
          <w:rFonts w:ascii="Courier New" w:hAnsi="Courier New"/>
          <w:sz w:val="19"/>
        </w:rPr>
        <w:t>0.0</w:t>
      </w:r>
      <w:r>
        <w:t>, and the system falls back entirely to the credential-weighted baseline.</w:t>
      </w:r>
    </w:p>
    <w:p w14:paraId="6E03938C" w14:textId="77777777" w:rsidR="00642599" w:rsidRDefault="00000000">
      <w:pPr>
        <w:pStyle w:val="Heading1"/>
      </w:pPr>
      <w:r>
        <w:lastRenderedPageBreak/>
        <w:t>4. Shared Compute</w:t>
      </w:r>
    </w:p>
    <w:p w14:paraId="1A404B23" w14:textId="77777777" w:rsidR="00642599" w:rsidRDefault="00000000">
      <w:pPr>
        <w:pStyle w:val="Heading2"/>
      </w:pPr>
      <w:r>
        <w:t>4.1  Block-Sharded Distributed Inference</w:t>
      </w:r>
    </w:p>
    <w:p w14:paraId="2F8F3922" w14:textId="77777777" w:rsidR="00642599" w:rsidRDefault="00000000">
      <w:pPr>
        <w:spacing w:after="120"/>
        <w:rPr>
          <w:rFonts w:hint="eastAsia"/>
        </w:rPr>
      </w:pPr>
      <w:r>
        <w:t>KwaaiNet implements Petals-style pipeline parallelism [1] at the transformer block level. A model's layers are divided into contiguous ranges; each range is served by a different node. A coordinator discovers the block chain from the DHT, opens a session with each server in sequence, and pipes activation tensors from one to the next until the final node produces logits.</w:t>
      </w:r>
    </w:p>
    <w:p w14:paraId="248FA8C4" w14:textId="77777777" w:rsidR="00642599" w:rsidRDefault="00000000">
      <w:pPr>
        <w:spacing w:after="120"/>
        <w:rPr>
          <w:rFonts w:hint="eastAsia"/>
        </w:rPr>
      </w:pPr>
      <w:r>
        <w:rPr>
          <w:b/>
        </w:rPr>
        <w:t>Model format.</w:t>
      </w:r>
      <w:r>
        <w:t xml:space="preserve"> Distributed inference operates on models stored in the SafeTensors format [14], which provides memory-mapped, zero-copy tensor loading and does not execute arbitrary code on deserialization — a meaningful security property in a network of heterogeneous operators. GGUF models [15] are supported for single-node inference only; their quantization schemes are not currently compatible with the hidden-state wire format.</w:t>
      </w:r>
    </w:p>
    <w:p w14:paraId="364A31C2" w14:textId="77777777" w:rsidR="00642599" w:rsidRDefault="00000000">
      <w:pPr>
        <w:spacing w:after="120"/>
        <w:rPr>
          <w:rFonts w:hint="eastAsia"/>
        </w:rPr>
      </w:pPr>
      <w:r>
        <w:rPr>
          <w:b/>
        </w:rPr>
        <w:t>Attention and positional encoding.</w:t>
      </w:r>
      <w:r>
        <w:t xml:space="preserve"> The shard implementation handles the standard Llama-family architecture [16]: Rotary Positional Encoding (RoPE) [17], in which position information is injected by rotating query and key vectors in pairs of dimensions with position-dependent angles; Grouped Query Attention (GQA) [18], which reduces KV-cache memory by sharing a smaller number of key-value heads across multiple query heads; and SwiGLU activation in the feed-forward sublayers [19]. Correct broadcast semantics are required for both RoPE and causal attention masking — the implementation uses explicit broadcast operations throughout rather than relying on operator overloading, following the candle framework's conventions [20].</w:t>
      </w:r>
    </w:p>
    <w:p w14:paraId="5763AF0D" w14:textId="77777777" w:rsidR="00642599" w:rsidRDefault="00000000">
      <w:pPr>
        <w:spacing w:after="120"/>
        <w:rPr>
          <w:rFonts w:hint="eastAsia"/>
        </w:rPr>
      </w:pPr>
      <w:r>
        <w:rPr>
          <w:b/>
        </w:rPr>
        <w:t>Inter-node transport protocol.</w:t>
      </w:r>
      <w:r>
        <w:t xml:space="preserve"> The activation transport uses a custom libp2p protocol:</w:t>
      </w:r>
    </w:p>
    <w:p w14:paraId="263F5BD1" w14:textId="77777777" w:rsidR="00642599" w:rsidRDefault="00000000">
      <w:pPr>
        <w:pStyle w:val="Code"/>
      </w:pPr>
      <w:r>
        <w:t>/kwaai/inference/1.0.0</w:t>
      </w:r>
    </w:p>
    <w:p w14:paraId="47676202" w14:textId="77777777" w:rsidR="00AF50C5" w:rsidRDefault="00AF50C5" w:rsidP="00AF50C5">
      <w:pPr>
        <w:spacing w:after="120"/>
        <w:rPr>
          <w:rFonts w:hint="eastAsia"/>
        </w:rPr>
      </w:pPr>
      <w:r>
        <w:t>The message flow is:</w:t>
      </w:r>
    </w:p>
    <w:p w14:paraId="6427CA61" w14:textId="77777777" w:rsidR="00AF50C5" w:rsidRDefault="00AF50C5" w:rsidP="00AF50C5">
      <w:pPr>
        <w:pStyle w:val="Code"/>
      </w:pPr>
      <w:r>
        <w:t>Coordinator                          Block Server</w:t>
      </w:r>
    </w:p>
    <w:p w14:paraId="658BDB67" w14:textId="77777777" w:rsidR="00AF50C5" w:rsidRDefault="00AF50C5" w:rsidP="00AF50C5">
      <w:pPr>
        <w:pStyle w:val="Code"/>
      </w:pPr>
      <w:r>
        <w:t xml:space="preserve">  │── </w:t>
      </w:r>
      <w:proofErr w:type="spellStart"/>
      <w:r>
        <w:t>InferenceRequest</w:t>
      </w:r>
      <w:proofErr w:type="spellEnd"/>
      <w:r>
        <w:t xml:space="preserve"> (</w:t>
      </w:r>
      <w:proofErr w:type="spellStart"/>
      <w:r>
        <w:t>msgpack</w:t>
      </w:r>
      <w:proofErr w:type="spellEnd"/>
      <w:r>
        <w:t>) ──────────────▶│</w:t>
      </w:r>
    </w:p>
    <w:p w14:paraId="416CFB66" w14:textId="77777777" w:rsidR="00AF50C5" w:rsidRDefault="00AF50C5" w:rsidP="00AF50C5">
      <w:pPr>
        <w:pStyle w:val="Code"/>
      </w:pPr>
      <w:r>
        <w:t xml:space="preserve">  │</w:t>
      </w:r>
      <w:proofErr w:type="gramStart"/>
      <w:r>
        <w:t xml:space="preserve">   {</w:t>
      </w:r>
      <w:proofErr w:type="spellStart"/>
      <w:proofErr w:type="gramEnd"/>
      <w:r>
        <w:t>session_id</w:t>
      </w:r>
      <w:proofErr w:type="spellEnd"/>
      <w:r>
        <w:t xml:space="preserve">, </w:t>
      </w:r>
      <w:proofErr w:type="spellStart"/>
      <w:r>
        <w:t>seq_</w:t>
      </w:r>
      <w:proofErr w:type="gramStart"/>
      <w:r>
        <w:t>pos</w:t>
      </w:r>
      <w:proofErr w:type="spellEnd"/>
      <w:r>
        <w:t xml:space="preserve">,   </w:t>
      </w:r>
      <w:proofErr w:type="gramEnd"/>
      <w:r>
        <w:t xml:space="preserve">                   │</w:t>
      </w:r>
    </w:p>
    <w:p w14:paraId="0CF550FF" w14:textId="77777777" w:rsidR="00AF50C5" w:rsidRDefault="00AF50C5" w:rsidP="00AF50C5">
      <w:pPr>
        <w:pStyle w:val="Code"/>
      </w:pPr>
      <w:r>
        <w:t xml:space="preserve">  │    </w:t>
      </w:r>
      <w:proofErr w:type="spellStart"/>
      <w:r>
        <w:t>payload_type</w:t>
      </w:r>
      <w:proofErr w:type="spellEnd"/>
      <w:r>
        <w:t xml:space="preserve">, shape, </w:t>
      </w:r>
      <w:proofErr w:type="gramStart"/>
      <w:r>
        <w:t xml:space="preserve">data}   </w:t>
      </w:r>
      <w:proofErr w:type="gramEnd"/>
      <w:r>
        <w:t xml:space="preserve">             │</w:t>
      </w:r>
    </w:p>
    <w:p w14:paraId="3A31116A" w14:textId="77777777" w:rsidR="00AF50C5" w:rsidRDefault="00AF50C5" w:rsidP="00AF50C5">
      <w:pPr>
        <w:pStyle w:val="Code"/>
      </w:pPr>
      <w:r>
        <w:t xml:space="preserve">  │                                              </w:t>
      </w:r>
      <w:proofErr w:type="gramStart"/>
      <w:r>
        <w:t>│  runs</w:t>
      </w:r>
      <w:proofErr w:type="gramEnd"/>
      <w:r>
        <w:t xml:space="preserve"> local blocks</w:t>
      </w:r>
    </w:p>
    <w:p w14:paraId="0775F3FE" w14:textId="77777777" w:rsidR="00AF50C5" w:rsidRDefault="00AF50C5" w:rsidP="00AF50C5">
      <w:pPr>
        <w:pStyle w:val="Code"/>
      </w:pPr>
      <w:r>
        <w:t xml:space="preserve">  │◀── </w:t>
      </w:r>
      <w:proofErr w:type="spellStart"/>
      <w:r>
        <w:t>InferenceResponse</w:t>
      </w:r>
      <w:proofErr w:type="spellEnd"/>
      <w:r>
        <w:t xml:space="preserve"> (</w:t>
      </w:r>
      <w:proofErr w:type="spellStart"/>
      <w:r>
        <w:t>msgpack</w:t>
      </w:r>
      <w:proofErr w:type="spellEnd"/>
      <w:r>
        <w:t>) ─────────────│</w:t>
      </w:r>
    </w:p>
    <w:p w14:paraId="531DFAA4" w14:textId="77777777" w:rsidR="00AF50C5" w:rsidRDefault="00AF50C5" w:rsidP="00AF50C5">
      <w:pPr>
        <w:pStyle w:val="Code"/>
      </w:pPr>
      <w:r>
        <w:t xml:space="preserve">  │</w:t>
      </w:r>
      <w:proofErr w:type="gramStart"/>
      <w:r>
        <w:t xml:space="preserve">   {</w:t>
      </w:r>
      <w:proofErr w:type="spellStart"/>
      <w:proofErr w:type="gramEnd"/>
      <w:r>
        <w:t>session_id</w:t>
      </w:r>
      <w:proofErr w:type="spellEnd"/>
      <w:r>
        <w:t xml:space="preserve">, </w:t>
      </w:r>
      <w:proofErr w:type="spellStart"/>
      <w:r>
        <w:t>response_</w:t>
      </w:r>
      <w:proofErr w:type="gramStart"/>
      <w:r>
        <w:t>type</w:t>
      </w:r>
      <w:proofErr w:type="spellEnd"/>
      <w:r>
        <w:t xml:space="preserve">,   </w:t>
      </w:r>
      <w:proofErr w:type="gramEnd"/>
      <w:r>
        <w:t xml:space="preserve">             │</w:t>
      </w:r>
    </w:p>
    <w:p w14:paraId="4025353A" w14:textId="77777777" w:rsidR="00AF50C5" w:rsidRDefault="00AF50C5" w:rsidP="00AF50C5">
      <w:pPr>
        <w:pStyle w:val="Code"/>
      </w:pPr>
      <w:r>
        <w:t xml:space="preserve">  │    shape, </w:t>
      </w:r>
      <w:proofErr w:type="gramStart"/>
      <w:r>
        <w:t xml:space="preserve">data}   </w:t>
      </w:r>
      <w:proofErr w:type="gramEnd"/>
      <w:r>
        <w:t xml:space="preserve">                           │</w:t>
      </w:r>
    </w:p>
    <w:p w14:paraId="67B22F73" w14:textId="77777777" w:rsidR="00642599" w:rsidRDefault="00000000">
      <w:pPr>
        <w:spacing w:after="120"/>
        <w:rPr>
          <w:rFonts w:hint="eastAsia"/>
        </w:rPr>
      </w:pPr>
      <w:r>
        <w:t xml:space="preserve">Messages are serialized using MessagePack [21], chosen for its compact binary representation and broad multi-language support. Tensor data is packed as raw little-endian bytes: token IDs as </w:t>
      </w:r>
      <w:r>
        <w:rPr>
          <w:rFonts w:ascii="Courier New" w:hAnsi="Courier New"/>
          <w:sz w:val="19"/>
        </w:rPr>
        <w:t>u32-LE</w:t>
      </w:r>
      <w:r>
        <w:t xml:space="preserve">, hidden states and logits as </w:t>
      </w:r>
      <w:r>
        <w:rPr>
          <w:rFonts w:ascii="Courier New" w:hAnsi="Courier New"/>
          <w:sz w:val="19"/>
        </w:rPr>
        <w:t>f16-LE</w:t>
      </w:r>
      <w:r>
        <w:t xml:space="preserve"> (IEEE 754 half-precision [22]). Each exchange carries a </w:t>
      </w:r>
      <w:r>
        <w:rPr>
          <w:rFonts w:ascii="Courier New" w:hAnsi="Courier New"/>
          <w:sz w:val="19"/>
        </w:rPr>
        <w:t>session_id: u64</w:t>
      </w:r>
      <w:r>
        <w:t xml:space="preserve"> that links to a per-session KV </w:t>
      </w:r>
      <w:r>
        <w:lastRenderedPageBreak/>
        <w:t>cache on the serving node; sessions expire after 600 seconds of inactivity and are garbage-collected by a background task.</w:t>
      </w:r>
    </w:p>
    <w:p w14:paraId="6EB0B174" w14:textId="77777777" w:rsidR="00642599" w:rsidRDefault="00000000">
      <w:pPr>
        <w:spacing w:after="120"/>
        <w:rPr>
          <w:rFonts w:hint="eastAsia"/>
        </w:rPr>
      </w:pPr>
      <w:r>
        <w:t xml:space="preserve">The first node in the chain receives </w:t>
      </w:r>
      <w:r>
        <w:rPr>
          <w:rFonts w:ascii="Courier New" w:hAnsi="Courier New"/>
          <w:sz w:val="19"/>
        </w:rPr>
        <w:t>payload_type: TokenIds</w:t>
      </w:r>
      <w:r>
        <w:t xml:space="preserve">; every subsequent node receives </w:t>
      </w:r>
      <w:r>
        <w:rPr>
          <w:rFonts w:ascii="Courier New" w:hAnsi="Courier New"/>
          <w:sz w:val="19"/>
        </w:rPr>
        <w:t>payload_type: HiddenStates</w:t>
      </w:r>
      <w:r>
        <w:t xml:space="preserve">. The last node responds with </w:t>
      </w:r>
      <w:r>
        <w:rPr>
          <w:rFonts w:ascii="Courier New" w:hAnsi="Courier New"/>
          <w:sz w:val="19"/>
        </w:rPr>
        <w:t>response_type: Logits</w:t>
      </w:r>
      <w:r>
        <w:t>.</w:t>
      </w:r>
    </w:p>
    <w:p w14:paraId="0B9493B3" w14:textId="77777777" w:rsidR="00642599" w:rsidRDefault="00000000">
      <w:pPr>
        <w:spacing w:after="120"/>
        <w:rPr>
          <w:rFonts w:hint="eastAsia"/>
        </w:rPr>
      </w:pPr>
      <w:r>
        <w:rPr>
          <w:b/>
        </w:rPr>
        <w:t>DHT advertisement.</w:t>
      </w:r>
      <w:r>
        <w:t xml:space="preserve"> When a node starts serving blocks, it publishes a DHT record using the Hivemind wire format [5], extended with additional fields while maintaining backward compatibility (unknown map keys are silently ignored by legacy clients):</w:t>
      </w:r>
    </w:p>
    <w:p w14:paraId="5DF2FB4A" w14:textId="77777777" w:rsidR="00642599" w:rsidRDefault="00000000">
      <w:pPr>
        <w:pStyle w:val="Code"/>
      </w:pPr>
      <w:r>
        <w:t>Key:   SHA1(msgpack("{model_prefix}.{block_index}"))</w:t>
      </w:r>
    </w:p>
    <w:p w14:paraId="4D9F27BD" w14:textId="77777777" w:rsidR="00642599" w:rsidRDefault="00000000">
      <w:pPr>
        <w:pStyle w:val="Code"/>
      </w:pPr>
      <w:r>
        <w:t>Value: Ext(64, msgpack([state_i32, throughput_f64,</w:t>
      </w:r>
    </w:p>
    <w:p w14:paraId="6DC4600A" w14:textId="77777777" w:rsidR="00642599" w:rsidRDefault="00000000">
      <w:pPr>
        <w:pStyle w:val="Code"/>
      </w:pPr>
      <w:r>
        <w:t xml:space="preserve">         {start_block, end_block, peer_id, public_name, …}]))</w:t>
      </w:r>
    </w:p>
    <w:p w14:paraId="21A54C6E" w14:textId="77777777" w:rsidR="00642599" w:rsidRDefault="00000000">
      <w:pPr>
        <w:spacing w:after="120"/>
        <w:rPr>
          <w:rFonts w:hint="eastAsia"/>
        </w:rPr>
      </w:pPr>
      <w:r>
        <w:rPr>
          <w:b/>
        </w:rPr>
        <w:t>Warm-up state.</w:t>
      </w:r>
      <w:r>
        <w:t xml:space="preserve"> A node registers on the DHT and marks itself visible (</w:t>
      </w:r>
      <w:r>
        <w:rPr>
          <w:rFonts w:ascii="Courier New" w:hAnsi="Courier New"/>
          <w:sz w:val="19"/>
        </w:rPr>
        <w:t>state = 0</w:t>
      </w:r>
      <w:r>
        <w:t xml:space="preserve">) before weights have finished loading. The inference handler is backed by an </w:t>
      </w:r>
      <w:r>
        <w:rPr>
          <w:rFonts w:ascii="Courier New" w:hAnsi="Courier New"/>
          <w:sz w:val="19"/>
        </w:rPr>
        <w:t>Arc&lt;RwLock&lt;Option&lt;TransformerShard&gt;&gt;&gt;</w:t>
      </w:r>
      <w:r>
        <w:t xml:space="preserve"> lazy cell — requests that arrive during warm-up block on the read lock until the shard is populated, so the global chain view remains consistent and coordinators do not need to handle a separate "node loading" error case.</w:t>
      </w:r>
    </w:p>
    <w:p w14:paraId="5D71E7E8" w14:textId="20B197BE" w:rsidR="00642599" w:rsidRDefault="00000000">
      <w:pPr>
        <w:spacing w:after="120"/>
        <w:rPr>
          <w:rFonts w:hint="eastAsia"/>
        </w:rPr>
      </w:pPr>
      <w:r>
        <w:rPr>
          <w:b/>
        </w:rPr>
        <w:t>Dynamic rebalancing.</w:t>
      </w:r>
      <w:r>
        <w:t xml:space="preserve"> A background rebalancer periodically queries the DHT, identifies coverage gaps — block ranges with fewer than the target number of serving nodes — and restarts the local shard at a gap range. To prevent synchronized reconvergence when many nodes simultaneously detect the same gap, each node adds a jitter delay of 0–60 seconds derived deterministically from the last byte of its </w:t>
      </w:r>
      <w:r>
        <w:rPr>
          <w:rFonts w:ascii="Courier New" w:hAnsi="Courier New"/>
          <w:sz w:val="19"/>
        </w:rPr>
        <w:t>PeerId</w:t>
      </w:r>
      <w:r>
        <w:t xml:space="preserve">. This avoids synchronized re-announcements </w:t>
      </w:r>
      <w:r w:rsidR="00AF50C5">
        <w:t>but</w:t>
      </w:r>
      <w:r>
        <w:t xml:space="preserve"> reproducible across restarts [23].</w:t>
      </w:r>
    </w:p>
    <w:p w14:paraId="75DAA836" w14:textId="77777777" w:rsidR="00642599" w:rsidRDefault="00000000">
      <w:pPr>
        <w:pStyle w:val="Heading2"/>
      </w:pPr>
      <w:r>
        <w:t>4.2  Sampling and Decoding</w:t>
      </w:r>
    </w:p>
    <w:p w14:paraId="60742643" w14:textId="77777777" w:rsidR="00642599" w:rsidRDefault="00000000">
      <w:pPr>
        <w:spacing w:after="120"/>
        <w:rPr>
          <w:rFonts w:hint="eastAsia"/>
        </w:rPr>
      </w:pPr>
      <w:r>
        <w:t>The final logit vector is sampled locally by the coordinator. The implementation supports temperature scaling, top-k filtering, and nucleus (top-p) sampling [24]. Temperature T rescales logits before the softmax: low temperatures concentrate probability mass on the highest-scoring tokens (approaching greedy decoding at T → 0); high temperatures flatten the distribution, increasing diversity. Top-k restricts sampling to the k highest-probability tokens; top-p dynamically selects the smallest set of tokens whose cumulative probability exceeds threshold p, adapting the effective vocabulary to the model's confidence at each step.</w:t>
      </w:r>
    </w:p>
    <w:p w14:paraId="62ECC1E9" w14:textId="77777777" w:rsidR="00642599" w:rsidRDefault="00000000">
      <w:pPr>
        <w:pStyle w:val="Heading2"/>
      </w:pPr>
      <w:r>
        <w:t>4.3  OpenAI-Compatible API</w:t>
      </w:r>
    </w:p>
    <w:p w14:paraId="2FD8053A" w14:textId="77777777" w:rsidR="00642599" w:rsidRDefault="00000000">
      <w:pPr>
        <w:spacing w:after="120"/>
        <w:rPr>
          <w:rFonts w:hint="eastAsia"/>
        </w:rPr>
      </w:pPr>
      <w:r>
        <w:rPr>
          <w:rFonts w:ascii="Courier New" w:hAnsi="Courier New"/>
          <w:sz w:val="19"/>
        </w:rPr>
        <w:t>kwaainet shard api</w:t>
      </w:r>
      <w:r>
        <w:t xml:space="preserve"> exposes an HTTP server with a drop-in OpenAI-compatible interface:</w:t>
      </w:r>
    </w:p>
    <w:p w14:paraId="0D4D4609" w14:textId="77777777" w:rsidR="00642599" w:rsidRDefault="00000000">
      <w:pPr>
        <w:pStyle w:val="Code"/>
      </w:pPr>
      <w:r>
        <w:t>GET  /v1/models</w:t>
      </w:r>
    </w:p>
    <w:p w14:paraId="68847114" w14:textId="77777777" w:rsidR="00642599" w:rsidRDefault="00000000">
      <w:pPr>
        <w:pStyle w:val="Code"/>
      </w:pPr>
      <w:r>
        <w:t>POST /v1/chat/completions    (streaming SSE + non-streaming)</w:t>
      </w:r>
    </w:p>
    <w:p w14:paraId="3BF2F3BE" w14:textId="77777777" w:rsidR="00642599" w:rsidRDefault="00000000">
      <w:pPr>
        <w:pStyle w:val="Code"/>
      </w:pPr>
      <w:r>
        <w:t>POST /v1/completions         (streaming SSE + non-streaming)</w:t>
      </w:r>
    </w:p>
    <w:p w14:paraId="727D93F1" w14:textId="77777777" w:rsidR="00642599" w:rsidRDefault="00000000">
      <w:pPr>
        <w:spacing w:after="120"/>
        <w:rPr>
          <w:rFonts w:hint="eastAsia"/>
        </w:rPr>
      </w:pPr>
      <w:r>
        <w:lastRenderedPageBreak/>
        <w:t xml:space="preserve">The server discovers the shard chain once at startup and serializes concurrent requests through a single </w:t>
      </w:r>
      <w:r>
        <w:rPr>
          <w:rFonts w:ascii="Courier New" w:hAnsi="Courier New"/>
          <w:sz w:val="19"/>
        </w:rPr>
        <w:t>Arc&lt;Mutex&lt;P2PClient&gt;&gt;</w:t>
      </w:r>
      <w:r>
        <w:t xml:space="preserve"> to avoid session-ID collisions on the DHT. Existing clients — editors, agents, evaluation harnesses — require no modification to use a KwaaiNet-backed inference endpoint.</w:t>
      </w:r>
    </w:p>
    <w:p w14:paraId="56A16F2C" w14:textId="77777777" w:rsidR="00642599" w:rsidRDefault="00000000">
      <w:pPr>
        <w:pStyle w:val="Heading2"/>
      </w:pPr>
      <w:r>
        <w:t>4.4  Secret Custom Embeddings</w:t>
      </w:r>
    </w:p>
    <w:p w14:paraId="0A32D71C" w14:textId="77777777" w:rsidR="00642599" w:rsidRDefault="00000000">
      <w:pPr>
        <w:spacing w:after="120"/>
        <w:rPr>
          <w:rFonts w:hint="eastAsia"/>
        </w:rPr>
      </w:pPr>
      <w:r>
        <w:t>For RAG workloads requiring stronger privacy guarantees than standard embedding storage provides, KwaaiNet supports tenant-specific embedding projection. A base embedding model produces a standard dense vector; the tenant applies a private linear projection that maps it into a tenant-specific latent space before storage or transmission.</w:t>
      </w:r>
    </w:p>
    <w:p w14:paraId="5B7304C4" w14:textId="77777777" w:rsidR="00642599" w:rsidRDefault="00000000">
      <w:pPr>
        <w:spacing w:after="120"/>
        <w:rPr>
          <w:rFonts w:hint="eastAsia"/>
        </w:rPr>
      </w:pPr>
      <w:r>
        <w:t>Recent work has demonstrated that plain text can often be reconstructed with high fidelity from standard embeddings alone [25], making raw embedding storage a meaningful privacy risk for sensitive corpora. A private projection matrix raises the bar for inversion: an adversary who obtains stored vectors from a compromised storage node cannot reconstruct useful approximations without also possessing the projection, substantially complicating reconstruction attacks. The projection itself is never stored on network nodes; only the tenant holds it.</w:t>
      </w:r>
    </w:p>
    <w:p w14:paraId="668ACADD" w14:textId="77777777" w:rsidR="00642599" w:rsidRDefault="00000000">
      <w:pPr>
        <w:pStyle w:val="Heading1"/>
      </w:pPr>
      <w:r>
        <w:t>5. Shared Secure Storage</w:t>
      </w:r>
    </w:p>
    <w:p w14:paraId="75955D31" w14:textId="77777777" w:rsidR="00642599" w:rsidRDefault="00000000">
      <w:pPr>
        <w:pStyle w:val="Heading2"/>
      </w:pPr>
      <w:r>
        <w:t>5.1  Virtual Private Knowledge (VPK)</w:t>
      </w:r>
    </w:p>
    <w:p w14:paraId="7E2529FE" w14:textId="77777777" w:rsidR="00642599" w:rsidRDefault="00000000">
      <w:pPr>
        <w:spacing w:after="120"/>
        <w:rPr>
          <w:rFonts w:hint="eastAsia"/>
        </w:rPr>
      </w:pPr>
      <w:r>
        <w:t xml:space="preserve">The Shared Secure Storage layer is implemented as a separate process, </w:t>
      </w:r>
      <w:r>
        <w:rPr>
          <w:b/>
        </w:rPr>
        <w:t>VPK</w:t>
      </w:r>
      <w:r>
        <w:t xml:space="preserve"> (Virtual Private Knowledge), which KwaaiNet discovers and advertises via the DHT — analogous to how KwaaiNet relates to a locally running Ollama instance today. KwaaiNet does not own or spawn VPK; the two processes share a single binding value: the node's </w:t>
      </w:r>
      <w:r>
        <w:rPr>
          <w:rFonts w:ascii="Courier New" w:hAnsi="Courier New"/>
          <w:sz w:val="19"/>
        </w:rPr>
        <w:t>PeerId</w:t>
      </w:r>
      <w:r>
        <w:t xml:space="preserve"> base58 string, set once in the VPK configuration and obtained from </w:t>
      </w:r>
      <w:r>
        <w:rPr>
          <w:rFonts w:ascii="Courier New" w:hAnsi="Courier New"/>
          <w:sz w:val="19"/>
        </w:rPr>
        <w:t>kwaainet identity show</w:t>
      </w:r>
      <w:r>
        <w:t>.</w:t>
      </w:r>
    </w:p>
    <w:p w14:paraId="72C8E597" w14:textId="77777777" w:rsidR="00642599" w:rsidRDefault="00000000">
      <w:pPr>
        <w:spacing w:after="120"/>
        <w:rPr>
          <w:rFonts w:hint="eastAsia"/>
        </w:rPr>
      </w:pPr>
      <w:r>
        <w:t>The integration has two channels:</w:t>
      </w:r>
    </w:p>
    <w:p w14:paraId="201CB67D" w14:textId="77777777" w:rsidR="00642599" w:rsidRDefault="00000000">
      <w:pPr>
        <w:pStyle w:val="ListNumber"/>
        <w:rPr>
          <w:rFonts w:hint="eastAsia"/>
        </w:rPr>
      </w:pPr>
      <w:r>
        <w:rPr>
          <w:b/>
        </w:rPr>
        <w:t xml:space="preserve">PeerId binding. </w:t>
      </w:r>
      <w:r>
        <w:t>VPK is configured with the KwaaiNet node's `PeerId`, binding its tenant data to the node's cryptographic identity in the trust graph.</w:t>
      </w:r>
    </w:p>
    <w:p w14:paraId="08918ACB" w14:textId="77777777" w:rsidR="00642599" w:rsidRDefault="00000000">
      <w:pPr>
        <w:pStyle w:val="ListNumber"/>
        <w:rPr>
          <w:rFonts w:hint="eastAsia"/>
        </w:rPr>
      </w:pPr>
      <w:r>
        <w:rPr>
          <w:b/>
        </w:rPr>
        <w:t xml:space="preserve">DHT advertisement. </w:t>
      </w:r>
      <w:r>
        <w:t>Before each DHT announcement cycle, the KwaaiNet node polls the local VPK health endpoint (`GET http://localhost:{port}/api/health`) and includes the returned capability metadata in two DHT records: the per-block Ext(64) record gains a "vpk" field, and a separate `_kwaai.vpk.nodes` registry stores a per-peer dictionary of VPK capability maps.</w:t>
      </w:r>
    </w:p>
    <w:p w14:paraId="528635C2" w14:textId="77777777" w:rsidR="00642599" w:rsidRDefault="00000000">
      <w:pPr>
        <w:pStyle w:val="Heading2"/>
      </w:pPr>
      <w:r>
        <w:t>5.2  Multi-Tenant Isolation</w:t>
      </w:r>
    </w:p>
    <w:p w14:paraId="01C92D2B" w14:textId="77777777" w:rsidR="00642599" w:rsidRDefault="00000000">
      <w:pPr>
        <w:spacing w:after="120"/>
        <w:rPr>
          <w:rFonts w:hint="eastAsia"/>
        </w:rPr>
      </w:pPr>
      <w:r>
        <w:t>VPK nodes serve three roles:</w:t>
      </w:r>
    </w:p>
    <w:tbl>
      <w:tblPr>
        <w:tblStyle w:val="TableGrid"/>
        <w:tblW w:w="0" w:type="auto"/>
        <w:tblLook w:val="04A0" w:firstRow="1" w:lastRow="0" w:firstColumn="1" w:lastColumn="0" w:noHBand="0" w:noVBand="1"/>
      </w:tblPr>
      <w:tblGrid>
        <w:gridCol w:w="4320"/>
        <w:gridCol w:w="4320"/>
      </w:tblGrid>
      <w:tr w:rsidR="00642599" w14:paraId="29ACDCC8" w14:textId="77777777">
        <w:tc>
          <w:tcPr>
            <w:tcW w:w="4320" w:type="dxa"/>
          </w:tcPr>
          <w:p w14:paraId="1DD68E5C" w14:textId="77777777" w:rsidR="00642599" w:rsidRDefault="00000000">
            <w:pPr>
              <w:rPr>
                <w:rFonts w:hint="eastAsia"/>
              </w:rPr>
            </w:pPr>
            <w:r>
              <w:rPr>
                <w:b/>
              </w:rPr>
              <w:lastRenderedPageBreak/>
              <w:t>Mode</w:t>
            </w:r>
          </w:p>
        </w:tc>
        <w:tc>
          <w:tcPr>
            <w:tcW w:w="4320" w:type="dxa"/>
          </w:tcPr>
          <w:p w14:paraId="4B201AB1" w14:textId="77777777" w:rsidR="00642599" w:rsidRDefault="00000000">
            <w:pPr>
              <w:rPr>
                <w:rFonts w:hint="eastAsia"/>
              </w:rPr>
            </w:pPr>
            <w:r>
              <w:rPr>
                <w:b/>
              </w:rPr>
              <w:t>Role</w:t>
            </w:r>
          </w:p>
        </w:tc>
      </w:tr>
      <w:tr w:rsidR="00642599" w14:paraId="62B9F318" w14:textId="77777777">
        <w:tc>
          <w:tcPr>
            <w:tcW w:w="4320" w:type="dxa"/>
          </w:tcPr>
          <w:p w14:paraId="679EAE62" w14:textId="77777777" w:rsidR="00642599" w:rsidRDefault="00000000">
            <w:pPr>
              <w:rPr>
                <w:rFonts w:hint="eastAsia"/>
              </w:rPr>
            </w:pPr>
            <w:r>
              <w:t>bob</w:t>
            </w:r>
          </w:p>
        </w:tc>
        <w:tc>
          <w:tcPr>
            <w:tcW w:w="4320" w:type="dxa"/>
          </w:tcPr>
          <w:p w14:paraId="4D94DB9D" w14:textId="77777777" w:rsidR="00642599" w:rsidRDefault="00000000">
            <w:pPr>
              <w:rPr>
                <w:rFonts w:hint="eastAsia"/>
              </w:rPr>
            </w:pPr>
            <w:r>
              <w:t>Data owner — encrypts and submits documents</w:t>
            </w:r>
          </w:p>
        </w:tc>
      </w:tr>
      <w:tr w:rsidR="00642599" w14:paraId="4AA763B2" w14:textId="77777777">
        <w:tc>
          <w:tcPr>
            <w:tcW w:w="4320" w:type="dxa"/>
          </w:tcPr>
          <w:p w14:paraId="12AFD07D" w14:textId="77777777" w:rsidR="00642599" w:rsidRDefault="00000000">
            <w:pPr>
              <w:rPr>
                <w:rFonts w:hint="eastAsia"/>
              </w:rPr>
            </w:pPr>
            <w:r>
              <w:t>eve</w:t>
            </w:r>
          </w:p>
        </w:tc>
        <w:tc>
          <w:tcPr>
            <w:tcW w:w="4320" w:type="dxa"/>
          </w:tcPr>
          <w:p w14:paraId="7DDE0D0B" w14:textId="77777777" w:rsidR="00642599" w:rsidRDefault="00000000">
            <w:pPr>
              <w:rPr>
                <w:rFonts w:hint="eastAsia"/>
              </w:rPr>
            </w:pPr>
            <w:r>
              <w:t>Storage provider — holds encrypted shards</w:t>
            </w:r>
          </w:p>
        </w:tc>
      </w:tr>
      <w:tr w:rsidR="00642599" w14:paraId="1D0425A8" w14:textId="77777777">
        <w:tc>
          <w:tcPr>
            <w:tcW w:w="4320" w:type="dxa"/>
          </w:tcPr>
          <w:p w14:paraId="12A87185" w14:textId="77777777" w:rsidR="00642599" w:rsidRDefault="00000000">
            <w:pPr>
              <w:rPr>
                <w:rFonts w:hint="eastAsia"/>
              </w:rPr>
            </w:pPr>
            <w:r>
              <w:t>both</w:t>
            </w:r>
          </w:p>
        </w:tc>
        <w:tc>
          <w:tcPr>
            <w:tcW w:w="4320" w:type="dxa"/>
          </w:tcPr>
          <w:p w14:paraId="6317A43A" w14:textId="77777777" w:rsidR="00642599" w:rsidRDefault="00000000">
            <w:pPr>
              <w:rPr>
                <w:rFonts w:hint="eastAsia"/>
              </w:rPr>
            </w:pPr>
            <w:r>
              <w:t>Serves both roles simultaneously</w:t>
            </w:r>
          </w:p>
        </w:tc>
      </w:tr>
    </w:tbl>
    <w:p w14:paraId="432556AD" w14:textId="77777777" w:rsidR="00642599" w:rsidRDefault="00642599">
      <w:pPr>
        <w:rPr>
          <w:rFonts w:hint="eastAsia"/>
        </w:rPr>
      </w:pPr>
    </w:p>
    <w:p w14:paraId="0A7B10FA" w14:textId="77777777" w:rsidR="00642599" w:rsidRDefault="00000000">
      <w:pPr>
        <w:spacing w:after="120"/>
        <w:rPr>
          <w:rFonts w:hint="eastAsia"/>
        </w:rPr>
      </w:pPr>
      <w:r>
        <w:t xml:space="preserve">Every document, embedding, and metadata entry carries a </w:t>
      </w:r>
      <w:r>
        <w:rPr>
          <w:rFonts w:ascii="Courier New" w:hAnsi="Courier New"/>
          <w:sz w:val="19"/>
        </w:rPr>
        <w:t>tenant_id</w:t>
      </w:r>
      <w:r>
        <w:t xml:space="preserve"> bound to its originating DID. All query execution is scoped to that identifier. Multiple tenants may share a physical Eve node without access to each other's data; the </w:t>
      </w:r>
      <w:r>
        <w:rPr>
          <w:rFonts w:ascii="Courier New" w:hAnsi="Courier New"/>
          <w:sz w:val="19"/>
        </w:rPr>
        <w:t>tenant_id</w:t>
      </w:r>
      <w:r>
        <w:t xml:space="preserve"> column propagates through all storage, index, and audit tables.</w:t>
      </w:r>
    </w:p>
    <w:p w14:paraId="2E471067" w14:textId="77777777" w:rsidR="00642599" w:rsidRDefault="00000000">
      <w:pPr>
        <w:pStyle w:val="Heading2"/>
      </w:pPr>
      <w:r>
        <w:t>5.3  Homomorphic Encryption for Confidential Vector Search</w:t>
      </w:r>
    </w:p>
    <w:p w14:paraId="774D0121" w14:textId="77777777" w:rsidR="00642599" w:rsidRDefault="00000000">
      <w:pPr>
        <w:spacing w:after="120"/>
        <w:rPr>
          <w:rFonts w:hint="eastAsia"/>
        </w:rPr>
      </w:pPr>
      <w:r>
        <w:t>The knowledge plane is designed around a pipeline that preserves confidentiality through the full retrieval path, drawing on the body of work on homomorphic encryption [4, 26] and encrypted similarity search [27].</w:t>
      </w:r>
    </w:p>
    <w:p w14:paraId="6031344A" w14:textId="77777777" w:rsidR="00642599" w:rsidRDefault="00000000">
      <w:pPr>
        <w:pStyle w:val="ListBullet"/>
        <w:rPr>
          <w:rFonts w:hint="eastAsia"/>
        </w:rPr>
      </w:pPr>
      <w:r>
        <w:rPr>
          <w:b/>
        </w:rPr>
        <w:t xml:space="preserve">Preparation (data owner / Bob). </w:t>
      </w:r>
      <w:r>
        <w:t>Compute dense embeddings for each document. Apply the tenant-specific secret custom embedding projection (§4.4), followed by dimensional scrambling and carefully tuned noise injection. Encrypt the resulting vectors with a homomorphic scheme that supports approximate inner-product similarity without decryption.</w:t>
      </w:r>
    </w:p>
    <w:p w14:paraId="5AAFEAE6" w14:textId="77777777" w:rsidR="00642599" w:rsidRDefault="00000000">
      <w:pPr>
        <w:pStyle w:val="ListBullet"/>
        <w:rPr>
          <w:rFonts w:hint="eastAsia"/>
        </w:rPr>
      </w:pPr>
      <w:r>
        <w:rPr>
          <w:b/>
        </w:rPr>
        <w:t xml:space="preserve">Encrypted storage (storage nodes / Eve). </w:t>
      </w:r>
      <w:r>
        <w:t>Eve nodes store only encrypted, scrambled, noise-injected embeddings and minimal encrypted metadata, partitioned into tenant-scoped shards. Eve nodes never hold plaintexts, embedding parameters, or decryption keys.</w:t>
      </w:r>
    </w:p>
    <w:p w14:paraId="29D3689A" w14:textId="77777777" w:rsidR="00642599" w:rsidRDefault="00000000">
      <w:pPr>
        <w:pStyle w:val="ListBullet"/>
        <w:rPr>
          <w:rFonts w:hint="eastAsia"/>
        </w:rPr>
      </w:pPr>
      <w:r>
        <w:rPr>
          <w:b/>
        </w:rPr>
        <w:t xml:space="preserve">Encrypted search (querying party / Alice). </w:t>
      </w:r>
      <w:r>
        <w:t>Alice's query is embedded and transformed under the same tenant secrets, then evaluated homomorphically against the stored encrypted vectors. Eve nodes compute approximate encrypted similarity scores — they observe neither the query embedding nor the document embeddings in plaintext.</w:t>
      </w:r>
    </w:p>
    <w:p w14:paraId="2E6096C4" w14:textId="77777777" w:rsidR="00642599" w:rsidRDefault="00000000">
      <w:pPr>
        <w:pStyle w:val="ListBullet"/>
        <w:rPr>
          <w:rFonts w:hint="eastAsia"/>
        </w:rPr>
      </w:pPr>
      <w:r>
        <w:rPr>
          <w:b/>
        </w:rPr>
        <w:t xml:space="preserve">Result handling. </w:t>
      </w:r>
      <w:r>
        <w:t>Eve returns encrypted scores and document indices. Only key-holding parties — Bob, an authorized delegate, or a confidential-computing enclave — decrypt scores, select top-k results, and route approved context to the language model.</w:t>
      </w:r>
    </w:p>
    <w:p w14:paraId="4A84A73B" w14:textId="77777777" w:rsidR="00642599" w:rsidRDefault="00000000">
      <w:pPr>
        <w:pStyle w:val="Heading2"/>
      </w:pPr>
      <w:r>
        <w:t>5.4  Inversion and Wire-Tap Resistance</w:t>
      </w:r>
    </w:p>
    <w:p w14:paraId="5E106DF4" w14:textId="77777777" w:rsidR="00642599" w:rsidRDefault="00000000">
      <w:pPr>
        <w:spacing w:after="120"/>
        <w:rPr>
          <w:rFonts w:hint="eastAsia"/>
        </w:rPr>
      </w:pPr>
      <w:r>
        <w:t>Two independent properties compound to resist passive adversaries:</w:t>
      </w:r>
    </w:p>
    <w:p w14:paraId="37571C95" w14:textId="77777777" w:rsidR="00642599" w:rsidRDefault="00000000">
      <w:pPr>
        <w:pStyle w:val="ListBullet"/>
        <w:rPr>
          <w:rFonts w:hint="eastAsia"/>
        </w:rPr>
      </w:pPr>
      <w:r>
        <w:rPr>
          <w:b/>
        </w:rPr>
        <w:t xml:space="preserve">Inversion resistance. </w:t>
      </w:r>
      <w:r>
        <w:t xml:space="preserve">The combination of secret projection, dimensional scrambling, and noise injection makes high-quality embedding inversion substantially harder than against standard publicly-produced embeddings. The secret projection alone does not constitute information-theoretic security, but it </w:t>
      </w:r>
      <w:r>
        <w:lastRenderedPageBreak/>
        <w:t>eliminates the black-box inversion attack demonstrated in [25] by requiring the adversary to also recover the projection matrix.</w:t>
      </w:r>
    </w:p>
    <w:p w14:paraId="23F04C09" w14:textId="77777777" w:rsidR="00642599" w:rsidRDefault="00000000">
      <w:pPr>
        <w:pStyle w:val="ListBullet"/>
        <w:rPr>
          <w:rFonts w:hint="eastAsia"/>
        </w:rPr>
      </w:pPr>
      <w:r>
        <w:rPr>
          <w:b/>
        </w:rPr>
        <w:t xml:space="preserve">Wire-tap resistance via index-based retrieval. </w:t>
      </w:r>
      <w:r>
        <w:t>Similarity search returns compact document indices, not content. A network adversary observing query traffic captures encrypted scores and integer indices — not document text — then must separately compromise the content channel to reconstruct retrieved passages. This reduces leakage from traffic-pattern analysis compared with approaches that stream full document content in response to similarity queries.</w:t>
      </w:r>
    </w:p>
    <w:p w14:paraId="54A1A8D2" w14:textId="77777777" w:rsidR="00642599" w:rsidRDefault="00000000">
      <w:pPr>
        <w:pStyle w:val="Heading1"/>
      </w:pPr>
      <w:r>
        <w:t>6. P2P Network</w:t>
      </w:r>
    </w:p>
    <w:p w14:paraId="58D658EE" w14:textId="77777777" w:rsidR="00642599" w:rsidRDefault="00000000">
      <w:pPr>
        <w:pStyle w:val="Heading2"/>
      </w:pPr>
      <w:r>
        <w:t>6.1  Transport Stack</w:t>
      </w:r>
    </w:p>
    <w:p w14:paraId="321E77BB" w14:textId="77777777" w:rsidR="00642599" w:rsidRDefault="00000000">
      <w:pPr>
        <w:spacing w:after="120"/>
        <w:rPr>
          <w:rFonts w:hint="eastAsia"/>
        </w:rPr>
      </w:pPr>
      <w:r>
        <w:t xml:space="preserve">All inter-node communication uses </w:t>
      </w:r>
      <w:r>
        <w:rPr>
          <w:b/>
        </w:rPr>
        <w:t>libp2p</w:t>
      </w:r>
      <w:r>
        <w:t xml:space="preserve"> [8] as the networking substrate, managed through an embedded </w:t>
      </w:r>
      <w:r>
        <w:rPr>
          <w:rFonts w:ascii="Courier New" w:hAnsi="Courier New"/>
          <w:sz w:val="19"/>
        </w:rPr>
        <w:t>go-libp2p-daemon</w:t>
      </w:r>
      <w:r>
        <w:t xml:space="preserve"> (</w:t>
      </w:r>
      <w:r>
        <w:rPr>
          <w:rFonts w:ascii="Courier New" w:hAnsi="Courier New"/>
          <w:sz w:val="19"/>
        </w:rPr>
        <w:t>p2pd</w:t>
      </w:r>
      <w:r>
        <w:t>) that the CLI starts and supervises alongside the main process. libp2p provides transport-layer encryption via Noise [29] and TLS 1.3, stream multiplexing via Yamux, NAT traversal via circuit relay, and a protocol negotiation layer (multistream-select) that maps human-readable protocol strings to typed handlers.</w:t>
      </w:r>
    </w:p>
    <w:p w14:paraId="55E40F88" w14:textId="77777777" w:rsidR="00642599" w:rsidRDefault="00000000">
      <w:pPr>
        <w:spacing w:after="120"/>
        <w:rPr>
          <w:rFonts w:hint="eastAsia"/>
        </w:rPr>
      </w:pPr>
      <w:r>
        <w:t>Two application-layer protocols are currently registered:</w:t>
      </w:r>
    </w:p>
    <w:p w14:paraId="2934C301" w14:textId="77777777" w:rsidR="00642599" w:rsidRDefault="00000000">
      <w:pPr>
        <w:pStyle w:val="ListBullet"/>
        <w:rPr>
          <w:rFonts w:hint="eastAsia"/>
        </w:rPr>
      </w:pPr>
      <w:r>
        <w:rPr>
          <w:rFonts w:ascii="Courier New" w:hAnsi="Courier New"/>
          <w:sz w:val="19"/>
        </w:rPr>
        <w:t xml:space="preserve">DHTProtocol.rpc_find </w:t>
      </w:r>
      <w:r>
        <w:t>— Hivemind DHT lookups; wire-format compatible with Python Hivemind bootstrap nodes.</w:t>
      </w:r>
    </w:p>
    <w:p w14:paraId="6829B4BC" w14:textId="77777777" w:rsidR="00642599" w:rsidRDefault="00000000">
      <w:pPr>
        <w:pStyle w:val="ListBullet"/>
        <w:rPr>
          <w:rFonts w:hint="eastAsia"/>
        </w:rPr>
      </w:pPr>
      <w:r>
        <w:rPr>
          <w:rFonts w:ascii="Courier New" w:hAnsi="Courier New"/>
          <w:sz w:val="19"/>
        </w:rPr>
        <w:t xml:space="preserve">/kwaai/inference/1.0.0 </w:t>
      </w:r>
      <w:r>
        <w:t>— Block-shard activation transfers (§4.1).</w:t>
      </w:r>
    </w:p>
    <w:p w14:paraId="2307730E" w14:textId="77777777" w:rsidR="00642599" w:rsidRDefault="00000000">
      <w:pPr>
        <w:pStyle w:val="Heading2"/>
      </w:pPr>
      <w:r>
        <w:t>6.2  Distributed Hash Table</w:t>
      </w:r>
    </w:p>
    <w:p w14:paraId="6FD5A2FF" w14:textId="77777777" w:rsidR="00642599" w:rsidRDefault="00000000">
      <w:pPr>
        <w:spacing w:after="120"/>
        <w:rPr>
          <w:rFonts w:hint="eastAsia"/>
        </w:rPr>
      </w:pPr>
      <w:r>
        <w:t>KwaaiNet's DHT uses the Kademlia algorithm [9] as implemented by the Hivemind protocol [5]. Kademlia organizes nodes in a binary tree keyed by XOR distance, providing O(log N) lookup time for N participating nodes and tolerating concurrent failures without a central coordinator. Keys are 20-byte DHTID values derived by SHA-1 hashing msgpack-encoded key strings — the same derivation used by Python Hivemind — ensuring interoperability:</w:t>
      </w:r>
    </w:p>
    <w:p w14:paraId="71DAF257" w14:textId="77777777" w:rsidR="00642599" w:rsidRDefault="00000000">
      <w:pPr>
        <w:pStyle w:val="Code"/>
      </w:pPr>
      <w:r>
        <w:t>DHTID(key) = SHA1(msgpack(key))</w:t>
      </w:r>
    </w:p>
    <w:p w14:paraId="778FEE69" w14:textId="77777777" w:rsidR="00642599" w:rsidRDefault="00000000">
      <w:pPr>
        <w:spacing w:after="120"/>
        <w:rPr>
          <w:rFonts w:hint="eastAsia"/>
        </w:rPr>
      </w:pPr>
      <w:r>
        <w:t xml:space="preserve">KwaaiNet nodes appear on external network visualization tools (e.g., </w:t>
      </w:r>
      <w:r>
        <w:rPr>
          <w:rFonts w:ascii="Courier New" w:hAnsi="Courier New"/>
          <w:sz w:val="19"/>
        </w:rPr>
        <w:t>map.kwaai.ai</w:t>
      </w:r>
      <w:r>
        <w:t xml:space="preserve">) without additional bridging, because they participate in the same DHT namespace as the broader Hivemind network. Bootstrap peers are drawn from a configurable </w:t>
      </w:r>
      <w:r>
        <w:rPr>
          <w:rFonts w:ascii="Courier New" w:hAnsi="Courier New"/>
          <w:sz w:val="19"/>
        </w:rPr>
        <w:t>initial_peers</w:t>
      </w:r>
      <w:r>
        <w:t xml:space="preserve"> list in </w:t>
      </w:r>
      <w:r>
        <w:rPr>
          <w:rFonts w:ascii="Courier New" w:hAnsi="Courier New"/>
          <w:sz w:val="19"/>
        </w:rPr>
        <w:t>~/.kwaainet/config.yaml</w:t>
      </w:r>
      <w:r>
        <w:t>; if empty, the network defaults to known Petals bootstrap addresses. DHT records carry a 360-second TTL and are re-announced on a background loop.</w:t>
      </w:r>
    </w:p>
    <w:p w14:paraId="67BA2741" w14:textId="77777777" w:rsidR="00642599" w:rsidRDefault="00000000">
      <w:pPr>
        <w:pStyle w:val="Heading2"/>
      </w:pPr>
      <w:r>
        <w:lastRenderedPageBreak/>
        <w:t>6.3  Intent Routing</w:t>
      </w:r>
    </w:p>
    <w:p w14:paraId="6B80E537" w14:textId="77777777" w:rsidR="00642599" w:rsidRDefault="00000000">
      <w:pPr>
        <w:spacing w:after="120"/>
        <w:rPr>
          <w:rFonts w:hint="eastAsia"/>
        </w:rPr>
      </w:pPr>
      <w:r>
        <w:t>Clients express intent rather than binding to fixed servers: "run model X over these token IDs", "RAG over tenant Y with minimum trust tier Z". The network resolves each intent into concrete nodes through four steps:</w:t>
      </w:r>
    </w:p>
    <w:p w14:paraId="4AE671CE" w14:textId="77777777" w:rsidR="00642599" w:rsidRDefault="00000000">
      <w:pPr>
        <w:pStyle w:val="ListNumber"/>
        <w:rPr>
          <w:rFonts w:hint="eastAsia"/>
        </w:rPr>
      </w:pPr>
      <w:r>
        <w:t>Query the DHT for all block records matching the target model prefix.</w:t>
      </w:r>
    </w:p>
    <w:p w14:paraId="05A8CB39" w14:textId="77777777" w:rsidR="00642599" w:rsidRDefault="00000000">
      <w:pPr>
        <w:pStyle w:val="ListNumber"/>
        <w:rPr>
          <w:rFonts w:hint="eastAsia"/>
        </w:rPr>
      </w:pPr>
      <w:r>
        <w:t>Decode each Ext(64) record to extract peer IDs, block ranges, and announced throughput.</w:t>
      </w:r>
    </w:p>
    <w:p w14:paraId="378905F3" w14:textId="77777777" w:rsidR="00642599" w:rsidRDefault="00000000">
      <w:pPr>
        <w:pStyle w:val="ListNumber"/>
        <w:rPr>
          <w:rFonts w:hint="eastAsia"/>
        </w:rPr>
      </w:pPr>
      <w:r>
        <w:t>Filter candidates by trust tier if the intent specifies a minimum tier.</w:t>
      </w:r>
    </w:p>
    <w:p w14:paraId="1EB6169E" w14:textId="77777777" w:rsidR="00642599" w:rsidRDefault="00000000">
      <w:pPr>
        <w:pStyle w:val="ListNumber"/>
        <w:rPr>
          <w:rFonts w:hint="eastAsia"/>
        </w:rPr>
      </w:pPr>
      <w:r>
        <w:t>Construct the inference chain using a widest-coverage-first ordering; skip nodes that fail RPC calls with a logged warning rather than aborting the request.</w:t>
      </w:r>
    </w:p>
    <w:p w14:paraId="4A8E6EFC" w14:textId="77777777" w:rsidR="00642599" w:rsidRDefault="00000000">
      <w:pPr>
        <w:spacing w:after="120"/>
        <w:rPr>
          <w:rFonts w:hint="eastAsia"/>
        </w:rPr>
      </w:pPr>
      <w:r>
        <w:t>Step 3 is where trust gating operates: a low-trust node may be unreachable not because it is down, but because upstream nodes refuse streams from peers below their configured minimum tier. This makes trust enforcement decentralized — no single gateway enforces it — while remaining locally consistent for each participating node.</w:t>
      </w:r>
    </w:p>
    <w:p w14:paraId="55448D3E" w14:textId="77777777" w:rsidR="00642599" w:rsidRDefault="00000000">
      <w:pPr>
        <w:pStyle w:val="Heading1"/>
      </w:pPr>
      <w:r>
        <w:t>7. Security Properties and Limitations</w:t>
      </w:r>
    </w:p>
    <w:p w14:paraId="41EB593E" w14:textId="77777777" w:rsidR="00642599" w:rsidRDefault="00000000">
      <w:pPr>
        <w:pStyle w:val="Heading2"/>
      </w:pPr>
      <w:r>
        <w:t>7.1  Properties Provided</w:t>
      </w:r>
    </w:p>
    <w:p w14:paraId="7CCB7191" w14:textId="77777777" w:rsidR="00642599" w:rsidRDefault="00000000">
      <w:pPr>
        <w:pStyle w:val="ListBullet"/>
        <w:rPr>
          <w:rFonts w:hint="eastAsia"/>
        </w:rPr>
      </w:pPr>
      <w:r>
        <w:t>Stable cryptographic identity with a verifiable attestation chain anchored in W3C standard credentials.</w:t>
      </w:r>
    </w:p>
    <w:p w14:paraId="23D0C3E9" w14:textId="77777777" w:rsidR="00642599" w:rsidRDefault="00000000">
      <w:pPr>
        <w:pStyle w:val="ListBullet"/>
        <w:rPr>
          <w:rFonts w:hint="eastAsia"/>
        </w:rPr>
      </w:pPr>
      <w:r>
        <w:t>Encrypted transport for all inter-node traffic via Noise and TLS 1.3.</w:t>
      </w:r>
    </w:p>
    <w:p w14:paraId="1AF87B44" w14:textId="77777777" w:rsidR="00642599" w:rsidRDefault="00000000">
      <w:pPr>
        <w:pStyle w:val="ListBullet"/>
        <w:rPr>
          <w:rFonts w:hint="eastAsia"/>
        </w:rPr>
      </w:pPr>
      <w:r>
        <w:t>Partial inference privacy: intermediate shard nodes receive only hidden-state activation tensors — not the original prompt tokens — and return hidden states rather than generated text.</w:t>
      </w:r>
    </w:p>
    <w:p w14:paraId="499DAD54" w14:textId="77777777" w:rsidR="00642599" w:rsidRDefault="00000000">
      <w:pPr>
        <w:pStyle w:val="ListBullet"/>
        <w:rPr>
          <w:rFonts w:hint="eastAsia"/>
        </w:rPr>
      </w:pPr>
      <w:r>
        <w:t>Tenant-isolated encrypted storage with homomorphic similarity search (Eve nodes never hold plaintext).</w:t>
      </w:r>
    </w:p>
    <w:p w14:paraId="410F5040" w14:textId="77777777" w:rsidR="00642599" w:rsidRDefault="00000000">
      <w:pPr>
        <w:pStyle w:val="ListBullet"/>
        <w:rPr>
          <w:rFonts w:hint="eastAsia"/>
        </w:rPr>
      </w:pPr>
      <w:r>
        <w:t>Local trust computation — no central authority can grant or revoke trust; each node computes its own view.</w:t>
      </w:r>
    </w:p>
    <w:p w14:paraId="03866DD6" w14:textId="77777777" w:rsidR="00642599" w:rsidRDefault="00000000">
      <w:pPr>
        <w:pStyle w:val="Heading2"/>
      </w:pPr>
      <w:r>
        <w:t>7.2  Known Limitations</w:t>
      </w:r>
    </w:p>
    <w:p w14:paraId="57306243" w14:textId="77777777" w:rsidR="00642599" w:rsidRDefault="00000000">
      <w:pPr>
        <w:pStyle w:val="ListBullet"/>
        <w:rPr>
          <w:rFonts w:hint="eastAsia"/>
        </w:rPr>
      </w:pPr>
      <w:r>
        <w:rPr>
          <w:b/>
        </w:rPr>
        <w:t xml:space="preserve">Collusion attack on inference. </w:t>
      </w:r>
      <w:r>
        <w:t>An adversary who controls both the first shard node (which sees input token IDs) and the last shard node (which produces output logits) can reconstruct the prompt-to-completion pair. Trust tiers mitigate this risk by restricting which nodes may serve boundary positions for sensitive workloads, but do not eliminate it. The long-term mitigation is confidential-computing enclaves (e.g., Intel TDX, AMD SEV-SNP) for inference shards, which the architecture is designed to accommodate.</w:t>
      </w:r>
    </w:p>
    <w:p w14:paraId="76369507" w14:textId="77777777" w:rsidR="00642599" w:rsidRDefault="00000000">
      <w:pPr>
        <w:pStyle w:val="ListBullet"/>
        <w:rPr>
          <w:rFonts w:hint="eastAsia"/>
        </w:rPr>
      </w:pPr>
      <w:r>
        <w:rPr>
          <w:b/>
        </w:rPr>
        <w:t xml:space="preserve">Unsigned DHT records. </w:t>
      </w:r>
      <w:r>
        <w:t xml:space="preserve">DHT entries in the current Hivemind wire format are not cryptographically signed by their authors. A node with DHT write access can publish </w:t>
      </w:r>
      <w:r>
        <w:lastRenderedPageBreak/>
        <w:t>false capability records. Trust scoring provides partial defense, but the underlying DHT protocol does not enforce record authenticity.</w:t>
      </w:r>
    </w:p>
    <w:p w14:paraId="270034F1" w14:textId="77777777" w:rsidR="00642599" w:rsidRDefault="00000000">
      <w:pPr>
        <w:pStyle w:val="ListBullet"/>
        <w:rPr>
          <w:rFonts w:hint="eastAsia"/>
        </w:rPr>
      </w:pPr>
      <w:r>
        <w:rPr>
          <w:b/>
        </w:rPr>
        <w:t xml:space="preserve">Phase 4 peer endorsements not yet implemented. </w:t>
      </w:r>
      <w:r>
        <w:t>Current trust scores are credential-only; the EigenTrust propagation layer that provides Sybil resistance for peer endorsement graphs is planned for Phase 4.</w:t>
      </w:r>
    </w:p>
    <w:p w14:paraId="4DFBBDB8" w14:textId="77777777" w:rsidR="00642599" w:rsidRDefault="00000000">
      <w:pPr>
        <w:pStyle w:val="ListBullet"/>
        <w:rPr>
          <w:rFonts w:hint="eastAsia"/>
        </w:rPr>
      </w:pPr>
      <w:r>
        <w:rPr>
          <w:b/>
        </w:rPr>
        <w:t xml:space="preserve">Cross-node VPK shard placement. </w:t>
      </w:r>
      <w:r>
        <w:t>Eve node discovery is operational (`kwaainet vpk discover`), but cross-node shard splitting — placing a tenant's encrypted knowledge base across multiple Eve nodes with redundancy — is targeted for Phase 2 of the VPK roadmap.</w:t>
      </w:r>
    </w:p>
    <w:p w14:paraId="4DAA1036" w14:textId="77777777" w:rsidR="00642599" w:rsidRDefault="00000000">
      <w:pPr>
        <w:pStyle w:val="ListBullet"/>
        <w:rPr>
          <w:rFonts w:hint="eastAsia"/>
        </w:rPr>
      </w:pPr>
      <w:r>
        <w:rPr>
          <w:b/>
        </w:rPr>
        <w:t xml:space="preserve">Node version opacity. </w:t>
      </w:r>
      <w:r>
        <w:t>Nodes running older builds silently fail RPC calls when the serving protocol is not registered. The `kwaainet_version` field in the DHT wire format is tracked as a near-term addition to make version skew visible in `kwaainet shard chain` output.</w:t>
      </w:r>
    </w:p>
    <w:p w14:paraId="103CD5B1" w14:textId="77777777" w:rsidR="00642599" w:rsidRDefault="00000000">
      <w:pPr>
        <w:pStyle w:val="Heading1"/>
      </w:pPr>
      <w:r>
        <w:t>8. Implementation Status</w:t>
      </w:r>
    </w:p>
    <w:tbl>
      <w:tblPr>
        <w:tblStyle w:val="TableGrid"/>
        <w:tblW w:w="0" w:type="auto"/>
        <w:tblLook w:val="04A0" w:firstRow="1" w:lastRow="0" w:firstColumn="1" w:lastColumn="0" w:noHBand="0" w:noVBand="1"/>
      </w:tblPr>
      <w:tblGrid>
        <w:gridCol w:w="4320"/>
        <w:gridCol w:w="4320"/>
      </w:tblGrid>
      <w:tr w:rsidR="00642599" w14:paraId="086C01A3" w14:textId="77777777">
        <w:tc>
          <w:tcPr>
            <w:tcW w:w="4320" w:type="dxa"/>
          </w:tcPr>
          <w:p w14:paraId="08DE9443" w14:textId="77777777" w:rsidR="00642599" w:rsidRDefault="00000000">
            <w:pPr>
              <w:rPr>
                <w:rFonts w:hint="eastAsia"/>
              </w:rPr>
            </w:pPr>
            <w:r>
              <w:rPr>
                <w:b/>
              </w:rPr>
              <w:t>Feature</w:t>
            </w:r>
          </w:p>
        </w:tc>
        <w:tc>
          <w:tcPr>
            <w:tcW w:w="4320" w:type="dxa"/>
          </w:tcPr>
          <w:p w14:paraId="5DEA8137" w14:textId="77777777" w:rsidR="00642599" w:rsidRDefault="00000000">
            <w:pPr>
              <w:rPr>
                <w:rFonts w:hint="eastAsia"/>
              </w:rPr>
            </w:pPr>
            <w:r>
              <w:rPr>
                <w:b/>
              </w:rPr>
              <w:t>Status</w:t>
            </w:r>
          </w:p>
        </w:tc>
      </w:tr>
      <w:tr w:rsidR="00642599" w14:paraId="2C9CA660" w14:textId="77777777">
        <w:tc>
          <w:tcPr>
            <w:tcW w:w="4320" w:type="dxa"/>
          </w:tcPr>
          <w:p w14:paraId="328777D9" w14:textId="77777777" w:rsidR="00642599" w:rsidRDefault="00000000">
            <w:pPr>
              <w:spacing w:after="40"/>
              <w:rPr>
                <w:rFonts w:hint="eastAsia"/>
              </w:rPr>
            </w:pPr>
            <w:r>
              <w:t>Ed25519 persistent identity + did:peer: DID</w:t>
            </w:r>
          </w:p>
        </w:tc>
        <w:tc>
          <w:tcPr>
            <w:tcW w:w="4320" w:type="dxa"/>
          </w:tcPr>
          <w:p w14:paraId="120D8B10" w14:textId="77777777" w:rsidR="00642599" w:rsidRDefault="00000000">
            <w:pPr>
              <w:spacing w:after="40"/>
              <w:rPr>
                <w:rFonts w:hint="eastAsia"/>
              </w:rPr>
            </w:pPr>
            <w:r>
              <w:t>Shipped</w:t>
            </w:r>
          </w:p>
        </w:tc>
      </w:tr>
      <w:tr w:rsidR="00642599" w14:paraId="753EEB2A" w14:textId="77777777">
        <w:tc>
          <w:tcPr>
            <w:tcW w:w="4320" w:type="dxa"/>
          </w:tcPr>
          <w:p w14:paraId="10A7883F" w14:textId="77777777" w:rsidR="00642599" w:rsidRDefault="00000000">
            <w:pPr>
              <w:spacing w:after="40"/>
              <w:rPr>
                <w:rFonts w:hint="eastAsia"/>
              </w:rPr>
            </w:pPr>
            <w:r>
              <w:t>W3C VC wallet (import, list, verify, Ed25519 proof)</w:t>
            </w:r>
          </w:p>
        </w:tc>
        <w:tc>
          <w:tcPr>
            <w:tcW w:w="4320" w:type="dxa"/>
          </w:tcPr>
          <w:p w14:paraId="0622846D" w14:textId="77777777" w:rsidR="00642599" w:rsidRDefault="00000000">
            <w:pPr>
              <w:spacing w:after="40"/>
              <w:rPr>
                <w:rFonts w:hint="eastAsia"/>
              </w:rPr>
            </w:pPr>
            <w:r>
              <w:t>Shipped</w:t>
            </w:r>
          </w:p>
        </w:tc>
      </w:tr>
      <w:tr w:rsidR="00642599" w14:paraId="3C8C0462" w14:textId="77777777">
        <w:tc>
          <w:tcPr>
            <w:tcW w:w="4320" w:type="dxa"/>
          </w:tcPr>
          <w:p w14:paraId="09D0927D" w14:textId="77777777" w:rsidR="00642599" w:rsidRDefault="00000000">
            <w:pPr>
              <w:spacing w:after="40"/>
              <w:rPr>
                <w:rFonts w:hint="eastAsia"/>
              </w:rPr>
            </w:pPr>
            <w:r>
              <w:t>Credential-weighted trust score with time decay</w:t>
            </w:r>
          </w:p>
        </w:tc>
        <w:tc>
          <w:tcPr>
            <w:tcW w:w="4320" w:type="dxa"/>
          </w:tcPr>
          <w:p w14:paraId="21906C00" w14:textId="77777777" w:rsidR="00642599" w:rsidRDefault="00000000">
            <w:pPr>
              <w:spacing w:after="40"/>
              <w:rPr>
                <w:rFonts w:hint="eastAsia"/>
              </w:rPr>
            </w:pPr>
            <w:r>
              <w:t>Shipped</w:t>
            </w:r>
          </w:p>
        </w:tc>
      </w:tr>
      <w:tr w:rsidR="00642599" w14:paraId="09B9A18F" w14:textId="77777777">
        <w:tc>
          <w:tcPr>
            <w:tcW w:w="4320" w:type="dxa"/>
          </w:tcPr>
          <w:p w14:paraId="6290E8E9" w14:textId="77777777" w:rsidR="00642599" w:rsidRDefault="00000000">
            <w:pPr>
              <w:spacing w:after="40"/>
              <w:rPr>
                <w:rFonts w:hint="eastAsia"/>
              </w:rPr>
            </w:pPr>
            <w:r>
              <w:t>DHT-based shard discovery (Hivemind-compatible)</w:t>
            </w:r>
          </w:p>
        </w:tc>
        <w:tc>
          <w:tcPr>
            <w:tcW w:w="4320" w:type="dxa"/>
          </w:tcPr>
          <w:p w14:paraId="6C440D28" w14:textId="77777777" w:rsidR="00642599" w:rsidRDefault="00000000">
            <w:pPr>
              <w:spacing w:after="40"/>
              <w:rPr>
                <w:rFonts w:hint="eastAsia"/>
              </w:rPr>
            </w:pPr>
            <w:r>
              <w:t>Shipped</w:t>
            </w:r>
          </w:p>
        </w:tc>
      </w:tr>
      <w:tr w:rsidR="00642599" w14:paraId="7C566024" w14:textId="77777777">
        <w:tc>
          <w:tcPr>
            <w:tcW w:w="4320" w:type="dxa"/>
          </w:tcPr>
          <w:p w14:paraId="31779F53" w14:textId="77777777" w:rsidR="00642599" w:rsidRDefault="00000000">
            <w:pPr>
              <w:spacing w:after="40"/>
              <w:rPr>
                <w:rFonts w:hint="eastAsia"/>
              </w:rPr>
            </w:pPr>
            <w:r>
              <w:t>Block-sharded distributed inference over libp2p</w:t>
            </w:r>
          </w:p>
        </w:tc>
        <w:tc>
          <w:tcPr>
            <w:tcW w:w="4320" w:type="dxa"/>
          </w:tcPr>
          <w:p w14:paraId="55280BB7" w14:textId="77777777" w:rsidR="00642599" w:rsidRDefault="00000000">
            <w:pPr>
              <w:spacing w:after="40"/>
              <w:rPr>
                <w:rFonts w:hint="eastAsia"/>
              </w:rPr>
            </w:pPr>
            <w:r>
              <w:t>Shipped</w:t>
            </w:r>
          </w:p>
        </w:tc>
      </w:tr>
      <w:tr w:rsidR="00642599" w14:paraId="4152CECB" w14:textId="77777777">
        <w:tc>
          <w:tcPr>
            <w:tcW w:w="4320" w:type="dxa"/>
          </w:tcPr>
          <w:p w14:paraId="18B33E2A" w14:textId="77777777" w:rsidR="00642599" w:rsidRDefault="00000000">
            <w:pPr>
              <w:spacing w:after="40"/>
              <w:rPr>
                <w:rFonts w:hint="eastAsia"/>
              </w:rPr>
            </w:pPr>
            <w:r>
              <w:t>RoPE + GQA + SwiGLU shard implementation (SafeTensors)</w:t>
            </w:r>
          </w:p>
        </w:tc>
        <w:tc>
          <w:tcPr>
            <w:tcW w:w="4320" w:type="dxa"/>
          </w:tcPr>
          <w:p w14:paraId="2F64991E" w14:textId="77777777" w:rsidR="00642599" w:rsidRDefault="00000000">
            <w:pPr>
              <w:spacing w:after="40"/>
              <w:rPr>
                <w:rFonts w:hint="eastAsia"/>
              </w:rPr>
            </w:pPr>
            <w:r>
              <w:t>Shipped</w:t>
            </w:r>
          </w:p>
        </w:tc>
      </w:tr>
      <w:tr w:rsidR="00642599" w14:paraId="6331248C" w14:textId="77777777">
        <w:tc>
          <w:tcPr>
            <w:tcW w:w="4320" w:type="dxa"/>
          </w:tcPr>
          <w:p w14:paraId="20D412BF" w14:textId="77777777" w:rsidR="00642599" w:rsidRDefault="00000000">
            <w:pPr>
              <w:spacing w:after="40"/>
              <w:rPr>
                <w:rFonts w:hint="eastAsia"/>
              </w:rPr>
            </w:pPr>
            <w:r>
              <w:t>Session KV cache (600 s TTL)</w:t>
            </w:r>
          </w:p>
        </w:tc>
        <w:tc>
          <w:tcPr>
            <w:tcW w:w="4320" w:type="dxa"/>
          </w:tcPr>
          <w:p w14:paraId="02DFEA6E" w14:textId="77777777" w:rsidR="00642599" w:rsidRDefault="00000000">
            <w:pPr>
              <w:spacing w:after="40"/>
              <w:rPr>
                <w:rFonts w:hint="eastAsia"/>
              </w:rPr>
            </w:pPr>
            <w:r>
              <w:t>Shipped</w:t>
            </w:r>
          </w:p>
        </w:tc>
      </w:tr>
      <w:tr w:rsidR="00642599" w14:paraId="003F4837" w14:textId="77777777">
        <w:tc>
          <w:tcPr>
            <w:tcW w:w="4320" w:type="dxa"/>
          </w:tcPr>
          <w:p w14:paraId="6F53FD9A" w14:textId="77777777" w:rsidR="00642599" w:rsidRDefault="00000000">
            <w:pPr>
              <w:spacing w:after="40"/>
              <w:rPr>
                <w:rFonts w:hint="eastAsia"/>
              </w:rPr>
            </w:pPr>
            <w:r>
              <w:t>Temperature / top-k / top-p sampling</w:t>
            </w:r>
          </w:p>
        </w:tc>
        <w:tc>
          <w:tcPr>
            <w:tcW w:w="4320" w:type="dxa"/>
          </w:tcPr>
          <w:p w14:paraId="0434FFA0" w14:textId="77777777" w:rsidR="00642599" w:rsidRDefault="00000000">
            <w:pPr>
              <w:spacing w:after="40"/>
              <w:rPr>
                <w:rFonts w:hint="eastAsia"/>
              </w:rPr>
            </w:pPr>
            <w:r>
              <w:t>Shipped</w:t>
            </w:r>
          </w:p>
        </w:tc>
      </w:tr>
      <w:tr w:rsidR="00642599" w14:paraId="03ED1645" w14:textId="77777777">
        <w:tc>
          <w:tcPr>
            <w:tcW w:w="4320" w:type="dxa"/>
          </w:tcPr>
          <w:p w14:paraId="16C2041B" w14:textId="77777777" w:rsidR="00642599" w:rsidRDefault="00000000">
            <w:pPr>
              <w:spacing w:after="40"/>
              <w:rPr>
                <w:rFonts w:hint="eastAsia"/>
              </w:rPr>
            </w:pPr>
            <w:r>
              <w:t>Dynamic gap-filling rebalancer with per-node jitter</w:t>
            </w:r>
          </w:p>
        </w:tc>
        <w:tc>
          <w:tcPr>
            <w:tcW w:w="4320" w:type="dxa"/>
          </w:tcPr>
          <w:p w14:paraId="2C243409" w14:textId="77777777" w:rsidR="00642599" w:rsidRDefault="00000000">
            <w:pPr>
              <w:spacing w:after="40"/>
              <w:rPr>
                <w:rFonts w:hint="eastAsia"/>
              </w:rPr>
            </w:pPr>
            <w:r>
              <w:t>Shipped</w:t>
            </w:r>
          </w:p>
        </w:tc>
      </w:tr>
      <w:tr w:rsidR="00642599" w14:paraId="5667A356" w14:textId="77777777">
        <w:tc>
          <w:tcPr>
            <w:tcW w:w="4320" w:type="dxa"/>
          </w:tcPr>
          <w:p w14:paraId="397C0851" w14:textId="77777777" w:rsidR="00642599" w:rsidRDefault="00000000">
            <w:pPr>
              <w:spacing w:after="40"/>
              <w:rPr>
                <w:rFonts w:hint="eastAsia"/>
              </w:rPr>
            </w:pPr>
            <w:r>
              <w:t>OpenAI-compatible shard API (streaming SSE + non-streaming)</w:t>
            </w:r>
          </w:p>
        </w:tc>
        <w:tc>
          <w:tcPr>
            <w:tcW w:w="4320" w:type="dxa"/>
          </w:tcPr>
          <w:p w14:paraId="6657EE8E" w14:textId="77777777" w:rsidR="00642599" w:rsidRDefault="00000000">
            <w:pPr>
              <w:spacing w:after="40"/>
              <w:rPr>
                <w:rFonts w:hint="eastAsia"/>
              </w:rPr>
            </w:pPr>
            <w:r>
              <w:t>Shipped</w:t>
            </w:r>
          </w:p>
        </w:tc>
      </w:tr>
      <w:tr w:rsidR="00642599" w14:paraId="6BBD28F7" w14:textId="77777777">
        <w:tc>
          <w:tcPr>
            <w:tcW w:w="4320" w:type="dxa"/>
          </w:tcPr>
          <w:p w14:paraId="60F20DB4" w14:textId="77777777" w:rsidR="00642599" w:rsidRDefault="00000000">
            <w:pPr>
              <w:spacing w:after="40"/>
              <w:rPr>
                <w:rFonts w:hint="eastAsia"/>
              </w:rPr>
            </w:pPr>
            <w:r>
              <w:t>HuggingFace snapshot download (kwaainet shard download)</w:t>
            </w:r>
          </w:p>
        </w:tc>
        <w:tc>
          <w:tcPr>
            <w:tcW w:w="4320" w:type="dxa"/>
          </w:tcPr>
          <w:p w14:paraId="4104AF12" w14:textId="77777777" w:rsidR="00642599" w:rsidRDefault="00000000">
            <w:pPr>
              <w:spacing w:after="40"/>
              <w:rPr>
                <w:rFonts w:hint="eastAsia"/>
              </w:rPr>
            </w:pPr>
            <w:r>
              <w:t>Shipped</w:t>
            </w:r>
          </w:p>
        </w:tc>
      </w:tr>
      <w:tr w:rsidR="00642599" w14:paraId="407DBA73" w14:textId="77777777">
        <w:tc>
          <w:tcPr>
            <w:tcW w:w="4320" w:type="dxa"/>
          </w:tcPr>
          <w:p w14:paraId="52D98D5B" w14:textId="77777777" w:rsidR="00642599" w:rsidRDefault="00000000">
            <w:pPr>
              <w:spacing w:after="40"/>
              <w:rPr>
                <w:rFonts w:hint="eastAsia"/>
              </w:rPr>
            </w:pPr>
            <w:r>
              <w:t>VPK DHT advertisement + health polling</w:t>
            </w:r>
          </w:p>
        </w:tc>
        <w:tc>
          <w:tcPr>
            <w:tcW w:w="4320" w:type="dxa"/>
          </w:tcPr>
          <w:p w14:paraId="7F10BF09" w14:textId="77777777" w:rsidR="00642599" w:rsidRDefault="00000000">
            <w:pPr>
              <w:spacing w:after="40"/>
              <w:rPr>
                <w:rFonts w:hint="eastAsia"/>
              </w:rPr>
            </w:pPr>
            <w:r>
              <w:t>Shipped</w:t>
            </w:r>
          </w:p>
        </w:tc>
      </w:tr>
      <w:tr w:rsidR="00642599" w14:paraId="7E8EFC7C" w14:textId="77777777">
        <w:tc>
          <w:tcPr>
            <w:tcW w:w="4320" w:type="dxa"/>
          </w:tcPr>
          <w:p w14:paraId="3266A31F" w14:textId="77777777" w:rsidR="00642599" w:rsidRDefault="00000000">
            <w:pPr>
              <w:spacing w:after="40"/>
              <w:rPr>
                <w:rFonts w:hint="eastAsia"/>
              </w:rPr>
            </w:pPr>
            <w:r>
              <w:t>VPK node discovery (kwaainet vpk discover)</w:t>
            </w:r>
          </w:p>
        </w:tc>
        <w:tc>
          <w:tcPr>
            <w:tcW w:w="4320" w:type="dxa"/>
          </w:tcPr>
          <w:p w14:paraId="268CB1D5" w14:textId="77777777" w:rsidR="00642599" w:rsidRDefault="00000000">
            <w:pPr>
              <w:spacing w:after="40"/>
              <w:rPr>
                <w:rFonts w:hint="eastAsia"/>
              </w:rPr>
            </w:pPr>
            <w:r>
              <w:t>Shipped</w:t>
            </w:r>
          </w:p>
        </w:tc>
      </w:tr>
      <w:tr w:rsidR="00642599" w14:paraId="7CE97BE3" w14:textId="77777777">
        <w:tc>
          <w:tcPr>
            <w:tcW w:w="4320" w:type="dxa"/>
          </w:tcPr>
          <w:p w14:paraId="4E792585" w14:textId="77777777" w:rsidR="00642599" w:rsidRDefault="00000000">
            <w:pPr>
              <w:spacing w:after="40"/>
              <w:rPr>
                <w:rFonts w:hint="eastAsia"/>
              </w:rPr>
            </w:pPr>
            <w:r>
              <w:t>EigenTrust peer-graph propagation</w:t>
            </w:r>
          </w:p>
        </w:tc>
        <w:tc>
          <w:tcPr>
            <w:tcW w:w="4320" w:type="dxa"/>
          </w:tcPr>
          <w:p w14:paraId="18A13E8E" w14:textId="77777777" w:rsidR="00642599" w:rsidRDefault="00000000">
            <w:pPr>
              <w:spacing w:after="40"/>
              <w:rPr>
                <w:rFonts w:hint="eastAsia"/>
              </w:rPr>
            </w:pPr>
            <w:r>
              <w:t>Phase 4</w:t>
            </w:r>
          </w:p>
        </w:tc>
      </w:tr>
      <w:tr w:rsidR="00642599" w14:paraId="703282CA" w14:textId="77777777">
        <w:tc>
          <w:tcPr>
            <w:tcW w:w="4320" w:type="dxa"/>
          </w:tcPr>
          <w:p w14:paraId="2442BD69" w14:textId="77777777" w:rsidR="00642599" w:rsidRDefault="00000000">
            <w:pPr>
              <w:spacing w:after="40"/>
              <w:rPr>
                <w:rFonts w:hint="eastAsia"/>
              </w:rPr>
            </w:pPr>
            <w:r>
              <w:t>Cross-node VPK Eve shard placement</w:t>
            </w:r>
          </w:p>
        </w:tc>
        <w:tc>
          <w:tcPr>
            <w:tcW w:w="4320" w:type="dxa"/>
          </w:tcPr>
          <w:p w14:paraId="2F69280F" w14:textId="77777777" w:rsidR="00642599" w:rsidRDefault="00000000">
            <w:pPr>
              <w:spacing w:after="40"/>
              <w:rPr>
                <w:rFonts w:hint="eastAsia"/>
              </w:rPr>
            </w:pPr>
            <w:r>
              <w:t>Phase 2</w:t>
            </w:r>
          </w:p>
        </w:tc>
      </w:tr>
      <w:tr w:rsidR="00642599" w14:paraId="3ED98F64" w14:textId="77777777">
        <w:tc>
          <w:tcPr>
            <w:tcW w:w="4320" w:type="dxa"/>
          </w:tcPr>
          <w:p w14:paraId="5CD07A30" w14:textId="77777777" w:rsidR="00642599" w:rsidRDefault="00000000">
            <w:pPr>
              <w:spacing w:after="40"/>
              <w:rPr>
                <w:rFonts w:hint="eastAsia"/>
              </w:rPr>
            </w:pPr>
            <w:r>
              <w:t>DHT-backed VPK KB resolution</w:t>
            </w:r>
          </w:p>
        </w:tc>
        <w:tc>
          <w:tcPr>
            <w:tcW w:w="4320" w:type="dxa"/>
          </w:tcPr>
          <w:p w14:paraId="44EC788D" w14:textId="77777777" w:rsidR="00642599" w:rsidRDefault="00000000">
            <w:pPr>
              <w:spacing w:after="40"/>
              <w:rPr>
                <w:rFonts w:hint="eastAsia"/>
              </w:rPr>
            </w:pPr>
            <w:r>
              <w:t>Phase 3</w:t>
            </w:r>
          </w:p>
        </w:tc>
      </w:tr>
      <w:tr w:rsidR="00642599" w14:paraId="5FE640FA" w14:textId="77777777">
        <w:tc>
          <w:tcPr>
            <w:tcW w:w="4320" w:type="dxa"/>
          </w:tcPr>
          <w:p w14:paraId="3B5EC4D2" w14:textId="77777777" w:rsidR="00642599" w:rsidRDefault="00000000">
            <w:pPr>
              <w:spacing w:after="40"/>
              <w:rPr>
                <w:rFonts w:hint="eastAsia"/>
              </w:rPr>
            </w:pPr>
            <w:r>
              <w:lastRenderedPageBreak/>
              <w:t>Confidential-computing enclave support for inference</w:t>
            </w:r>
          </w:p>
        </w:tc>
        <w:tc>
          <w:tcPr>
            <w:tcW w:w="4320" w:type="dxa"/>
          </w:tcPr>
          <w:p w14:paraId="3DB18FCB" w14:textId="77777777" w:rsidR="00642599" w:rsidRDefault="00000000">
            <w:pPr>
              <w:spacing w:after="40"/>
              <w:rPr>
                <w:rFonts w:hint="eastAsia"/>
              </w:rPr>
            </w:pPr>
            <w:r>
              <w:t>Research</w:t>
            </w:r>
          </w:p>
        </w:tc>
      </w:tr>
      <w:tr w:rsidR="00642599" w14:paraId="2EE69D3E" w14:textId="77777777">
        <w:tc>
          <w:tcPr>
            <w:tcW w:w="4320" w:type="dxa"/>
          </w:tcPr>
          <w:p w14:paraId="1F5795AF" w14:textId="77777777" w:rsidR="00642599" w:rsidRDefault="00000000">
            <w:pPr>
              <w:spacing w:after="40"/>
              <w:rPr>
                <w:rFonts w:hint="eastAsia"/>
              </w:rPr>
            </w:pPr>
            <w:r>
              <w:t>Signed DHT records</w:t>
            </w:r>
          </w:p>
        </w:tc>
        <w:tc>
          <w:tcPr>
            <w:tcW w:w="4320" w:type="dxa"/>
          </w:tcPr>
          <w:p w14:paraId="7E160C66" w14:textId="77777777" w:rsidR="00642599" w:rsidRDefault="00000000">
            <w:pPr>
              <w:spacing w:after="40"/>
              <w:rPr>
                <w:rFonts w:hint="eastAsia"/>
              </w:rPr>
            </w:pPr>
            <w:r>
              <w:t>Research</w:t>
            </w:r>
          </w:p>
        </w:tc>
      </w:tr>
      <w:tr w:rsidR="00642599" w14:paraId="5E4A8031" w14:textId="77777777">
        <w:tc>
          <w:tcPr>
            <w:tcW w:w="4320" w:type="dxa"/>
          </w:tcPr>
          <w:p w14:paraId="602B147C" w14:textId="77777777" w:rsidR="00642599" w:rsidRDefault="00000000">
            <w:pPr>
              <w:spacing w:after="40"/>
              <w:rPr>
                <w:rFonts w:hint="eastAsia"/>
              </w:rPr>
            </w:pPr>
            <w:r>
              <w:t>Homomorphic encryption backend</w:t>
            </w:r>
          </w:p>
        </w:tc>
        <w:tc>
          <w:tcPr>
            <w:tcW w:w="4320" w:type="dxa"/>
          </w:tcPr>
          <w:p w14:paraId="6FBDC564" w14:textId="77777777" w:rsidR="00642599" w:rsidRDefault="00000000">
            <w:pPr>
              <w:spacing w:after="40"/>
              <w:rPr>
                <w:rFonts w:hint="eastAsia"/>
              </w:rPr>
            </w:pPr>
            <w:r>
              <w:t>Research</w:t>
            </w:r>
          </w:p>
        </w:tc>
      </w:tr>
    </w:tbl>
    <w:p w14:paraId="6B24C32C" w14:textId="77777777" w:rsidR="00642599" w:rsidRDefault="00000000">
      <w:pPr>
        <w:pStyle w:val="Heading1"/>
      </w:pPr>
      <w:r>
        <w:t>9. Conclusion</w:t>
      </w:r>
    </w:p>
    <w:p w14:paraId="7C6053FC" w14:textId="77777777" w:rsidR="00642599" w:rsidRDefault="00000000">
      <w:pPr>
        <w:spacing w:after="120"/>
        <w:rPr>
          <w:rFonts w:hint="eastAsia"/>
        </w:rPr>
      </w:pPr>
      <w:r>
        <w:t>KwaaiNet is not a research prototype of decentralized AI — it is a working system running on commodity hardware today. Its defining architectural commitment is to treat trust as infrastructure rather than policy: every node has a verifiable identity, every claim about uptime or throughput is a signed credential, and every scheduling and placement decision is computed locally from first principles rather than delegated to a central authority.</w:t>
      </w:r>
    </w:p>
    <w:p w14:paraId="1682E50F" w14:textId="77777777" w:rsidR="00642599" w:rsidRDefault="00000000">
      <w:pPr>
        <w:spacing w:after="120"/>
        <w:rPr>
          <w:rFonts w:hint="eastAsia"/>
        </w:rPr>
      </w:pPr>
      <w:r>
        <w:t>The encrypted storage and inference pipelines are deliberately incremental. The current system already separates activation tensors from plaintext prompts at intermediate shard nodes, and stores knowledge bases encrypted at rest with strict tenant isolation. The path to full end-to-end confidentiality — homomorphic encrypted vector search, confidential-computing inference enclaves, and EigenTrust-grounded Sybil resistance — is well-defined and laid on a foundation that is already running at scale.</w:t>
      </w:r>
    </w:p>
    <w:p w14:paraId="369A2354" w14:textId="77777777" w:rsidR="00642599" w:rsidRDefault="00000000">
      <w:pPr>
        <w:spacing w:after="120"/>
        <w:rPr>
          <w:rFonts w:hint="eastAsia"/>
        </w:rPr>
      </w:pPr>
      <w:r>
        <w:t>KwaaiNet is open-source, developed by a nonprofit AI lab, and designed to run on hardware already owned by individuals, communities, and institutions. It is intended to remain that way.</w:t>
      </w:r>
    </w:p>
    <w:p w14:paraId="524A0DCE" w14:textId="77777777" w:rsidR="00642599" w:rsidRDefault="00000000">
      <w:pPr>
        <w:pStyle w:val="Heading1"/>
      </w:pPr>
      <w:r>
        <w:t>References</w:t>
      </w:r>
    </w:p>
    <w:p w14:paraId="7E006BD4" w14:textId="77777777" w:rsidR="00642599" w:rsidRDefault="00000000">
      <w:pPr>
        <w:spacing w:after="60"/>
        <w:ind w:left="432"/>
        <w:rPr>
          <w:rFonts w:hint="eastAsia"/>
        </w:rPr>
      </w:pPr>
      <w:r>
        <w:rPr>
          <w:sz w:val="19"/>
        </w:rPr>
        <w:t>[1]  A. Borzunov et al., "Petals: Collaborative Inference and Fine-tuning of Large Models," ACL 2023.</w:t>
      </w:r>
    </w:p>
    <w:p w14:paraId="7135959B" w14:textId="77777777" w:rsidR="00642599" w:rsidRDefault="00000000">
      <w:pPr>
        <w:spacing w:after="60"/>
        <w:ind w:left="432"/>
        <w:rPr>
          <w:rFonts w:hint="eastAsia"/>
        </w:rPr>
      </w:pPr>
      <w:r>
        <w:rPr>
          <w:sz w:val="19"/>
        </w:rPr>
        <w:t>[2]  B. McMahan et al., "Communication-Efficient Learning of Deep Networks from Decentralized Data," AISTATS 2017.</w:t>
      </w:r>
    </w:p>
    <w:p w14:paraId="2FB9433C" w14:textId="77777777" w:rsidR="00642599" w:rsidRDefault="00000000">
      <w:pPr>
        <w:spacing w:after="60"/>
        <w:ind w:left="432"/>
        <w:rPr>
          <w:rFonts w:hint="eastAsia"/>
        </w:rPr>
      </w:pPr>
      <w:r>
        <w:rPr>
          <w:sz w:val="19"/>
        </w:rPr>
        <w:t>[3]  A. C. Yao, "Protocols for Secure Computations," FOCS 1982.</w:t>
      </w:r>
    </w:p>
    <w:p w14:paraId="71552C3C" w14:textId="77777777" w:rsidR="00642599" w:rsidRDefault="00000000">
      <w:pPr>
        <w:spacing w:after="60"/>
        <w:ind w:left="432"/>
        <w:rPr>
          <w:rFonts w:hint="eastAsia"/>
        </w:rPr>
      </w:pPr>
      <w:r>
        <w:rPr>
          <w:sz w:val="19"/>
        </w:rPr>
        <w:t>[4]  C. Gentry, "A Fully Homomorphic Encryption Scheme," Ph.D. dissertation, Stanford University, 2009.</w:t>
      </w:r>
    </w:p>
    <w:p w14:paraId="6B8EF906" w14:textId="77777777" w:rsidR="00642599" w:rsidRDefault="00000000">
      <w:pPr>
        <w:spacing w:after="60"/>
        <w:ind w:left="432"/>
        <w:rPr>
          <w:rFonts w:hint="eastAsia"/>
        </w:rPr>
      </w:pPr>
      <w:r>
        <w:rPr>
          <w:sz w:val="19"/>
        </w:rPr>
        <w:t>[5]  M. Riabinin and E. Gusev, "Towards Crowdsourced Training of Large Neural Networks using Decentralized Mixture-of-Experts," NeurIPS 2021.</w:t>
      </w:r>
    </w:p>
    <w:p w14:paraId="66F4455A" w14:textId="77777777" w:rsidR="00642599" w:rsidRDefault="00000000">
      <w:pPr>
        <w:spacing w:after="60"/>
        <w:ind w:left="432"/>
        <w:rPr>
          <w:rFonts w:hint="eastAsia"/>
        </w:rPr>
      </w:pPr>
      <w:r>
        <w:rPr>
          <w:sz w:val="19"/>
        </w:rPr>
        <w:t>[6]  D. J. Bernstein et al., "High-speed high-security signatures," CHES 2011.</w:t>
      </w:r>
    </w:p>
    <w:p w14:paraId="4415765F" w14:textId="77777777" w:rsidR="00642599" w:rsidRDefault="00000000">
      <w:pPr>
        <w:spacing w:after="60"/>
        <w:ind w:left="432"/>
        <w:rPr>
          <w:rFonts w:hint="eastAsia"/>
        </w:rPr>
      </w:pPr>
      <w:r>
        <w:rPr>
          <w:sz w:val="19"/>
        </w:rPr>
        <w:t>[7]  D. R. L. Brown, "SEC 2: Recommended Elliptic Curve Domain Parameters," Certicom Research, 2010.</w:t>
      </w:r>
    </w:p>
    <w:p w14:paraId="066AEAD7" w14:textId="77777777" w:rsidR="00642599" w:rsidRDefault="00000000">
      <w:pPr>
        <w:spacing w:after="60"/>
        <w:ind w:left="432"/>
        <w:rPr>
          <w:rFonts w:hint="eastAsia"/>
        </w:rPr>
      </w:pPr>
      <w:r>
        <w:rPr>
          <w:sz w:val="19"/>
        </w:rPr>
        <w:t>[8]  Protocol Labs, "libp2p: A Modular, p2p Networking Stack," https://libp2p.io, 2019.</w:t>
      </w:r>
    </w:p>
    <w:p w14:paraId="4EBFE2CA" w14:textId="77777777" w:rsidR="00642599" w:rsidRDefault="00000000">
      <w:pPr>
        <w:spacing w:after="60"/>
        <w:ind w:left="432"/>
        <w:rPr>
          <w:rFonts w:hint="eastAsia"/>
        </w:rPr>
      </w:pPr>
      <w:r>
        <w:rPr>
          <w:sz w:val="19"/>
        </w:rPr>
        <w:t>[9]  P. Maymounkov and D. Mazières, "Kademlia: A Peer-to-peer Information System Based on the XOR Metric," IPTPS 2002.</w:t>
      </w:r>
    </w:p>
    <w:p w14:paraId="326C516D" w14:textId="77777777" w:rsidR="00642599" w:rsidRDefault="00000000">
      <w:pPr>
        <w:spacing w:after="60"/>
        <w:ind w:left="432"/>
        <w:rPr>
          <w:rFonts w:hint="eastAsia"/>
        </w:rPr>
      </w:pPr>
      <w:r>
        <w:rPr>
          <w:sz w:val="19"/>
        </w:rPr>
        <w:t>[10] M. Sporny et al., "Decentralized Identifiers (DIDs) v1.0," W3C Recommendation, July 2022.</w:t>
      </w:r>
    </w:p>
    <w:p w14:paraId="007C879C" w14:textId="77777777" w:rsidR="00642599" w:rsidRDefault="00000000">
      <w:pPr>
        <w:spacing w:after="60"/>
        <w:ind w:left="432"/>
        <w:rPr>
          <w:rFonts w:hint="eastAsia"/>
        </w:rPr>
      </w:pPr>
      <w:r>
        <w:rPr>
          <w:sz w:val="19"/>
        </w:rPr>
        <w:lastRenderedPageBreak/>
        <w:t>[11] M. Sporny et al., "Verifiable Credentials Data Model v1.1," W3C Recommendation, March 2022.</w:t>
      </w:r>
    </w:p>
    <w:p w14:paraId="446B2A50" w14:textId="77777777" w:rsidR="00642599" w:rsidRDefault="00000000">
      <w:pPr>
        <w:spacing w:after="60"/>
        <w:ind w:left="432"/>
        <w:rPr>
          <w:rFonts w:hint="eastAsia"/>
        </w:rPr>
      </w:pPr>
      <w:r>
        <w:rPr>
          <w:sz w:val="19"/>
        </w:rPr>
        <w:t>[12] L. Page et al., "The PageRank Citation Ranking: Bringing Order to the Web," Stanford InfoLab, 1999.</w:t>
      </w:r>
    </w:p>
    <w:p w14:paraId="5E431335" w14:textId="77777777" w:rsidR="00642599" w:rsidRDefault="00000000">
      <w:pPr>
        <w:spacing w:after="60"/>
        <w:ind w:left="432"/>
        <w:rPr>
          <w:rFonts w:hint="eastAsia"/>
        </w:rPr>
      </w:pPr>
      <w:r>
        <w:rPr>
          <w:sz w:val="19"/>
        </w:rPr>
        <w:t>[13] S. D. Kamvar et al., "The EigenTrust Algorithm for Reputation Management in P2P Networks," WWW 2003.</w:t>
      </w:r>
    </w:p>
    <w:p w14:paraId="4E44BCE2" w14:textId="77777777" w:rsidR="00642599" w:rsidRDefault="00000000">
      <w:pPr>
        <w:spacing w:after="60"/>
        <w:ind w:left="432"/>
        <w:rPr>
          <w:rFonts w:hint="eastAsia"/>
        </w:rPr>
      </w:pPr>
      <w:r>
        <w:rPr>
          <w:sz w:val="19"/>
        </w:rPr>
        <w:t>[14] HuggingFace, "SafeTensors," https://github.com/huggingface/safetensors, 2022.</w:t>
      </w:r>
    </w:p>
    <w:p w14:paraId="3E0F01C5" w14:textId="77777777" w:rsidR="00642599" w:rsidRDefault="00000000">
      <w:pPr>
        <w:spacing w:after="60"/>
        <w:ind w:left="432"/>
        <w:rPr>
          <w:rFonts w:hint="eastAsia"/>
        </w:rPr>
      </w:pPr>
      <w:r>
        <w:rPr>
          <w:sz w:val="19"/>
        </w:rPr>
        <w:t>[15] B. Schmidt, "GGUF: GPT-Generated Unified Format," llama.cpp project, 2023.</w:t>
      </w:r>
    </w:p>
    <w:p w14:paraId="60C3A9F9" w14:textId="77777777" w:rsidR="00642599" w:rsidRDefault="00000000">
      <w:pPr>
        <w:spacing w:after="60"/>
        <w:ind w:left="432"/>
        <w:rPr>
          <w:rFonts w:hint="eastAsia"/>
        </w:rPr>
      </w:pPr>
      <w:r>
        <w:rPr>
          <w:sz w:val="19"/>
        </w:rPr>
        <w:t>[16] H. Touvron et al., "Llama 2: Open Foundation and Fine-Tuned Chat Models," arXiv:2307.09288, 2023.</w:t>
      </w:r>
    </w:p>
    <w:p w14:paraId="4D5C9344" w14:textId="77777777" w:rsidR="00642599" w:rsidRDefault="00000000">
      <w:pPr>
        <w:spacing w:after="60"/>
        <w:ind w:left="432"/>
        <w:rPr>
          <w:rFonts w:hint="eastAsia"/>
        </w:rPr>
      </w:pPr>
      <w:r>
        <w:rPr>
          <w:sz w:val="19"/>
        </w:rPr>
        <w:t>[17] J. Su et al., "RoFormer: Enhanced Transformer with Rotary Position Embedding," Neurocomputing, 2024.</w:t>
      </w:r>
    </w:p>
    <w:p w14:paraId="738A816D" w14:textId="77777777" w:rsidR="00642599" w:rsidRDefault="00000000">
      <w:pPr>
        <w:spacing w:after="60"/>
        <w:ind w:left="432"/>
        <w:rPr>
          <w:rFonts w:hint="eastAsia"/>
        </w:rPr>
      </w:pPr>
      <w:r>
        <w:rPr>
          <w:sz w:val="19"/>
        </w:rPr>
        <w:t>[18] J. Ainslie et al., "GQA: Training Generalized Multi-Query Transformer Models," EMNLP 2023.</w:t>
      </w:r>
    </w:p>
    <w:p w14:paraId="239417C1" w14:textId="77777777" w:rsidR="00642599" w:rsidRDefault="00000000">
      <w:pPr>
        <w:spacing w:after="60"/>
        <w:ind w:left="432"/>
        <w:rPr>
          <w:rFonts w:hint="eastAsia"/>
        </w:rPr>
      </w:pPr>
      <w:r>
        <w:rPr>
          <w:sz w:val="19"/>
        </w:rPr>
        <w:t>[19] N. Shazeer, "GLU Variants Improve Transformer," arXiv:2002.05202, 2020.</w:t>
      </w:r>
    </w:p>
    <w:p w14:paraId="036002D6" w14:textId="77777777" w:rsidR="00642599" w:rsidRDefault="00000000">
      <w:pPr>
        <w:spacing w:after="60"/>
        <w:ind w:left="432"/>
        <w:rPr>
          <w:rFonts w:hint="eastAsia"/>
        </w:rPr>
      </w:pPr>
      <w:r>
        <w:rPr>
          <w:sz w:val="19"/>
        </w:rPr>
        <w:t>[20] HuggingFace, "Candle: A Minimalist ML Framework for Rust," https://github.com/huggingface/candle, 2023.</w:t>
      </w:r>
    </w:p>
    <w:p w14:paraId="1559764E" w14:textId="77777777" w:rsidR="00642599" w:rsidRDefault="00000000">
      <w:pPr>
        <w:spacing w:after="60"/>
        <w:ind w:left="432"/>
        <w:rPr>
          <w:rFonts w:hint="eastAsia"/>
        </w:rPr>
      </w:pPr>
      <w:r>
        <w:rPr>
          <w:sz w:val="19"/>
        </w:rPr>
        <w:t>[21] S. Furuhashi, "MessagePack," https://msgpack.org, 2008.</w:t>
      </w:r>
    </w:p>
    <w:p w14:paraId="241C4868" w14:textId="77777777" w:rsidR="00642599" w:rsidRDefault="00000000">
      <w:pPr>
        <w:spacing w:after="60"/>
        <w:ind w:left="432"/>
        <w:rPr>
          <w:rFonts w:hint="eastAsia"/>
        </w:rPr>
      </w:pPr>
      <w:r>
        <w:rPr>
          <w:sz w:val="19"/>
        </w:rPr>
        <w:t>[22] IEEE, "IEEE Standard for Floating-Point Arithmetic," IEEE Std 754-2019, 2019.</w:t>
      </w:r>
    </w:p>
    <w:p w14:paraId="6C128EDA" w14:textId="77777777" w:rsidR="00642599" w:rsidRDefault="00000000">
      <w:pPr>
        <w:spacing w:after="60"/>
        <w:ind w:left="432"/>
        <w:rPr>
          <w:rFonts w:hint="eastAsia"/>
        </w:rPr>
      </w:pPr>
      <w:r>
        <w:rPr>
          <w:sz w:val="19"/>
        </w:rPr>
        <w:t>[23] M. Castro et al., "Exploiting Network Proximity in Distributed Hash Tables," IPTPS 2002.</w:t>
      </w:r>
    </w:p>
    <w:p w14:paraId="1EFF2F91" w14:textId="77777777" w:rsidR="00642599" w:rsidRDefault="00000000">
      <w:pPr>
        <w:spacing w:after="60"/>
        <w:ind w:left="432"/>
        <w:rPr>
          <w:rFonts w:hint="eastAsia"/>
        </w:rPr>
      </w:pPr>
      <w:r>
        <w:rPr>
          <w:sz w:val="19"/>
        </w:rPr>
        <w:t>[24] A. Holtzman et al., "The Curious Case of Neural Text Degeneration," ICLR 2020.</w:t>
      </w:r>
    </w:p>
    <w:p w14:paraId="3ED09695" w14:textId="77777777" w:rsidR="00642599" w:rsidRDefault="00000000">
      <w:pPr>
        <w:spacing w:after="60"/>
        <w:ind w:left="432"/>
        <w:rPr>
          <w:rFonts w:hint="eastAsia"/>
        </w:rPr>
      </w:pPr>
      <w:r>
        <w:rPr>
          <w:sz w:val="19"/>
        </w:rPr>
        <w:t>[25] J. Morris et al., "Text Embeddings Reveal (Almost) As Much As Text," EMNLP 2023.</w:t>
      </w:r>
    </w:p>
    <w:p w14:paraId="632DA1DA" w14:textId="77777777" w:rsidR="00642599" w:rsidRDefault="00000000">
      <w:pPr>
        <w:spacing w:after="60"/>
        <w:ind w:left="432"/>
        <w:rPr>
          <w:rFonts w:hint="eastAsia"/>
        </w:rPr>
      </w:pPr>
      <w:r>
        <w:rPr>
          <w:sz w:val="19"/>
        </w:rPr>
        <w:t>[26] Z. Brakerski and V. Vaikuntanathan, "Fully Homomorphic Encryption from Ring-LWE," CRYPTO 2011.</w:t>
      </w:r>
    </w:p>
    <w:p w14:paraId="68A70C39" w14:textId="77777777" w:rsidR="00642599" w:rsidRDefault="00000000">
      <w:pPr>
        <w:spacing w:after="60"/>
        <w:ind w:left="432"/>
        <w:rPr>
          <w:rFonts w:hint="eastAsia"/>
        </w:rPr>
      </w:pPr>
      <w:r>
        <w:rPr>
          <w:sz w:val="19"/>
        </w:rPr>
        <w:t>[27] W.-J. Lu et al., "PEGASUS: Bridging Polynomial and Non-polynomial Evaluations in HE," S&amp;P 2021.</w:t>
      </w:r>
    </w:p>
    <w:p w14:paraId="6B8CD35A" w14:textId="77777777" w:rsidR="00642599" w:rsidRDefault="00000000">
      <w:pPr>
        <w:spacing w:after="60"/>
        <w:ind w:left="432"/>
        <w:rPr>
          <w:rFonts w:hint="eastAsia"/>
        </w:rPr>
      </w:pPr>
      <w:r>
        <w:rPr>
          <w:sz w:val="19"/>
        </w:rPr>
        <w:t>[28] NVIDIA, "cuVS: GPU-Accelerated Vector Search," https://github.com/rapidsai/cuvs, 2024.</w:t>
      </w:r>
    </w:p>
    <w:p w14:paraId="14950C13" w14:textId="77777777" w:rsidR="00642599" w:rsidRDefault="00000000">
      <w:pPr>
        <w:spacing w:after="60"/>
        <w:ind w:left="432"/>
        <w:rPr>
          <w:rFonts w:hint="eastAsia"/>
        </w:rPr>
      </w:pPr>
      <w:r>
        <w:rPr>
          <w:sz w:val="19"/>
        </w:rPr>
        <w:t>[29] T. Perrin, "The Noise Protocol Framework," https://noiseprotocol.org, 2018.</w:t>
      </w:r>
    </w:p>
    <w:p w14:paraId="34FCE96E" w14:textId="77777777" w:rsidR="00642599" w:rsidRDefault="00642599">
      <w:pPr>
        <w:rPr>
          <w:rFonts w:hint="eastAsia"/>
        </w:rPr>
      </w:pPr>
    </w:p>
    <w:p w14:paraId="6593E119" w14:textId="77777777" w:rsidR="00642599" w:rsidRDefault="00000000">
      <w:pPr>
        <w:jc w:val="center"/>
        <w:rPr>
          <w:rFonts w:hint="eastAsia"/>
        </w:rPr>
      </w:pPr>
      <w:r>
        <w:rPr>
          <w:color w:val="787878"/>
          <w:sz w:val="18"/>
        </w:rPr>
        <w:t>Source: github.com/Kwaai-AI-Lab/KwaaiNet  |  License: Apache 2.0  |  Kwaai Foundation</w:t>
      </w:r>
    </w:p>
    <w:sectPr w:rsidR="00642599"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31121">
    <w:abstractNumId w:val="8"/>
  </w:num>
  <w:num w:numId="2" w16cid:durableId="1724061263">
    <w:abstractNumId w:val="6"/>
  </w:num>
  <w:num w:numId="3" w16cid:durableId="59328585">
    <w:abstractNumId w:val="5"/>
  </w:num>
  <w:num w:numId="4" w16cid:durableId="259678806">
    <w:abstractNumId w:val="4"/>
  </w:num>
  <w:num w:numId="5" w16cid:durableId="1152213104">
    <w:abstractNumId w:val="7"/>
  </w:num>
  <w:num w:numId="6" w16cid:durableId="266154614">
    <w:abstractNumId w:val="3"/>
  </w:num>
  <w:num w:numId="7" w16cid:durableId="354162402">
    <w:abstractNumId w:val="2"/>
  </w:num>
  <w:num w:numId="8" w16cid:durableId="71850794">
    <w:abstractNumId w:val="1"/>
  </w:num>
  <w:num w:numId="9" w16cid:durableId="132889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599"/>
    <w:rsid w:val="00AA1D8D"/>
    <w:rsid w:val="00AF50C5"/>
    <w:rsid w:val="00B47730"/>
    <w:rsid w:val="00CB0664"/>
    <w:rsid w:val="00EA31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BFB7F"/>
  <w14:defaultImageDpi w14:val="300"/>
  <w15:docId w15:val="{3A929DE5-107E-F147-8E20-E7BBC6F19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1E1E1E"/>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282828"/>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3C3C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hd w:val="clear" w:color="auto" w:fill="F2F2F2"/>
      <w:spacing w:before="80" w:after="80"/>
      <w:ind w:left="576"/>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3803</Words>
  <Characters>24003</Characters>
  <Application>Microsoft Office Word</Application>
  <DocSecurity>0</DocSecurity>
  <Lines>510</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Reza Rassool</cp:lastModifiedBy>
  <cp:revision>2</cp:revision>
  <dcterms:created xsi:type="dcterms:W3CDTF">2013-12-23T23:15:00Z</dcterms:created>
  <dcterms:modified xsi:type="dcterms:W3CDTF">2026-03-12T21:53:00Z</dcterms:modified>
  <cp:category/>
</cp:coreProperties>
</file>