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andoutTitle"/>
        <w:snapToGrid w:val="0"/>
        <w:spacing w:before="0" w:after="80" w:line="240" w:lineRule="auto"/>
        <w:jc w:val="center"/>
        <w:keepNext/>
        <w:keepLines/>
        <w:rPr>
          <w:sz w:val="48"/>
          <w:szCs w:val="48"/>
        </w:rPr>
      </w:pPr>
      <w:r>
        <w:rPr>
          <w:rFonts w:hint="eastAsia"/>
          <w:color w:val="auto"/>
          <w:sz w:val="48"/>
          <w:szCs w:val="48"/>
          <w:lang w:val="en-US" w:eastAsia="zh-CN"/>
          <w:b/>
          <w:bCs/>
        </w:rPr>
        <w:t>What counts as investment?</w:t>
      </w:r>
    </w:p>
    <w:p>
      <w:pPr>
        <w:pStyle w:val="Heading1"/>
        <w:snapToGrid w:val="0"/>
        <w:spacing w:before="180" w:after="120" w:line="240" w:lineRule="auto"/>
        <w:keepNext/>
        <w:keepLines/>
        <w:rPr>
          <w:sz w:val="32"/>
          <w:szCs w:val="32"/>
        </w:rPr>
      </w:pPr>
      <w:r>
        <w:rPr>
          <w:rFonts w:hint="eastAsia"/>
          <w:color w:val="auto"/>
          <w:sz w:val="32"/>
          <w:szCs w:val="32"/>
          <w:lang w:val="en-US" w:eastAsia="zh-CN"/>
          <w:b/>
          <w:bCs/>
        </w:rPr>
        <w:t>Definitions</w:t>
      </w:r>
    </w:p>
    <w:p>
      <w:pPr>
        <w:pStyle w:val="SmallNote"/>
        <w:snapToGrid w:val="0"/>
        <w:spacing w:before="0" w:after="70" w:line="220" w:lineRule="auto"/>
        <w:keepNext/>
        <w:keepLines/>
        <w:rPr>
          <w:sz w:val="19"/>
          <w:szCs w:val="19"/>
        </w:rPr>
      </w:pPr>
      <w:r>
        <w:rPr>
          <w:rFonts w:hint="eastAsia"/>
          <w:color w:val="auto"/>
          <w:sz w:val="19"/>
          <w:szCs w:val="19"/>
          <w:lang w:val="en-US" w:eastAsia="zh-CN"/>
        </w:rPr>
        <w:t>Complete each missing key term. / 填写每个缺失的关键词。</w:t>
      </w:r>
    </w:p>
    <w:p>
      <w:pPr>
        <w:pStyle w:val="DefinitionTerm"/>
        <w:snapToGrid w:val="0"/>
        <w:spacing w:before="70" w:after="35" w:line="240" w:lineRule="auto"/>
        <w:keepNext/>
        <w:keepLines/>
        <w:rPr>
          <w:sz w:val="24"/>
          <w:szCs w:val="24"/>
        </w:rPr>
      </w:pPr>
      <w:r>
        <w:rPr>
          <w:rFonts w:hint="eastAsia"/>
          <w:color w:val="auto"/>
          <w:sz w:val="24"/>
          <w:szCs w:val="24"/>
          <w:lang w:val="en-US" w:eastAsia="zh-CN"/>
          <w:b/>
          <w:bCs/>
        </w:rPr>
        <w:t>Investment  |  投资</w:t>
      </w:r>
    </w:p>
    <w:p>
      <w:pPr>
        <w:pStyle w:val="DefinitionBody"/>
        <w:snapToGrid w:val="0"/>
        <w:spacing w:before="0" w:after="40" w:line="260" w:lineRule="auto"/>
        <w:keepLines/>
        <w:rPr>
          <w:sz w:val="20"/>
          <w:szCs w:val="20"/>
        </w:rPr>
      </w:pPr>
      <w:r>
        <w:rPr>
          <w:rFonts w:hint="eastAsia"/>
          <w:color w:val="auto"/>
          <w:sz w:val="20"/>
          <w:szCs w:val="20"/>
          <w:lang w:val="en-US" w:eastAsia="zh-CN"/>
        </w:rPr>
        <w:t xml:space="preserve">Investment is committing money to an asset because its </w:t>
      </w:r>
      <w:r>
        <w:rPr>
          <w:rFonts w:hint="eastAsia"/>
          <w:color w:val="auto"/>
          <w:sz w:val="20"/>
          <w:szCs w:val="20"/>
          <w:lang w:val="en-US" w:eastAsia="zh-CN"/>
          <w:u w:val="single"/>
        </w:rPr>
        <w:t xml:space="preserve">                  </w:t>
      </w:r>
      <w:r>
        <w:rPr>
          <w:rFonts w:hint="eastAsia"/>
          <w:color w:val="auto"/>
          <w:sz w:val="20"/>
          <w:szCs w:val="20"/>
          <w:lang w:val="en-US" w:eastAsia="zh-CN"/>
        </w:rPr>
        <w:t>, productive use or evidence-supported change in underlying value is expected to generate a return, while accepting possible loss.</w:t>
      </w:r>
    </w:p>
    <w:p>
      <w:pPr>
        <w:pStyle w:val="SmallNote"/>
        <w:snapToGrid w:val="0"/>
        <w:spacing w:before="0" w:after="55" w:line="250" w:lineRule="auto"/>
        <w:keepLines/>
        <w:rPr>
          <w:sz w:val="19"/>
          <w:szCs w:val="19"/>
        </w:rPr>
      </w:pPr>
      <w:r>
        <w:rPr>
          <w:rFonts w:hint="eastAsia"/>
          <w:color w:val="auto"/>
          <w:sz w:val="19"/>
          <w:szCs w:val="19"/>
          <w:lang w:val="en-US" w:eastAsia="zh-CN"/>
        </w:rPr>
        <w:t>投资是把资金投入资产，因为预期其收入、生产性用途或有证据支持的内在价值变化能够带来回报，同时接受可能发生损失。</w:t>
      </w:r>
    </w:p>
    <w:p>
      <w:pPr>
        <w:pStyle w:val="DefinitionTerm"/>
        <w:snapToGrid w:val="0"/>
        <w:spacing w:before="60" w:after="35" w:line="240" w:lineRule="auto"/>
        <w:keepNext/>
        <w:keepLines/>
        <w:rPr>
          <w:sz w:val="24"/>
          <w:szCs w:val="24"/>
        </w:rPr>
      </w:pPr>
      <w:r>
        <w:rPr>
          <w:rFonts w:hint="eastAsia"/>
          <w:color w:val="auto"/>
          <w:sz w:val="24"/>
          <w:szCs w:val="24"/>
          <w:lang w:val="en-US" w:eastAsia="zh-CN"/>
          <w:b/>
          <w:bCs/>
        </w:rPr>
        <w:t>Speculation  |  投机</w:t>
      </w:r>
    </w:p>
    <w:p>
      <w:pPr>
        <w:pStyle w:val="DefinitionBody"/>
        <w:snapToGrid w:val="0"/>
        <w:spacing w:before="0" w:after="40" w:line="260" w:lineRule="auto"/>
        <w:keepLines/>
        <w:rPr>
          <w:sz w:val="20"/>
          <w:szCs w:val="20"/>
        </w:rPr>
      </w:pPr>
      <w:r>
        <w:rPr>
          <w:rFonts w:hint="eastAsia"/>
          <w:color w:val="auto"/>
          <w:sz w:val="20"/>
          <w:szCs w:val="20"/>
          <w:lang w:val="en-US" w:eastAsia="zh-CN"/>
        </w:rPr>
        <w:t xml:space="preserve">Speculation is seeking profit mainly from a predicted </w:t>
      </w:r>
      <w:r>
        <w:rPr>
          <w:rFonts w:hint="eastAsia"/>
          <w:color w:val="auto"/>
          <w:sz w:val="20"/>
          <w:szCs w:val="20"/>
          <w:lang w:val="en-US" w:eastAsia="zh-CN"/>
          <w:u w:val="single"/>
        </w:rPr>
        <w:t xml:space="preserve">                      </w:t>
      </w:r>
      <w:r>
        <w:rPr>
          <w:rFonts w:hint="eastAsia"/>
          <w:color w:val="auto"/>
          <w:sz w:val="20"/>
          <w:szCs w:val="20"/>
          <w:lang w:val="en-US" w:eastAsia="zh-CN"/>
        </w:rPr>
        <w:t xml:space="preserve"> or uncertain event; the payoff depends mainly on the prediction being correct.</w:t>
      </w:r>
    </w:p>
    <w:p>
      <w:pPr>
        <w:pStyle w:val="SmallNote"/>
        <w:snapToGrid w:val="0"/>
        <w:spacing w:before="0" w:after="55" w:line="250" w:lineRule="auto"/>
        <w:keepLines/>
        <w:rPr>
          <w:sz w:val="19"/>
          <w:szCs w:val="19"/>
        </w:rPr>
      </w:pPr>
      <w:r>
        <w:rPr>
          <w:rFonts w:hint="eastAsia"/>
          <w:color w:val="auto"/>
          <w:sz w:val="19"/>
          <w:szCs w:val="19"/>
          <w:lang w:val="en-US" w:eastAsia="zh-CN"/>
        </w:rPr>
        <w:t>投机是主要从预测的价格变动或不确定事件中寻求利润；回报主要取决于预测是否正确。</w:t>
      </w:r>
    </w:p>
    <w:p>
      <w:pPr>
        <w:pStyle w:val="DefinitionTerm"/>
        <w:snapToGrid w:val="0"/>
        <w:spacing w:before="60" w:after="35" w:line="240" w:lineRule="auto"/>
        <w:keepNext/>
        <w:keepLines/>
        <w:rPr>
          <w:sz w:val="24"/>
          <w:szCs w:val="24"/>
        </w:rPr>
      </w:pPr>
      <w:r>
        <w:rPr>
          <w:rFonts w:hint="eastAsia"/>
          <w:color w:val="auto"/>
          <w:sz w:val="24"/>
          <w:szCs w:val="24"/>
          <w:lang w:val="en-US" w:eastAsia="zh-CN"/>
          <w:b/>
          <w:bCs/>
        </w:rPr>
        <w:t>Saving  |  储蓄</w:t>
      </w:r>
    </w:p>
    <w:p>
      <w:pPr>
        <w:pStyle w:val="DefinitionBody"/>
        <w:snapToGrid w:val="0"/>
        <w:spacing w:before="0" w:after="40" w:line="260" w:lineRule="auto"/>
        <w:keepLines/>
        <w:rPr>
          <w:sz w:val="20"/>
          <w:szCs w:val="20"/>
        </w:rPr>
      </w:pPr>
      <w:r>
        <w:rPr>
          <w:rFonts w:hint="eastAsia"/>
          <w:color w:val="auto"/>
          <w:sz w:val="20"/>
          <w:szCs w:val="20"/>
          <w:lang w:val="en-US" w:eastAsia="zh-CN"/>
        </w:rPr>
        <w:t xml:space="preserve">Saving is keeping money mainly for future use, prioritising </w:t>
      </w:r>
      <w:r>
        <w:rPr>
          <w:rFonts w:hint="eastAsia"/>
          <w:color w:val="auto"/>
          <w:sz w:val="20"/>
          <w:szCs w:val="20"/>
          <w:lang w:val="en-US" w:eastAsia="zh-CN"/>
          <w:u w:val="single"/>
        </w:rPr>
        <w:t xml:space="preserve">                  </w:t>
      </w:r>
      <w:r>
        <w:rPr>
          <w:rFonts w:hint="eastAsia"/>
          <w:color w:val="auto"/>
          <w:sz w:val="20"/>
          <w:szCs w:val="20"/>
          <w:lang w:val="en-US" w:eastAsia="zh-CN"/>
        </w:rPr>
        <w:t xml:space="preserve"> and ready access over a higher expected return.</w:t>
      </w:r>
    </w:p>
    <w:p>
      <w:pPr>
        <w:pStyle w:val="SmallNote"/>
        <w:snapToGrid w:val="0"/>
        <w:spacing w:before="0" w:after="55" w:line="250" w:lineRule="auto"/>
        <w:keepLines/>
        <w:rPr>
          <w:sz w:val="19"/>
          <w:szCs w:val="19"/>
        </w:rPr>
      </w:pPr>
      <w:r>
        <w:rPr>
          <w:rFonts w:hint="eastAsia"/>
          <w:color w:val="auto"/>
          <w:sz w:val="19"/>
          <w:szCs w:val="19"/>
          <w:lang w:val="en-US" w:eastAsia="zh-CN"/>
        </w:rPr>
        <w:t>储蓄是把钱主要留作未来使用，优先考虑安全性和随时取用，而不是追求较高的预期回报。</w:t>
      </w:r>
    </w:p>
    <w:p>
      <w:pPr>
        <w:pStyle w:val="DefinitionTerm"/>
        <w:snapToGrid w:val="0"/>
        <w:spacing w:before="70" w:after="35" w:line="240" w:lineRule="auto"/>
        <w:keepNext/>
        <w:keepLines/>
        <w:rPr>
          <w:sz w:val="21"/>
          <w:szCs w:val="21"/>
        </w:rPr>
      </w:pPr>
      <w:r>
        <w:rPr>
          <w:rFonts w:hint="eastAsia"/>
          <w:color w:val="auto"/>
          <w:sz w:val="21"/>
          <w:szCs w:val="21"/>
          <w:lang w:val="en-US" w:eastAsia="zh-CN"/>
          <w:b/>
          <w:bCs/>
        </w:rPr>
        <w:t>Core classification rules / 核心分类规则</w:t>
      </w:r>
    </w:p>
    <w:tbl>
      <w:tblPr>
        <w:tblW w:w="7364" w:type="dxa"/>
        <w:tblLayout w:type="fixed"/>
        <w:tblLook w:val="04A0" w:firstRow="1" w:lastRow="0" w:firstColumn="1" w:lastColumn="0" w:noHBand="0" w:noVBand="1"/>
      </w:tblPr>
      <w:tblGrid>
        <w:gridCol w:w="5350"/>
        <w:gridCol w:w="2014"/>
      </w:tblGrid>
      <w:tr>
        <w:trPr>
          <w:cantSplit/>
          <w:tblHeader/>
        </w:trPr>
        <w:tc>
          <w:tcPr>
            <w:tcW w:w="535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Title"/>
              <w:snapToGrid w:val="0"/>
              <w:spacing w:before="0" w:after="0" w:line="210" w:lineRule="auto"/>
              <w:jc w:val="center"/>
              <w:keepLines/>
              <w:rPr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  <w:b/>
                <w:bCs/>
              </w:rPr>
              <w:t>If the main clue is...</w:t>
            </w:r>
            <w:r>
              <w:rPr>
                <w:rFonts w:hint="eastAsia"/>
                <w:color w:val="auto"/>
                <w:sz w:val="18"/>
                <w:szCs w:val="18"/>
                <w:lang w:val="en-US" w:eastAsia="zh-CN"/>
                <w:b/>
                <w:bCs/>
              </w:rPr>
              <w:br/>
            </w:r>
            <w:r>
              <w:rPr>
                <w:rFonts w:hint="eastAsia"/>
                <w:color w:val="auto"/>
                <w:sz w:val="18"/>
                <w:szCs w:val="18"/>
                <w:lang w:val="en-US" w:eastAsia="zh-CN"/>
                <w:b/>
                <w:bCs/>
              </w:rPr>
              <w:t>如果主要线索是……</w:t>
            </w:r>
          </w:p>
        </w:tc>
        <w:tc>
          <w:tcPr>
            <w:tcW w:w="2014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Title"/>
              <w:snapToGrid w:val="0"/>
              <w:spacing w:before="0" w:after="0" w:line="210" w:lineRule="auto"/>
              <w:jc w:val="center"/>
              <w:keepLines/>
              <w:rPr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  <w:b/>
                <w:bCs/>
              </w:rPr>
              <w:t>Classify as</w:t>
            </w:r>
            <w:r>
              <w:rPr>
                <w:rFonts w:hint="eastAsia"/>
                <w:color w:val="auto"/>
                <w:sz w:val="18"/>
                <w:szCs w:val="18"/>
                <w:lang w:val="en-US" w:eastAsia="zh-CN"/>
                <w:b/>
                <w:bCs/>
              </w:rPr>
              <w:br/>
            </w:r>
            <w:r>
              <w:rPr>
                <w:rFonts w:hint="eastAsia"/>
                <w:color w:val="auto"/>
                <w:sz w:val="18"/>
                <w:szCs w:val="18"/>
                <w:lang w:val="en-US" w:eastAsia="zh-CN"/>
                <w:b/>
                <w:bCs/>
              </w:rPr>
              <w:t>应归为</w:t>
            </w:r>
          </w:p>
        </w:tc>
      </w:tr>
      <w:tr>
        <w:trPr>
          <w:cantSplit/>
        </w:trPr>
        <w:tc>
          <w:tcPr>
            <w:tcW w:w="535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10" w:lineRule="auto"/>
              <w:jc w:val="left"/>
              <w:keepLines/>
              <w:rPr>
                <w:sz w:val="17"/>
                <w:szCs w:val="17"/>
              </w:rPr>
            </w:pP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Income, productive activity or evidence-supported underlying value.</w:t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br/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收入、生产性活动或有证据支持的内在价值。</w:t>
            </w:r>
          </w:p>
        </w:tc>
        <w:tc>
          <w:tcPr>
            <w:tcW w:w="2014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10" w:lineRule="auto"/>
              <w:jc w:val="left"/>
              <w:keepLines/>
              <w:rPr>
                <w:sz w:val="17"/>
                <w:szCs w:val="17"/>
              </w:rPr>
            </w:pP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Investment</w:t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br/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投资</w:t>
            </w:r>
          </w:p>
        </w:tc>
      </w:tr>
      <w:tr>
        <w:trPr>
          <w:cantSplit/>
        </w:trPr>
        <w:tc>
          <w:tcPr>
            <w:tcW w:w="535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10" w:lineRule="auto"/>
              <w:jc w:val="left"/>
              <w:keepLines/>
              <w:rPr>
                <w:sz w:val="17"/>
                <w:szCs w:val="17"/>
              </w:rPr>
            </w:pP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A predicted price movement or uncertain event.</w:t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br/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预测的价格变动或不确定事件。</w:t>
            </w:r>
          </w:p>
        </w:tc>
        <w:tc>
          <w:tcPr>
            <w:tcW w:w="2014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10" w:lineRule="auto"/>
              <w:jc w:val="left"/>
              <w:keepLines/>
              <w:rPr>
                <w:sz w:val="17"/>
                <w:szCs w:val="17"/>
              </w:rPr>
            </w:pP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Speculation - not investment</w:t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br/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投机——不是投资</w:t>
            </w:r>
          </w:p>
        </w:tc>
      </w:tr>
      <w:tr>
        <w:trPr>
          <w:cantSplit/>
        </w:trPr>
        <w:tc>
          <w:tcPr>
            <w:tcW w:w="535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10" w:lineRule="auto"/>
              <w:jc w:val="left"/>
              <w:keepLines/>
              <w:rPr>
                <w:sz w:val="17"/>
                <w:szCs w:val="17"/>
              </w:rPr>
            </w:pP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Safety and ready access take priority.</w:t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br/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安全性和随时取用优先。</w:t>
            </w:r>
          </w:p>
        </w:tc>
        <w:tc>
          <w:tcPr>
            <w:tcW w:w="2014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10" w:lineRule="auto"/>
              <w:jc w:val="left"/>
              <w:keepLines/>
              <w:rPr>
                <w:sz w:val="17"/>
                <w:szCs w:val="17"/>
              </w:rPr>
            </w:pP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Saving - not investment</w:t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br/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储蓄——不是投资</w:t>
            </w:r>
          </w:p>
        </w:tc>
      </w:tr>
    </w:tbl>
    <w:p>
      <w:pPr>
        <w:pStyle w:val="SmallNote"/>
        <w:snapToGrid w:val="0"/>
        <w:spacing w:before="45" w:after="0" w:line="220" w:lineRule="auto"/>
        <w:keepLines/>
        <w:rPr>
          <w:sz w:val="18"/>
          <w:szCs w:val="18"/>
        </w:rPr>
      </w:pPr>
      <w:r>
        <w:rPr>
          <w:rFonts w:hint="eastAsia"/>
          <w:color w:val="auto"/>
          <w:sz w:val="18"/>
          <w:szCs w:val="18"/>
          <w:lang w:val="en-US" w:eastAsia="zh-CN"/>
        </w:rPr>
        <w:t>Do not classify from product name, future goal, risk level or time horizon alone. / 不要仅凭产品名称、未来目标、风险水平或持有期限分类。</w:t>
      </w:r>
    </w:p>
    <w:p>
      <w:pPr>
        <w:pStyle w:val="Heading1"/>
        <w:snapToGrid w:val="0"/>
        <w:spacing w:before="0" w:after="100" w:line="240" w:lineRule="auto"/>
        <w:keepNext/>
        <w:keepLines/>
        <w:pageBreakBefore/>
        <w:rPr>
          <w:sz w:val="32"/>
          <w:szCs w:val="32"/>
        </w:rPr>
      </w:pPr>
      <w:r>
        <w:rPr>
          <w:rFonts w:hint="eastAsia"/>
          <w:color w:val="auto"/>
          <w:sz w:val="32"/>
          <w:szCs w:val="32"/>
          <w:lang w:val="en-US" w:eastAsia="zh-CN"/>
          <w:b/>
          <w:bCs/>
        </w:rPr>
        <w:t>Investment or speculation?</w:t>
      </w:r>
    </w:p>
    <w:p>
      <w:pPr>
        <w:pStyle w:val="SmallNote"/>
        <w:snapToGrid w:val="0"/>
        <w:spacing w:before="0" w:after="55" w:line="210" w:lineRule="auto"/>
        <w:keepNext/>
        <w:keepLines/>
        <w:rPr>
          <w:sz w:val="18"/>
          <w:szCs w:val="18"/>
        </w:rPr>
      </w:pPr>
      <w:r>
        <w:rPr>
          <w:rFonts w:hint="eastAsia"/>
          <w:color w:val="auto"/>
          <w:sz w:val="18"/>
          <w:szCs w:val="18"/>
          <w:lang w:val="en-US" w:eastAsia="zh-CN"/>
        </w:rPr>
        <w:t>Compare the expected source of payoff; do not decide from the product or risk alone. / 比较预期回报的来源；不要只凭产品或风险作判断。</w:t>
      </w:r>
    </w:p>
    <w:p>
      <w:pPr>
        <w:pStyle w:val="DefinitionTerm"/>
        <w:snapToGrid w:val="0"/>
        <w:spacing w:before="25" w:after="30" w:line="240" w:lineRule="auto"/>
        <w:keepNext/>
        <w:keepLines/>
        <w:rPr>
          <w:sz w:val="20"/>
          <w:szCs w:val="20"/>
        </w:rPr>
      </w:pPr>
      <w:r>
        <w:rPr>
          <w:rFonts w:hint="eastAsia"/>
          <w:color w:val="auto"/>
          <w:sz w:val="20"/>
          <w:szCs w:val="20"/>
          <w:lang w:val="en-US" w:eastAsia="zh-CN"/>
          <w:b/>
          <w:bCs/>
        </w:rPr>
        <w:t>Core comparison / 核心比较</w:t>
      </w:r>
    </w:p>
    <w:tbl>
      <w:tblPr>
        <w:tblW w:w="7364" w:type="dxa"/>
        <w:tblLayout w:type="fixed"/>
        <w:tblLook w:val="04A0" w:firstRow="1" w:lastRow="0" w:firstColumn="1" w:lastColumn="0" w:noHBand="0" w:noVBand="1"/>
      </w:tblPr>
      <w:tblGrid>
        <w:gridCol w:w="1500"/>
        <w:gridCol w:w="2932"/>
        <w:gridCol w:w="2932"/>
      </w:tblGrid>
      <w:tr>
        <w:trPr>
          <w:cantSplit/>
          <w:tblHeader/>
        </w:trPr>
        <w:tc>
          <w:tcPr>
            <w:tcW w:w="150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Title"/>
              <w:snapToGrid w:val="0"/>
              <w:spacing w:before="0" w:after="0" w:line="210" w:lineRule="auto"/>
              <w:jc w:val="center"/>
              <w:keepLines/>
              <w:rPr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  <w:b/>
                <w:bCs/>
              </w:rPr>
              <w:t>Criterion</w:t>
            </w:r>
            <w:r>
              <w:rPr>
                <w:rFonts w:hint="eastAsia"/>
                <w:color w:val="auto"/>
                <w:sz w:val="18"/>
                <w:szCs w:val="18"/>
                <w:lang w:val="en-US" w:eastAsia="zh-CN"/>
                <w:b/>
                <w:bCs/>
              </w:rPr>
              <w:br/>
            </w:r>
            <w:r>
              <w:rPr>
                <w:rFonts w:hint="eastAsia"/>
                <w:color w:val="auto"/>
                <w:sz w:val="18"/>
                <w:szCs w:val="18"/>
                <w:lang w:val="en-US" w:eastAsia="zh-CN"/>
                <w:b/>
                <w:bCs/>
              </w:rPr>
              <w:t>判断维度</w:t>
            </w:r>
          </w:p>
        </w:tc>
        <w:tc>
          <w:tcPr>
            <w:tcW w:w="2932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Title"/>
              <w:snapToGrid w:val="0"/>
              <w:spacing w:before="0" w:after="0" w:line="210" w:lineRule="auto"/>
              <w:jc w:val="center"/>
              <w:keepLines/>
              <w:rPr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  <w:b/>
                <w:bCs/>
              </w:rPr>
              <w:t>Investment</w:t>
            </w:r>
            <w:r>
              <w:rPr>
                <w:rFonts w:hint="eastAsia"/>
                <w:color w:val="auto"/>
                <w:sz w:val="18"/>
                <w:szCs w:val="18"/>
                <w:lang w:val="en-US" w:eastAsia="zh-CN"/>
                <w:b/>
                <w:bCs/>
              </w:rPr>
              <w:br/>
            </w:r>
            <w:r>
              <w:rPr>
                <w:rFonts w:hint="eastAsia"/>
                <w:color w:val="auto"/>
                <w:sz w:val="18"/>
                <w:szCs w:val="18"/>
                <w:lang w:val="en-US" w:eastAsia="zh-CN"/>
                <w:b/>
                <w:bCs/>
              </w:rPr>
              <w:t>投资</w:t>
            </w:r>
          </w:p>
        </w:tc>
        <w:tc>
          <w:tcPr>
            <w:tcW w:w="2932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Title"/>
              <w:snapToGrid w:val="0"/>
              <w:spacing w:before="0" w:after="0" w:line="210" w:lineRule="auto"/>
              <w:jc w:val="center"/>
              <w:keepLines/>
              <w:rPr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  <w:b/>
                <w:bCs/>
              </w:rPr>
              <w:t>Speculation</w:t>
            </w:r>
            <w:r>
              <w:rPr>
                <w:rFonts w:hint="eastAsia"/>
                <w:color w:val="auto"/>
                <w:sz w:val="18"/>
                <w:szCs w:val="18"/>
                <w:lang w:val="en-US" w:eastAsia="zh-CN"/>
                <w:b/>
                <w:bCs/>
              </w:rPr>
              <w:br/>
            </w:r>
            <w:r>
              <w:rPr>
                <w:rFonts w:hint="eastAsia"/>
                <w:color w:val="auto"/>
                <w:sz w:val="18"/>
                <w:szCs w:val="18"/>
                <w:lang w:val="en-US" w:eastAsia="zh-CN"/>
                <w:b/>
                <w:bCs/>
              </w:rPr>
              <w:t>投机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Title"/>
              <w:snapToGrid w:val="0"/>
              <w:spacing w:before="0" w:after="0" w:line="210" w:lineRule="auto"/>
              <w:jc w:val="center"/>
              <w:keepLines/>
              <w:rPr>
                <w:sz w:val="17"/>
                <w:szCs w:val="17"/>
              </w:rPr>
            </w:pPr>
            <w:r>
              <w:rPr>
                <w:rFonts w:hint="eastAsia"/>
                <w:color w:val="auto"/>
                <w:sz w:val="17"/>
                <w:szCs w:val="17"/>
                <w:lang w:val="en-US" w:eastAsia="zh-CN"/>
                <w:b/>
                <w:bCs/>
              </w:rPr>
              <w:t>Main source of payoff</w:t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  <w:b/>
                <w:bCs/>
              </w:rPr>
              <w:br/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  <w:b/>
                <w:bCs/>
              </w:rPr>
              <w:t>主要回报来源</w:t>
            </w:r>
          </w:p>
        </w:tc>
        <w:tc>
          <w:tcPr>
            <w:tcW w:w="2932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10" w:lineRule="auto"/>
              <w:jc w:val="left"/>
              <w:keepLines/>
              <w:rPr>
                <w:sz w:val="17"/>
                <w:szCs w:val="17"/>
              </w:rPr>
            </w:pP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Income, productive activity or evidence-supported growth in underlying value.</w:t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br/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收入、生产性活动或有证据支持的内在价值增长。</w:t>
            </w:r>
          </w:p>
        </w:tc>
        <w:tc>
          <w:tcPr>
            <w:tcW w:w="2932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10" w:lineRule="auto"/>
              <w:jc w:val="left"/>
              <w:keepLines/>
              <w:rPr>
                <w:sz w:val="17"/>
                <w:szCs w:val="17"/>
              </w:rPr>
            </w:pP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A predicted price movement or uncertain event.</w:t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br/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预测的价格变动或不确定事件。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Title"/>
              <w:snapToGrid w:val="0"/>
              <w:spacing w:before="0" w:after="0" w:line="210" w:lineRule="auto"/>
              <w:jc w:val="center"/>
              <w:keepLines/>
              <w:rPr>
                <w:sz w:val="17"/>
                <w:szCs w:val="17"/>
              </w:rPr>
            </w:pPr>
            <w:r>
              <w:rPr>
                <w:rFonts w:hint="eastAsia"/>
                <w:color w:val="auto"/>
                <w:sz w:val="17"/>
                <w:szCs w:val="17"/>
                <w:lang w:val="en-US" w:eastAsia="zh-CN"/>
                <w:b/>
                <w:bCs/>
              </w:rPr>
              <w:t>Decision basis</w:t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  <w:b/>
                <w:bCs/>
              </w:rPr>
              <w:br/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  <w:b/>
                <w:bCs/>
              </w:rPr>
              <w:t>决策依据</w:t>
            </w:r>
          </w:p>
        </w:tc>
        <w:tc>
          <w:tcPr>
            <w:tcW w:w="2932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10" w:lineRule="auto"/>
              <w:jc w:val="left"/>
              <w:keepLines/>
              <w:rPr>
                <w:sz w:val="17"/>
                <w:szCs w:val="17"/>
              </w:rPr>
            </w:pP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Evidence about cash flows, earnings, value and diversification.</w:t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br/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关于现金流、盈利、价值和分散化的证据。</w:t>
            </w:r>
          </w:p>
        </w:tc>
        <w:tc>
          <w:tcPr>
            <w:tcW w:w="2932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10" w:lineRule="auto"/>
              <w:jc w:val="left"/>
              <w:keepLines/>
              <w:rPr>
                <w:sz w:val="17"/>
                <w:szCs w:val="17"/>
              </w:rPr>
            </w:pP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Price forecast or timing dominates; rumours, borrowing or urgency may matter.</w:t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br/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价格预测或时机占主导；传闻、借款或急迫性可能很重要。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Title"/>
              <w:snapToGrid w:val="0"/>
              <w:spacing w:before="0" w:after="0" w:line="210" w:lineRule="auto"/>
              <w:jc w:val="center"/>
              <w:keepLines/>
              <w:rPr>
                <w:sz w:val="17"/>
                <w:szCs w:val="17"/>
              </w:rPr>
            </w:pPr>
            <w:r>
              <w:rPr>
                <w:rFonts w:hint="eastAsia"/>
                <w:color w:val="auto"/>
                <w:sz w:val="17"/>
                <w:szCs w:val="17"/>
                <w:lang w:val="en-US" w:eastAsia="zh-CN"/>
                <w:b/>
                <w:bCs/>
              </w:rPr>
              <w:t>Role of resale</w:t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  <w:b/>
                <w:bCs/>
              </w:rPr>
              <w:br/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  <w:b/>
                <w:bCs/>
              </w:rPr>
              <w:t>转售的作用</w:t>
            </w:r>
          </w:p>
        </w:tc>
        <w:tc>
          <w:tcPr>
            <w:tcW w:w="2932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10" w:lineRule="auto"/>
              <w:jc w:val="left"/>
              <w:keepLines/>
              <w:rPr>
                <w:sz w:val="17"/>
                <w:szCs w:val="17"/>
              </w:rPr>
            </w:pP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Resale may matter, but it is not the only basis for expected return.</w:t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br/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转售可能重要，但不是预期回报的唯一依据。</w:t>
            </w:r>
          </w:p>
        </w:tc>
        <w:tc>
          <w:tcPr>
            <w:tcW w:w="2932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10" w:lineRule="auto"/>
              <w:jc w:val="left"/>
              <w:keepLines/>
              <w:rPr>
                <w:sz w:val="17"/>
                <w:szCs w:val="17"/>
              </w:rPr>
            </w:pP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Profit depends mainly on selling after a favourable price move.</w:t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br/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获利主要依赖在有利的价格变动后卖出。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Title"/>
              <w:snapToGrid w:val="0"/>
              <w:spacing w:before="0" w:after="0" w:line="210" w:lineRule="auto"/>
              <w:jc w:val="center"/>
              <w:keepLines/>
              <w:rPr>
                <w:sz w:val="17"/>
                <w:szCs w:val="17"/>
              </w:rPr>
            </w:pPr>
            <w:r>
              <w:rPr>
                <w:rFonts w:hint="eastAsia"/>
                <w:color w:val="auto"/>
                <w:sz w:val="17"/>
                <w:szCs w:val="17"/>
                <w:lang w:val="en-US" w:eastAsia="zh-CN"/>
                <w:b/>
                <w:bCs/>
              </w:rPr>
              <w:t>Risk and horizon</w:t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  <w:b/>
                <w:bCs/>
              </w:rPr>
              <w:br/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  <w:b/>
                <w:bCs/>
              </w:rPr>
              <w:t>风险与期限</w:t>
            </w:r>
          </w:p>
        </w:tc>
        <w:tc>
          <w:tcPr>
            <w:tcW w:w="2932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10" w:lineRule="auto"/>
              <w:jc w:val="left"/>
              <w:keepLines/>
              <w:rPr>
                <w:sz w:val="17"/>
                <w:szCs w:val="17"/>
              </w:rPr>
            </w:pP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May be risky and may be short or long term.</w:t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br/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可能有风险，也可能是短期或长期。</w:t>
            </w:r>
          </w:p>
        </w:tc>
        <w:tc>
          <w:tcPr>
            <w:tcW w:w="2932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10" w:lineRule="auto"/>
              <w:jc w:val="left"/>
              <w:keepLines/>
              <w:rPr>
                <w:sz w:val="17"/>
                <w:szCs w:val="17"/>
              </w:rPr>
            </w:pP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Often highly uncertain or short term, but those clues alone do not define it.</w:t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br/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往往不确定性较高或期限较短，但这些线索本身不能作定义。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Title"/>
              <w:snapToGrid w:val="0"/>
              <w:spacing w:before="0" w:after="0" w:line="210" w:lineRule="auto"/>
              <w:jc w:val="center"/>
              <w:keepLines/>
              <w:rPr>
                <w:sz w:val="17"/>
                <w:szCs w:val="17"/>
              </w:rPr>
            </w:pPr>
            <w:r>
              <w:rPr>
                <w:rFonts w:hint="eastAsia"/>
                <w:color w:val="auto"/>
                <w:sz w:val="17"/>
                <w:szCs w:val="17"/>
                <w:lang w:val="en-US" w:eastAsia="zh-CN"/>
                <w:b/>
                <w:bCs/>
              </w:rPr>
              <w:t>Same product?</w:t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  <w:b/>
                <w:bCs/>
              </w:rPr>
              <w:br/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  <w:b/>
                <w:bCs/>
              </w:rPr>
              <w:t>相同产品？</w:t>
            </w:r>
          </w:p>
        </w:tc>
        <w:tc>
          <w:tcPr>
            <w:tcW w:w="2932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10" w:lineRule="auto"/>
              <w:jc w:val="left"/>
              <w:keepLines/>
              <w:rPr>
                <w:sz w:val="17"/>
                <w:szCs w:val="17"/>
              </w:rPr>
            </w:pP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Shares, property or gold can be used for investment.</w:t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br/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股票、房产或黄金可用于投资。</w:t>
            </w:r>
          </w:p>
        </w:tc>
        <w:tc>
          <w:tcPr>
            <w:tcW w:w="2932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10" w:lineRule="auto"/>
              <w:jc w:val="left"/>
              <w:keepLines/>
              <w:rPr>
                <w:sz w:val="17"/>
                <w:szCs w:val="17"/>
              </w:rPr>
            </w:pP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The same assets can be used for speculation.</w:t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br/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同样的资产也可用于投机。</w:t>
            </w:r>
          </w:p>
        </w:tc>
      </w:tr>
    </w:tbl>
    <w:p>
      <w:pPr>
        <w:pStyle w:val="DefinitionTerm"/>
        <w:snapToGrid w:val="0"/>
        <w:spacing w:before="70" w:after="30" w:line="240" w:lineRule="auto"/>
        <w:keepNext/>
        <w:keepLines/>
        <w:rPr>
          <w:sz w:val="20"/>
          <w:szCs w:val="20"/>
        </w:rPr>
      </w:pPr>
      <w:r>
        <w:rPr>
          <w:rFonts w:hint="eastAsia"/>
          <w:color w:val="auto"/>
          <w:sz w:val="20"/>
          <w:szCs w:val="20"/>
          <w:lang w:val="en-US" w:eastAsia="zh-CN"/>
          <w:b/>
          <w:bCs/>
        </w:rPr>
        <w:t>Underline the decisive clause, then classify / 在决定性语句下划线并分类</w:t>
      </w:r>
    </w:p>
    <w:tbl>
      <w:tblPr>
        <w:tblW w:w="7364" w:type="dxa"/>
        <w:tblLayout w:type="fixed"/>
        <w:tblLook w:val="04A0" w:firstRow="1" w:lastRow="0" w:firstColumn="1" w:lastColumn="0" w:noHBand="0" w:noVBand="1"/>
      </w:tblPr>
      <w:tblGrid>
        <w:gridCol w:w="5700"/>
        <w:gridCol w:w="1664"/>
      </w:tblGrid>
      <w:tr>
        <w:trPr>
          <w:cantSplit/>
          <w:tblHeader/>
        </w:trPr>
        <w:tc>
          <w:tcPr>
            <w:tcW w:w="570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Title"/>
              <w:snapToGrid w:val="0"/>
              <w:spacing w:before="0" w:after="0" w:line="210" w:lineRule="auto"/>
              <w:jc w:val="left"/>
              <w:keepLines/>
              <w:rPr>
                <w:sz w:val="19"/>
                <w:szCs w:val="19"/>
              </w:rPr>
            </w:pPr>
            <w:r>
              <w:rPr>
                <w:rFonts w:hint="eastAsia"/>
                <w:color w:val="auto"/>
                <w:sz w:val="19"/>
                <w:szCs w:val="19"/>
                <w:lang w:val="en-US" w:eastAsia="zh-CN"/>
                <w:b/>
                <w:bCs/>
              </w:rPr>
              <w:t>Decision</w:t>
            </w:r>
            <w:r>
              <w:rPr>
                <w:rFonts w:hint="eastAsia"/>
                <w:color w:val="auto"/>
                <w:sz w:val="19"/>
                <w:szCs w:val="19"/>
                <w:lang w:val="en-US" w:eastAsia="zh-CN"/>
                <w:b/>
                <w:bCs/>
              </w:rPr>
              <w:br/>
            </w:r>
            <w:r>
              <w:rPr>
                <w:rFonts w:hint="eastAsia"/>
                <w:color w:val="auto"/>
                <w:sz w:val="19"/>
                <w:szCs w:val="19"/>
                <w:lang w:val="en-US" w:eastAsia="zh-CN"/>
                <w:b/>
                <w:bCs/>
              </w:rPr>
              <w:t>决定</w:t>
            </w:r>
          </w:p>
        </w:tc>
        <w:tc>
          <w:tcPr>
            <w:tcW w:w="1664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Title"/>
              <w:snapToGrid w:val="0"/>
              <w:spacing w:before="0" w:after="0" w:line="210" w:lineRule="auto"/>
              <w:jc w:val="center"/>
              <w:keepLines/>
              <w:rPr>
                <w:sz w:val="19"/>
                <w:szCs w:val="19"/>
              </w:rPr>
            </w:pPr>
            <w:r>
              <w:rPr>
                <w:rFonts w:hint="eastAsia"/>
                <w:color w:val="auto"/>
                <w:sz w:val="19"/>
                <w:szCs w:val="19"/>
                <w:lang w:val="en-US" w:eastAsia="zh-CN"/>
                <w:b/>
                <w:bCs/>
              </w:rPr>
              <w:t>Classify</w:t>
            </w:r>
            <w:r>
              <w:rPr>
                <w:rFonts w:hint="eastAsia"/>
                <w:color w:val="auto"/>
                <w:sz w:val="19"/>
                <w:szCs w:val="19"/>
                <w:lang w:val="en-US" w:eastAsia="zh-CN"/>
                <w:b/>
                <w:bCs/>
              </w:rPr>
              <w:br/>
            </w:r>
            <w:r>
              <w:rPr>
                <w:rFonts w:hint="eastAsia"/>
                <w:color w:val="auto"/>
                <w:sz w:val="19"/>
                <w:szCs w:val="19"/>
                <w:lang w:val="en-US" w:eastAsia="zh-CN"/>
                <w:b/>
                <w:bCs/>
              </w:rPr>
              <w:t>分类</w:t>
            </w:r>
          </w:p>
        </w:tc>
      </w:tr>
      <w:tr>
        <w:trPr>
          <w:cantSplit/>
        </w:trPr>
        <w:tc>
          <w:tcPr>
            <w:tcW w:w="570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10" w:lineRule="auto"/>
              <w:jc w:val="left"/>
              <w:keepLines/>
              <w:rPr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Nora studies a company's earnings and cash flows, then buys a diversified group of shares to participate in the businesses' future returns.</w:t>
            </w: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br/>
            </w: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诺拉研究一家公司的盈利和现金流，然后买入一组分散化股票，以分享这些企业未来的回报。</w:t>
            </w:r>
          </w:p>
        </w:tc>
        <w:tc>
          <w:tcPr>
            <w:tcW w:w="1664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40" w:lineRule="auto"/>
              <w:jc w:val="center"/>
              <w:keepLines/>
              <w:rPr>
                <w:sz w:val="24"/>
                <w:szCs w:val="24"/>
              </w:rPr>
            </w:pPr>
            <w:r>
              <w:rPr>
                <w:rFonts w:hint="eastAsia" w:ascii="Segoe Print" w:hAnsi="Segoe Print"/>
                <w:color w:val="auto"/>
                <w:sz w:val="24"/>
                <w:szCs w:val="24"/>
                <w:lang w:val="en-US" w:eastAsia="zh-CN"/>
              </w:rPr>
              <w:t>Investment</w:t>
            </w:r>
          </w:p>
        </w:tc>
      </w:tr>
      <w:tr>
        <w:trPr>
          <w:cantSplit/>
        </w:trPr>
        <w:tc>
          <w:tcPr>
            <w:tcW w:w="570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10" w:lineRule="auto"/>
              <w:jc w:val="left"/>
              <w:keepLines/>
              <w:rPr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Omar borrows money to buy the same shares after a social-media rumour predicts a price jump next week. He plans to sell immediately after the rise.</w:t>
            </w: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br/>
            </w: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奥马尔听到社交媒体传闻称同一批股票下周会涨价，于是借款买入，并计划上涨后立即卖出。</w:t>
            </w:r>
          </w:p>
        </w:tc>
        <w:tc>
          <w:tcPr>
            <w:tcW w:w="1664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40" w:lineRule="auto"/>
              <w:keepLines/>
              <w:rPr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/>
            </w:r>
          </w:p>
        </w:tc>
      </w:tr>
      <w:tr>
        <w:trPr>
          <w:cantSplit/>
        </w:trPr>
        <w:tc>
          <w:tcPr>
            <w:tcW w:w="570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10" w:lineRule="auto"/>
              <w:jc w:val="left"/>
              <w:keepLines/>
              <w:rPr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Pia buys an apartment after estimating rent, maintenance and vacancy costs. She expects rent to be the main source of return.</w:t>
            </w: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br/>
            </w: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皮娅估算租金、维修费和空置成本后买入一套公寓，并预期租金将是主要回报来源。</w:t>
            </w:r>
          </w:p>
        </w:tc>
        <w:tc>
          <w:tcPr>
            <w:tcW w:w="1664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40" w:lineRule="auto"/>
              <w:keepLines/>
              <w:rPr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/>
            </w:r>
          </w:p>
        </w:tc>
      </w:tr>
    </w:tbl>
    <w:p>
      <w:pPr>
        <w:pStyle w:val="Heading1"/>
        <w:snapToGrid w:val="0"/>
        <w:spacing w:before="0" w:after="100" w:line="240" w:lineRule="auto"/>
        <w:keepNext/>
        <w:keepLines/>
        <w:pageBreakBefore/>
        <w:rPr>
          <w:sz w:val="32"/>
          <w:szCs w:val="32"/>
        </w:rPr>
      </w:pPr>
      <w:r>
        <w:rPr>
          <w:rFonts w:hint="eastAsia"/>
          <w:color w:val="auto"/>
          <w:sz w:val="32"/>
          <w:szCs w:val="32"/>
          <w:lang w:val="en-US" w:eastAsia="zh-CN"/>
          <w:b/>
          <w:bCs/>
        </w:rPr>
        <w:t>Investment or saving?</w:t>
      </w:r>
    </w:p>
    <w:p>
      <w:pPr>
        <w:pStyle w:val="SmallNote"/>
        <w:snapToGrid w:val="0"/>
        <w:spacing w:before="0" w:after="55" w:line="210" w:lineRule="auto"/>
        <w:keepNext/>
        <w:keepLines/>
        <w:rPr>
          <w:sz w:val="18"/>
          <w:szCs w:val="18"/>
        </w:rPr>
      </w:pPr>
      <w:r>
        <w:rPr>
          <w:rFonts w:hint="eastAsia"/>
          <w:color w:val="auto"/>
          <w:sz w:val="18"/>
          <w:szCs w:val="18"/>
          <w:lang w:val="en-US" w:eastAsia="zh-CN"/>
        </w:rPr>
        <w:t>Compare the main purpose: seeking return or preserving money for use. / 比较主要目的：寻求回报，还是为使用而保留资金。</w:t>
      </w:r>
    </w:p>
    <w:p>
      <w:pPr>
        <w:pStyle w:val="DefinitionTerm"/>
        <w:snapToGrid w:val="0"/>
        <w:spacing w:before="25" w:after="30" w:line="240" w:lineRule="auto"/>
        <w:keepNext/>
        <w:keepLines/>
        <w:rPr>
          <w:sz w:val="20"/>
          <w:szCs w:val="20"/>
        </w:rPr>
      </w:pPr>
      <w:r>
        <w:rPr>
          <w:rFonts w:hint="eastAsia"/>
          <w:color w:val="auto"/>
          <w:sz w:val="20"/>
          <w:szCs w:val="20"/>
          <w:lang w:val="en-US" w:eastAsia="zh-CN"/>
          <w:b/>
          <w:bCs/>
        </w:rPr>
        <w:t>Core comparison / 核心比较</w:t>
      </w:r>
    </w:p>
    <w:tbl>
      <w:tblPr>
        <w:tblW w:w="7364" w:type="dxa"/>
        <w:tblLayout w:type="fixed"/>
        <w:tblLook w:val="04A0" w:firstRow="1" w:lastRow="0" w:firstColumn="1" w:lastColumn="0" w:noHBand="0" w:noVBand="1"/>
      </w:tblPr>
      <w:tblGrid>
        <w:gridCol w:w="1500"/>
        <w:gridCol w:w="2932"/>
        <w:gridCol w:w="2932"/>
      </w:tblGrid>
      <w:tr>
        <w:trPr>
          <w:cantSplit/>
          <w:tblHeader/>
        </w:trPr>
        <w:tc>
          <w:tcPr>
            <w:tcW w:w="150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Title"/>
              <w:snapToGrid w:val="0"/>
              <w:spacing w:before="0" w:after="0" w:line="210" w:lineRule="auto"/>
              <w:jc w:val="center"/>
              <w:keepLines/>
              <w:rPr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  <w:b/>
                <w:bCs/>
              </w:rPr>
              <w:t>Criterion</w:t>
            </w:r>
            <w:r>
              <w:rPr>
                <w:rFonts w:hint="eastAsia"/>
                <w:color w:val="auto"/>
                <w:sz w:val="18"/>
                <w:szCs w:val="18"/>
                <w:lang w:val="en-US" w:eastAsia="zh-CN"/>
                <w:b/>
                <w:bCs/>
              </w:rPr>
              <w:br/>
            </w:r>
            <w:r>
              <w:rPr>
                <w:rFonts w:hint="eastAsia"/>
                <w:color w:val="auto"/>
                <w:sz w:val="18"/>
                <w:szCs w:val="18"/>
                <w:lang w:val="en-US" w:eastAsia="zh-CN"/>
                <w:b/>
                <w:bCs/>
              </w:rPr>
              <w:t>判断维度</w:t>
            </w:r>
          </w:p>
        </w:tc>
        <w:tc>
          <w:tcPr>
            <w:tcW w:w="2932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Title"/>
              <w:snapToGrid w:val="0"/>
              <w:spacing w:before="0" w:after="0" w:line="210" w:lineRule="auto"/>
              <w:jc w:val="center"/>
              <w:keepLines/>
              <w:rPr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  <w:b/>
                <w:bCs/>
              </w:rPr>
              <w:t>Investment</w:t>
            </w:r>
            <w:r>
              <w:rPr>
                <w:rFonts w:hint="eastAsia"/>
                <w:color w:val="auto"/>
                <w:sz w:val="18"/>
                <w:szCs w:val="18"/>
                <w:lang w:val="en-US" w:eastAsia="zh-CN"/>
                <w:b/>
                <w:bCs/>
              </w:rPr>
              <w:br/>
            </w:r>
            <w:r>
              <w:rPr>
                <w:rFonts w:hint="eastAsia"/>
                <w:color w:val="auto"/>
                <w:sz w:val="18"/>
                <w:szCs w:val="18"/>
                <w:lang w:val="en-US" w:eastAsia="zh-CN"/>
                <w:b/>
                <w:bCs/>
              </w:rPr>
              <w:t>投资</w:t>
            </w:r>
          </w:p>
        </w:tc>
        <w:tc>
          <w:tcPr>
            <w:tcW w:w="2932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Title"/>
              <w:snapToGrid w:val="0"/>
              <w:spacing w:before="0" w:after="0" w:line="210" w:lineRule="auto"/>
              <w:jc w:val="center"/>
              <w:keepLines/>
              <w:rPr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  <w:b/>
                <w:bCs/>
              </w:rPr>
              <w:t>Saving</w:t>
            </w:r>
            <w:r>
              <w:rPr>
                <w:rFonts w:hint="eastAsia"/>
                <w:color w:val="auto"/>
                <w:sz w:val="18"/>
                <w:szCs w:val="18"/>
                <w:lang w:val="en-US" w:eastAsia="zh-CN"/>
                <w:b/>
                <w:bCs/>
              </w:rPr>
              <w:br/>
            </w:r>
            <w:r>
              <w:rPr>
                <w:rFonts w:hint="eastAsia"/>
                <w:color w:val="auto"/>
                <w:sz w:val="18"/>
                <w:szCs w:val="18"/>
                <w:lang w:val="en-US" w:eastAsia="zh-CN"/>
                <w:b/>
                <w:bCs/>
              </w:rPr>
              <w:t>储蓄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Title"/>
              <w:snapToGrid w:val="0"/>
              <w:spacing w:before="0" w:after="0" w:line="210" w:lineRule="auto"/>
              <w:jc w:val="center"/>
              <w:keepLines/>
              <w:rPr>
                <w:sz w:val="17"/>
                <w:szCs w:val="17"/>
              </w:rPr>
            </w:pPr>
            <w:r>
              <w:rPr>
                <w:rFonts w:hint="eastAsia"/>
                <w:color w:val="auto"/>
                <w:sz w:val="17"/>
                <w:szCs w:val="17"/>
                <w:lang w:val="en-US" w:eastAsia="zh-CN"/>
                <w:b/>
                <w:bCs/>
              </w:rPr>
              <w:t>Main purpose</w:t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  <w:b/>
                <w:bCs/>
              </w:rPr>
              <w:br/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  <w:b/>
                <w:bCs/>
              </w:rPr>
              <w:t>主要目的</w:t>
            </w:r>
          </w:p>
        </w:tc>
        <w:tc>
          <w:tcPr>
            <w:tcW w:w="2932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10" w:lineRule="auto"/>
              <w:jc w:val="left"/>
              <w:keepLines/>
              <w:rPr>
                <w:sz w:val="17"/>
                <w:szCs w:val="17"/>
              </w:rPr>
            </w:pP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Seek a financial return from an asset.</w:t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br/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从资产中寻求财务回报。</w:t>
            </w:r>
          </w:p>
        </w:tc>
        <w:tc>
          <w:tcPr>
            <w:tcW w:w="2932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10" w:lineRule="auto"/>
              <w:jc w:val="left"/>
              <w:keepLines/>
              <w:rPr>
                <w:sz w:val="17"/>
                <w:szCs w:val="17"/>
              </w:rPr>
            </w:pP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Preserve money for future use.</w:t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br/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为未来使用保留资金。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Title"/>
              <w:snapToGrid w:val="0"/>
              <w:spacing w:before="0" w:after="0" w:line="210" w:lineRule="auto"/>
              <w:jc w:val="center"/>
              <w:keepLines/>
              <w:rPr>
                <w:sz w:val="17"/>
                <w:szCs w:val="17"/>
              </w:rPr>
            </w:pPr>
            <w:r>
              <w:rPr>
                <w:rFonts w:hint="eastAsia"/>
                <w:color w:val="auto"/>
                <w:sz w:val="17"/>
                <w:szCs w:val="17"/>
                <w:lang w:val="en-US" w:eastAsia="zh-CN"/>
                <w:b/>
                <w:bCs/>
              </w:rPr>
              <w:t>Possible loss</w:t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  <w:b/>
                <w:bCs/>
              </w:rPr>
              <w:br/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  <w:b/>
                <w:bCs/>
              </w:rPr>
              <w:t>可能损失</w:t>
            </w:r>
          </w:p>
        </w:tc>
        <w:tc>
          <w:tcPr>
            <w:tcW w:w="2932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10" w:lineRule="auto"/>
              <w:jc w:val="left"/>
              <w:keepLines/>
              <w:rPr>
                <w:sz w:val="17"/>
                <w:szCs w:val="17"/>
              </w:rPr>
            </w:pP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Accept that the asset's value may fall.</w:t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br/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接受资产价值可能下跌。</w:t>
            </w:r>
          </w:p>
        </w:tc>
        <w:tc>
          <w:tcPr>
            <w:tcW w:w="2932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10" w:lineRule="auto"/>
              <w:jc w:val="left"/>
              <w:keepLines/>
              <w:rPr>
                <w:sz w:val="17"/>
                <w:szCs w:val="17"/>
              </w:rPr>
            </w:pP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Prioritise safety of the money kept.</w:t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br/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优先保障所保存资金的安全。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Title"/>
              <w:snapToGrid w:val="0"/>
              <w:spacing w:before="0" w:after="0" w:line="210" w:lineRule="auto"/>
              <w:jc w:val="center"/>
              <w:keepLines/>
              <w:rPr>
                <w:sz w:val="17"/>
                <w:szCs w:val="17"/>
              </w:rPr>
            </w:pPr>
            <w:r>
              <w:rPr>
                <w:rFonts w:hint="eastAsia"/>
                <w:color w:val="auto"/>
                <w:sz w:val="17"/>
                <w:szCs w:val="17"/>
                <w:lang w:val="en-US" w:eastAsia="zh-CN"/>
                <w:b/>
                <w:bCs/>
              </w:rPr>
              <w:t>Access</w:t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  <w:b/>
                <w:bCs/>
              </w:rPr>
              <w:br/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  <w:b/>
                <w:bCs/>
              </w:rPr>
              <w:t>取用</w:t>
            </w:r>
          </w:p>
        </w:tc>
        <w:tc>
          <w:tcPr>
            <w:tcW w:w="2932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10" w:lineRule="auto"/>
              <w:jc w:val="left"/>
              <w:keepLines/>
              <w:rPr>
                <w:sz w:val="17"/>
                <w:szCs w:val="17"/>
              </w:rPr>
            </w:pP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May accept price fluctuation or limited access.</w:t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br/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可能接受价格波动或取用受限。</w:t>
            </w:r>
          </w:p>
        </w:tc>
        <w:tc>
          <w:tcPr>
            <w:tcW w:w="2932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10" w:lineRule="auto"/>
              <w:jc w:val="left"/>
              <w:keepLines/>
              <w:rPr>
                <w:sz w:val="17"/>
                <w:szCs w:val="17"/>
              </w:rPr>
            </w:pP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Ready access is often important.</w:t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br/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随时取用通常很重要。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Title"/>
              <w:snapToGrid w:val="0"/>
              <w:spacing w:before="0" w:after="0" w:line="210" w:lineRule="auto"/>
              <w:jc w:val="center"/>
              <w:keepLines/>
              <w:rPr>
                <w:sz w:val="17"/>
                <w:szCs w:val="17"/>
              </w:rPr>
            </w:pPr>
            <w:r>
              <w:rPr>
                <w:rFonts w:hint="eastAsia"/>
                <w:color w:val="auto"/>
                <w:sz w:val="17"/>
                <w:szCs w:val="17"/>
                <w:lang w:val="en-US" w:eastAsia="zh-CN"/>
                <w:b/>
                <w:bCs/>
              </w:rPr>
              <w:t>Expected payoff</w:t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  <w:b/>
                <w:bCs/>
              </w:rPr>
              <w:br/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  <w:b/>
                <w:bCs/>
              </w:rPr>
              <w:t>预期回报</w:t>
            </w:r>
          </w:p>
        </w:tc>
        <w:tc>
          <w:tcPr>
            <w:tcW w:w="2932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10" w:lineRule="auto"/>
              <w:jc w:val="left"/>
              <w:keepLines/>
              <w:rPr>
                <w:sz w:val="17"/>
                <w:szCs w:val="17"/>
              </w:rPr>
            </w:pP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Income or growth is uncertain; a higher return is sought.</w:t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br/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收入或增长具有不确定性；寻求较高回报。</w:t>
            </w:r>
          </w:p>
        </w:tc>
        <w:tc>
          <w:tcPr>
            <w:tcW w:w="2932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10" w:lineRule="auto"/>
              <w:jc w:val="left"/>
              <w:keepLines/>
              <w:rPr>
                <w:sz w:val="17"/>
                <w:szCs w:val="17"/>
              </w:rPr>
            </w:pP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Interest may be modest; earning interest alone does not make it investment.</w:t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br/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利息可能较低；仅仅获得利息并不会使其成为投资。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Title"/>
              <w:snapToGrid w:val="0"/>
              <w:spacing w:before="0" w:after="0" w:line="210" w:lineRule="auto"/>
              <w:jc w:val="center"/>
              <w:keepLines/>
              <w:rPr>
                <w:sz w:val="17"/>
                <w:szCs w:val="17"/>
              </w:rPr>
            </w:pPr>
            <w:r>
              <w:rPr>
                <w:rFonts w:hint="eastAsia"/>
                <w:color w:val="auto"/>
                <w:sz w:val="17"/>
                <w:szCs w:val="17"/>
                <w:lang w:val="en-US" w:eastAsia="zh-CN"/>
                <w:b/>
                <w:bCs/>
              </w:rPr>
              <w:t>Future goal</w:t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  <w:b/>
                <w:bCs/>
              </w:rPr>
              <w:br/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  <w:b/>
                <w:bCs/>
              </w:rPr>
              <w:t>未来目标</w:t>
            </w:r>
          </w:p>
        </w:tc>
        <w:tc>
          <w:tcPr>
            <w:tcW w:w="2932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10" w:lineRule="auto"/>
              <w:jc w:val="left"/>
              <w:keepLines/>
              <w:rPr>
                <w:sz w:val="17"/>
                <w:szCs w:val="17"/>
              </w:rPr>
            </w:pP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Can fund a future goal when return and risk are suitable.</w:t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br/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在回报和风险合适时可用于未来目标。</w:t>
            </w:r>
          </w:p>
        </w:tc>
        <w:tc>
          <w:tcPr>
            <w:tcW w:w="2932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10" w:lineRule="auto"/>
              <w:jc w:val="left"/>
              <w:keepLines/>
              <w:rPr>
                <w:sz w:val="17"/>
                <w:szCs w:val="17"/>
              </w:rPr>
            </w:pP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Can also fund a future goal; the goal alone does not decide.</w:t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br/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也可用于未来目标；目标本身不能决定类别。</w:t>
            </w:r>
          </w:p>
        </w:tc>
      </w:tr>
    </w:tbl>
    <w:p>
      <w:pPr>
        <w:pStyle w:val="DefinitionTerm"/>
        <w:snapToGrid w:val="0"/>
        <w:spacing w:before="70" w:after="30" w:line="240" w:lineRule="auto"/>
        <w:keepNext/>
        <w:keepLines/>
        <w:rPr>
          <w:sz w:val="20"/>
          <w:szCs w:val="20"/>
        </w:rPr>
      </w:pPr>
      <w:r>
        <w:rPr>
          <w:rFonts w:hint="eastAsia"/>
          <w:color w:val="auto"/>
          <w:sz w:val="20"/>
          <w:szCs w:val="20"/>
          <w:lang w:val="en-US" w:eastAsia="zh-CN"/>
          <w:b/>
          <w:bCs/>
        </w:rPr>
        <w:t>Same future goal, different decision / 相同的未来目标，不同的决定</w:t>
      </w:r>
    </w:p>
    <w:tbl>
      <w:tblPr>
        <w:tblW w:w="7364" w:type="dxa"/>
        <w:tblLayout w:type="fixed"/>
        <w:tblLook w:val="04A0" w:firstRow="1" w:lastRow="0" w:firstColumn="1" w:lastColumn="0" w:noHBand="0" w:noVBand="1"/>
      </w:tblPr>
      <w:tblGrid>
        <w:gridCol w:w="5700"/>
        <w:gridCol w:w="1664"/>
      </w:tblGrid>
      <w:tr>
        <w:trPr>
          <w:cantSplit/>
          <w:tblHeader/>
        </w:trPr>
        <w:tc>
          <w:tcPr>
            <w:tcW w:w="570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Title"/>
              <w:snapToGrid w:val="0"/>
              <w:spacing w:before="0" w:after="0" w:line="210" w:lineRule="auto"/>
              <w:jc w:val="left"/>
              <w:keepLines/>
              <w:rPr>
                <w:sz w:val="19"/>
                <w:szCs w:val="19"/>
              </w:rPr>
            </w:pPr>
            <w:r>
              <w:rPr>
                <w:rFonts w:hint="eastAsia"/>
                <w:color w:val="auto"/>
                <w:sz w:val="19"/>
                <w:szCs w:val="19"/>
                <w:lang w:val="en-US" w:eastAsia="zh-CN"/>
                <w:b/>
                <w:bCs/>
              </w:rPr>
              <w:t>Decision</w:t>
            </w:r>
            <w:r>
              <w:rPr>
                <w:rFonts w:hint="eastAsia"/>
                <w:color w:val="auto"/>
                <w:sz w:val="19"/>
                <w:szCs w:val="19"/>
                <w:lang w:val="en-US" w:eastAsia="zh-CN"/>
                <w:b/>
                <w:bCs/>
              </w:rPr>
              <w:br/>
            </w:r>
            <w:r>
              <w:rPr>
                <w:rFonts w:hint="eastAsia"/>
                <w:color w:val="auto"/>
                <w:sz w:val="19"/>
                <w:szCs w:val="19"/>
                <w:lang w:val="en-US" w:eastAsia="zh-CN"/>
                <w:b/>
                <w:bCs/>
              </w:rPr>
              <w:t>决定</w:t>
            </w:r>
          </w:p>
        </w:tc>
        <w:tc>
          <w:tcPr>
            <w:tcW w:w="1664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Title"/>
              <w:snapToGrid w:val="0"/>
              <w:spacing w:before="0" w:after="0" w:line="210" w:lineRule="auto"/>
              <w:jc w:val="center"/>
              <w:keepLines/>
              <w:rPr>
                <w:sz w:val="19"/>
                <w:szCs w:val="19"/>
              </w:rPr>
            </w:pPr>
            <w:r>
              <w:rPr>
                <w:rFonts w:hint="eastAsia"/>
                <w:color w:val="auto"/>
                <w:sz w:val="19"/>
                <w:szCs w:val="19"/>
                <w:lang w:val="en-US" w:eastAsia="zh-CN"/>
                <w:b/>
                <w:bCs/>
              </w:rPr>
              <w:t>Classify</w:t>
            </w:r>
            <w:r>
              <w:rPr>
                <w:rFonts w:hint="eastAsia"/>
                <w:color w:val="auto"/>
                <w:sz w:val="19"/>
                <w:szCs w:val="19"/>
                <w:lang w:val="en-US" w:eastAsia="zh-CN"/>
                <w:b/>
                <w:bCs/>
              </w:rPr>
              <w:br/>
            </w:r>
            <w:r>
              <w:rPr>
                <w:rFonts w:hint="eastAsia"/>
                <w:color w:val="auto"/>
                <w:sz w:val="19"/>
                <w:szCs w:val="19"/>
                <w:lang w:val="en-US" w:eastAsia="zh-CN"/>
                <w:b/>
                <w:bCs/>
              </w:rPr>
              <w:t>分类</w:t>
            </w:r>
          </w:p>
        </w:tc>
      </w:tr>
      <w:tr>
        <w:trPr>
          <w:cantSplit/>
        </w:trPr>
        <w:tc>
          <w:tcPr>
            <w:tcW w:w="570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10" w:lineRule="auto"/>
              <w:jc w:val="left"/>
              <w:keepLines/>
              <w:rPr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Qin keeps next year's emergency medical money in an easy-access account and accepts the low return because safety matters most.</w:t>
            </w: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br/>
            </w: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秦把明年的应急医疗资金存入可随时取用的账户，并接受较低回报，因为安全性最重要。</w:t>
            </w:r>
          </w:p>
        </w:tc>
        <w:tc>
          <w:tcPr>
            <w:tcW w:w="1664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40" w:lineRule="auto"/>
              <w:jc w:val="center"/>
              <w:keepLines/>
              <w:rPr>
                <w:sz w:val="24"/>
                <w:szCs w:val="24"/>
              </w:rPr>
            </w:pPr>
            <w:r>
              <w:rPr>
                <w:rFonts w:hint="eastAsia" w:ascii="Segoe Print" w:hAnsi="Segoe Print"/>
                <w:color w:val="auto"/>
                <w:sz w:val="24"/>
                <w:szCs w:val="24"/>
                <w:lang w:val="en-US" w:eastAsia="zh-CN"/>
              </w:rPr>
              <w:t>Saving</w:t>
            </w:r>
          </w:p>
        </w:tc>
      </w:tr>
      <w:tr>
        <w:trPr>
          <w:cantSplit/>
        </w:trPr>
        <w:tc>
          <w:tcPr>
            <w:tcW w:w="570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10" w:lineRule="auto"/>
              <w:jc w:val="left"/>
              <w:keepLines/>
              <w:rPr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Ravi prepares for a university payment in twelve years by buying a diversified fund after reading its fees and risks. He accepts that its value may fall.</w:t>
            </w: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br/>
            </w: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拉维为十二年后的大学费用购买分散化基金；他阅读了费用和风险说明，并接受基金价值可能下跌。</w:t>
            </w:r>
          </w:p>
        </w:tc>
        <w:tc>
          <w:tcPr>
            <w:tcW w:w="1664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40" w:lineRule="auto"/>
              <w:keepLines/>
              <w:rPr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/>
            </w:r>
          </w:p>
        </w:tc>
      </w:tr>
      <w:tr>
        <w:trPr>
          <w:cantSplit/>
        </w:trPr>
        <w:tc>
          <w:tcPr>
            <w:tcW w:w="570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10" w:lineRule="auto"/>
              <w:jc w:val="left"/>
              <w:keepLines/>
              <w:rPr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Sara needs a house deposit in six months, so she keeps the money in a protected bank account that allows quick withdrawal.</w:t>
            </w: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br/>
            </w: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萨拉六个月后需要支付购房首付款，因此把钱存在可快速取用的受保护银行账户中。</w:t>
            </w:r>
          </w:p>
        </w:tc>
        <w:tc>
          <w:tcPr>
            <w:tcW w:w="1664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40" w:lineRule="auto"/>
              <w:keepLines/>
              <w:rPr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/>
            </w:r>
          </w:p>
        </w:tc>
      </w:tr>
      <w:tr>
        <w:trPr>
          <w:cantSplit/>
        </w:trPr>
        <w:tc>
          <w:tcPr>
            <w:tcW w:w="570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10" w:lineRule="auto"/>
              <w:jc w:val="left"/>
              <w:keepLines/>
              <w:rPr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Tom uses a diversified share fund for retirement in twenty-five years. He compares costs and accepts that prices will sometimes fall.</w:t>
            </w: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br/>
            </w: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>汤姆为二十五年后的退休购买分散化股票基金；他比较成本，并接受价格有时会下跌。</w:t>
            </w:r>
          </w:p>
        </w:tc>
        <w:tc>
          <w:tcPr>
            <w:tcW w:w="1664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40" w:lineRule="auto"/>
              <w:keepLines/>
              <w:rPr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</w:rPr>
              <w:t/>
            </w:r>
          </w:p>
        </w:tc>
      </w:tr>
    </w:tbl>
    <w:p>
      <w:pPr>
        <w:pStyle w:val="Heading1"/>
        <w:snapToGrid w:val="0"/>
        <w:spacing w:before="0" w:after="100" w:line="240" w:lineRule="auto"/>
        <w:keepNext/>
        <w:keepLines/>
        <w:pageBreakBefore/>
        <w:rPr>
          <w:sz w:val="32"/>
          <w:szCs w:val="32"/>
        </w:rPr>
      </w:pPr>
      <w:r>
        <w:rPr>
          <w:rFonts w:hint="eastAsia"/>
          <w:color w:val="auto"/>
          <w:sz w:val="32"/>
          <w:szCs w:val="32"/>
          <w:lang w:val="en-US" w:eastAsia="zh-CN"/>
          <w:b/>
          <w:bCs/>
        </w:rPr>
        <w:t>Use the decision rule</w:t>
      </w:r>
    </w:p>
    <w:p>
      <w:pPr>
        <w:pStyle w:val="SmallNote"/>
        <w:snapToGrid w:val="0"/>
        <w:spacing w:before="0" w:after="55" w:line="210" w:lineRule="auto"/>
        <w:keepNext/>
        <w:keepLines/>
        <w:rPr>
          <w:sz w:val="18"/>
          <w:szCs w:val="18"/>
        </w:rPr>
      </w:pPr>
      <w:r>
        <w:rPr>
          <w:rFonts w:hint="eastAsia"/>
          <w:color w:val="auto"/>
          <w:sz w:val="18"/>
          <w:szCs w:val="18"/>
          <w:lang w:val="en-US" w:eastAsia="zh-CN"/>
        </w:rPr>
        <w:t>Ask the questions in order. If evidence is insufficient, do not force a category. / 按顺序提问；证据不足时不要勉强分类。</w:t>
      </w:r>
    </w:p>
    <w:tbl>
      <w:tblPr>
        <w:tblW w:w="7364" w:type="dxa"/>
        <w:tblLayout w:type="fixed"/>
        <w:tblLook w:val="04A0" w:firstRow="1" w:lastRow="0" w:firstColumn="1" w:lastColumn="0" w:noHBand="0" w:noVBand="1"/>
      </w:tblPr>
      <w:tblGrid>
        <w:gridCol w:w="700"/>
        <w:gridCol w:w="4900"/>
        <w:gridCol w:w="1764"/>
      </w:tblGrid>
      <w:tr>
        <w:trPr>
          <w:cantSplit/>
          <w:tblHeader/>
        </w:trPr>
        <w:tc>
          <w:tcPr>
            <w:tcW w:w="70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Title"/>
              <w:snapToGrid w:val="0"/>
              <w:spacing w:before="0" w:after="0" w:line="210" w:lineRule="auto"/>
              <w:jc w:val="center"/>
              <w:keepLines/>
              <w:rPr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  <w:b/>
                <w:bCs/>
              </w:rPr>
              <w:t>Step</w:t>
            </w:r>
            <w:r>
              <w:rPr>
                <w:rFonts w:hint="eastAsia"/>
                <w:color w:val="auto"/>
                <w:sz w:val="18"/>
                <w:szCs w:val="18"/>
                <w:lang w:val="en-US" w:eastAsia="zh-CN"/>
                <w:b/>
                <w:bCs/>
              </w:rPr>
              <w:br/>
            </w:r>
            <w:r>
              <w:rPr>
                <w:rFonts w:hint="eastAsia"/>
                <w:color w:val="auto"/>
                <w:sz w:val="18"/>
                <w:szCs w:val="18"/>
                <w:lang w:val="en-US" w:eastAsia="zh-CN"/>
                <w:b/>
                <w:bCs/>
              </w:rPr>
              <w:t>步骤</w:t>
            </w:r>
          </w:p>
        </w:tc>
        <w:tc>
          <w:tcPr>
            <w:tcW w:w="490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Title"/>
              <w:snapToGrid w:val="0"/>
              <w:spacing w:before="0" w:after="0" w:line="210" w:lineRule="auto"/>
              <w:jc w:val="center"/>
              <w:keepLines/>
              <w:rPr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  <w:b/>
                <w:bCs/>
              </w:rPr>
              <w:t>Ask</w:t>
            </w:r>
            <w:r>
              <w:rPr>
                <w:rFonts w:hint="eastAsia"/>
                <w:color w:val="auto"/>
                <w:sz w:val="18"/>
                <w:szCs w:val="18"/>
                <w:lang w:val="en-US" w:eastAsia="zh-CN"/>
                <w:b/>
                <w:bCs/>
              </w:rPr>
              <w:br/>
            </w:r>
            <w:r>
              <w:rPr>
                <w:rFonts w:hint="eastAsia"/>
                <w:color w:val="auto"/>
                <w:sz w:val="18"/>
                <w:szCs w:val="18"/>
                <w:lang w:val="en-US" w:eastAsia="zh-CN"/>
                <w:b/>
                <w:bCs/>
              </w:rPr>
              <w:t>提问</w:t>
            </w:r>
          </w:p>
        </w:tc>
        <w:tc>
          <w:tcPr>
            <w:tcW w:w="1764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Title"/>
              <w:snapToGrid w:val="0"/>
              <w:spacing w:before="0" w:after="0" w:line="210" w:lineRule="auto"/>
              <w:jc w:val="center"/>
              <w:keepLines/>
              <w:rPr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  <w:b/>
                <w:bCs/>
              </w:rPr>
              <w:t>If yes</w:t>
            </w:r>
            <w:r>
              <w:rPr>
                <w:rFonts w:hint="eastAsia"/>
                <w:color w:val="auto"/>
                <w:sz w:val="18"/>
                <w:szCs w:val="18"/>
                <w:lang w:val="en-US" w:eastAsia="zh-CN"/>
                <w:b/>
                <w:bCs/>
              </w:rPr>
              <w:br/>
            </w:r>
            <w:r>
              <w:rPr>
                <w:rFonts w:hint="eastAsia"/>
                <w:color w:val="auto"/>
                <w:sz w:val="18"/>
                <w:szCs w:val="18"/>
                <w:lang w:val="en-US" w:eastAsia="zh-CN"/>
                <w:b/>
                <w:bCs/>
              </w:rPr>
              <w:t>如果是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Title"/>
              <w:snapToGrid w:val="0"/>
              <w:spacing w:before="0" w:after="0" w:line="210" w:lineRule="auto"/>
              <w:jc w:val="center"/>
              <w:keepLines/>
              <w:rPr>
                <w:sz w:val="17"/>
                <w:szCs w:val="17"/>
              </w:rPr>
            </w:pPr>
            <w:r>
              <w:rPr>
                <w:rFonts w:hint="eastAsia"/>
                <w:color w:val="auto"/>
                <w:sz w:val="17"/>
                <w:szCs w:val="17"/>
                <w:lang w:val="en-US" w:eastAsia="zh-CN"/>
                <w:b/>
                <w:bCs/>
              </w:rPr>
              <w:t>1</w:t>
            </w:r>
          </w:p>
        </w:tc>
        <w:tc>
          <w:tcPr>
            <w:tcW w:w="490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10" w:lineRule="auto"/>
              <w:jc w:val="left"/>
              <w:keepLines/>
              <w:rPr>
                <w:sz w:val="17"/>
                <w:szCs w:val="17"/>
              </w:rPr>
            </w:pP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Is safety and ready access the main priority?</w:t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br/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安全性和随时取用是否最重要？</w:t>
            </w:r>
          </w:p>
        </w:tc>
        <w:tc>
          <w:tcPr>
            <w:tcW w:w="1764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10" w:lineRule="auto"/>
              <w:jc w:val="left"/>
              <w:keepLines/>
              <w:rPr>
                <w:sz w:val="17"/>
                <w:szCs w:val="17"/>
              </w:rPr>
            </w:pP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Saving</w:t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br/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储蓄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Title"/>
              <w:snapToGrid w:val="0"/>
              <w:spacing w:before="0" w:after="0" w:line="210" w:lineRule="auto"/>
              <w:jc w:val="center"/>
              <w:keepLines/>
              <w:rPr>
                <w:sz w:val="17"/>
                <w:szCs w:val="17"/>
              </w:rPr>
            </w:pPr>
            <w:r>
              <w:rPr>
                <w:rFonts w:hint="eastAsia"/>
                <w:color w:val="auto"/>
                <w:sz w:val="17"/>
                <w:szCs w:val="17"/>
                <w:lang w:val="en-US" w:eastAsia="zh-CN"/>
                <w:b/>
                <w:bCs/>
              </w:rPr>
              <w:t>2</w:t>
            </w:r>
          </w:p>
        </w:tc>
        <w:tc>
          <w:tcPr>
            <w:tcW w:w="490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10" w:lineRule="auto"/>
              <w:jc w:val="left"/>
              <w:keepLines/>
              <w:rPr>
                <w:sz w:val="17"/>
                <w:szCs w:val="17"/>
              </w:rPr>
            </w:pP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If return is the goal, is it expected mainly from income, productive activity or evidence-supported underlying value?</w:t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br/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若目标是回报，是否主要来自收入、生产性活动或有证据支持的内在价值？</w:t>
            </w:r>
          </w:p>
        </w:tc>
        <w:tc>
          <w:tcPr>
            <w:tcW w:w="1764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10" w:lineRule="auto"/>
              <w:jc w:val="left"/>
              <w:keepLines/>
              <w:rPr>
                <w:sz w:val="17"/>
                <w:szCs w:val="17"/>
              </w:rPr>
            </w:pP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Investment</w:t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br/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投资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Title"/>
              <w:snapToGrid w:val="0"/>
              <w:spacing w:before="0" w:after="0" w:line="210" w:lineRule="auto"/>
              <w:jc w:val="center"/>
              <w:keepLines/>
              <w:rPr>
                <w:sz w:val="17"/>
                <w:szCs w:val="17"/>
              </w:rPr>
            </w:pPr>
            <w:r>
              <w:rPr>
                <w:rFonts w:hint="eastAsia"/>
                <w:color w:val="auto"/>
                <w:sz w:val="17"/>
                <w:szCs w:val="17"/>
                <w:lang w:val="en-US" w:eastAsia="zh-CN"/>
                <w:b/>
                <w:bCs/>
              </w:rPr>
              <w:t>3</w:t>
            </w:r>
          </w:p>
        </w:tc>
        <w:tc>
          <w:tcPr>
            <w:tcW w:w="490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10" w:lineRule="auto"/>
              <w:jc w:val="left"/>
              <w:keepLines/>
              <w:rPr>
                <w:sz w:val="17"/>
                <w:szCs w:val="17"/>
              </w:rPr>
            </w:pP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Does payoff depend mainly on a predicted price movement or uncertain event?</w:t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br/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回报是否主要依赖预测的价格变动或不确定事件？</w:t>
            </w:r>
          </w:p>
        </w:tc>
        <w:tc>
          <w:tcPr>
            <w:tcW w:w="1764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10" w:lineRule="auto"/>
              <w:jc w:val="left"/>
              <w:keepLines/>
              <w:rPr>
                <w:sz w:val="17"/>
                <w:szCs w:val="17"/>
              </w:rPr>
            </w:pP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Speculation</w:t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br/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投机</w:t>
            </w:r>
          </w:p>
        </w:tc>
      </w:tr>
    </w:tbl>
    <w:p>
      <w:pPr>
        <w:pStyle w:val="DefinitionTerm"/>
        <w:snapToGrid w:val="0"/>
        <w:spacing w:before="60" w:after="30" w:line="240" w:lineRule="auto"/>
        <w:keepNext/>
        <w:keepLines/>
        <w:rPr>
          <w:sz w:val="20"/>
          <w:szCs w:val="20"/>
        </w:rPr>
      </w:pPr>
      <w:r>
        <w:rPr>
          <w:rFonts w:hint="eastAsia"/>
          <w:color w:val="auto"/>
          <w:sz w:val="20"/>
          <w:szCs w:val="20"/>
          <w:lang w:val="en-US" w:eastAsia="zh-CN"/>
          <w:b/>
          <w:bCs/>
        </w:rPr>
        <w:t>Correct each inaccurate claim / 改正每个不准确的说法</w:t>
      </w:r>
    </w:p>
    <w:tbl>
      <w:tblPr>
        <w:tblW w:w="7364" w:type="dxa"/>
        <w:tblLayout w:type="fixed"/>
        <w:tblLook w:val="04A0" w:firstRow="1" w:lastRow="0" w:firstColumn="1" w:lastColumn="0" w:noHBand="0" w:noVBand="1"/>
      </w:tblPr>
      <w:tblGrid>
        <w:gridCol w:w="3650"/>
        <w:gridCol w:w="3714"/>
      </w:tblGrid>
      <w:tr>
        <w:trPr>
          <w:cantSplit/>
          <w:tblHeader/>
        </w:trPr>
        <w:tc>
          <w:tcPr>
            <w:tcW w:w="365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Title"/>
              <w:snapToGrid w:val="0"/>
              <w:spacing w:before="0" w:after="0" w:line="210" w:lineRule="auto"/>
              <w:jc w:val="center"/>
              <w:keepLines/>
              <w:rPr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  <w:b/>
                <w:bCs/>
              </w:rPr>
              <w:t>Inaccurate claim</w:t>
            </w:r>
            <w:r>
              <w:rPr>
                <w:rFonts w:hint="eastAsia"/>
                <w:color w:val="auto"/>
                <w:sz w:val="18"/>
                <w:szCs w:val="18"/>
                <w:lang w:val="en-US" w:eastAsia="zh-CN"/>
                <w:b/>
                <w:bCs/>
              </w:rPr>
              <w:br/>
            </w:r>
            <w:r>
              <w:rPr>
                <w:rFonts w:hint="eastAsia"/>
                <w:color w:val="auto"/>
                <w:sz w:val="18"/>
                <w:szCs w:val="18"/>
                <w:lang w:val="en-US" w:eastAsia="zh-CN"/>
                <w:b/>
                <w:bCs/>
              </w:rPr>
              <w:t>不准确的说法</w:t>
            </w:r>
          </w:p>
        </w:tc>
        <w:tc>
          <w:tcPr>
            <w:tcW w:w="3714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Title"/>
              <w:snapToGrid w:val="0"/>
              <w:spacing w:before="0" w:after="0" w:line="210" w:lineRule="auto"/>
              <w:jc w:val="center"/>
              <w:keepLines/>
              <w:rPr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  <w:b/>
                <w:bCs/>
              </w:rPr>
              <w:t>More accurate correction</w:t>
            </w:r>
            <w:r>
              <w:rPr>
                <w:rFonts w:hint="eastAsia"/>
                <w:color w:val="auto"/>
                <w:sz w:val="18"/>
                <w:szCs w:val="18"/>
                <w:lang w:val="en-US" w:eastAsia="zh-CN"/>
                <w:b/>
                <w:bCs/>
              </w:rPr>
              <w:br/>
            </w:r>
            <w:r>
              <w:rPr>
                <w:rFonts w:hint="eastAsia"/>
                <w:color w:val="auto"/>
                <w:sz w:val="18"/>
                <w:szCs w:val="18"/>
                <w:lang w:val="en-US" w:eastAsia="zh-CN"/>
                <w:b/>
                <w:bCs/>
              </w:rPr>
              <w:t>更准确的改正</w:t>
            </w:r>
          </w:p>
        </w:tc>
      </w:tr>
      <w:tr>
        <w:trPr>
          <w:cantSplit/>
        </w:trPr>
        <w:tc>
          <w:tcPr>
            <w:tcW w:w="365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10" w:lineRule="auto"/>
              <w:jc w:val="left"/>
              <w:keepLines/>
              <w:rPr>
                <w:sz w:val="17"/>
                <w:szCs w:val="17"/>
              </w:rPr>
            </w:pP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It is for a future goal, so it is an investment.</w:t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br/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它用于未来目标，所以它是投资。</w:t>
            </w:r>
          </w:p>
        </w:tc>
        <w:tc>
          <w:tcPr>
            <w:tcW w:w="3714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40" w:lineRule="auto"/>
              <w:jc w:val="left"/>
              <w:keepLines/>
              <w:rPr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  <w:u w:val="single"/>
              </w:rPr>
              <w:t xml:space="preserve">                                            </w:t>
            </w:r>
          </w:p>
        </w:tc>
      </w:tr>
      <w:tr>
        <w:trPr>
          <w:cantSplit/>
        </w:trPr>
        <w:tc>
          <w:tcPr>
            <w:tcW w:w="365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10" w:lineRule="auto"/>
              <w:jc w:val="left"/>
              <w:keepLines/>
              <w:rPr>
                <w:sz w:val="17"/>
                <w:szCs w:val="17"/>
              </w:rPr>
            </w:pP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It uses shares, so it is an investment.</w:t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br/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它涉及股票，所以它是投资。</w:t>
            </w:r>
          </w:p>
        </w:tc>
        <w:tc>
          <w:tcPr>
            <w:tcW w:w="3714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40" w:lineRule="auto"/>
              <w:jc w:val="left"/>
              <w:keepLines/>
              <w:rPr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  <w:u w:val="single"/>
              </w:rPr>
              <w:t xml:space="preserve">                                            </w:t>
            </w:r>
          </w:p>
        </w:tc>
      </w:tr>
      <w:tr>
        <w:trPr>
          <w:cantSplit/>
        </w:trPr>
        <w:tc>
          <w:tcPr>
            <w:tcW w:w="365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10" w:lineRule="auto"/>
              <w:jc w:val="left"/>
              <w:keepLines/>
              <w:rPr>
                <w:sz w:val="17"/>
                <w:szCs w:val="17"/>
              </w:rPr>
            </w:pP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It is risky and short term, so it must be speculation.</w:t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br/>
            </w:r>
            <w:r>
              <w:rPr>
                <w:rFonts w:hint="eastAsia"/>
                <w:color w:val="auto"/>
                <w:sz w:val="17"/>
                <w:szCs w:val="17"/>
                <w:lang w:val="en-US" w:eastAsia="zh-CN"/>
              </w:rPr>
              <w:t>它风险高且期限短，所以一定是投机。</w:t>
            </w:r>
          </w:p>
        </w:tc>
        <w:tc>
          <w:tcPr>
            <w:tcW w:w="3714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aseBody"/>
              <w:snapToGrid w:val="0"/>
              <w:spacing w:before="0" w:after="0" w:line="240" w:lineRule="auto"/>
              <w:jc w:val="left"/>
              <w:keepLines/>
              <w:rPr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  <w:lang w:val="en-US" w:eastAsia="zh-CN"/>
                <w:u w:val="single"/>
              </w:rPr>
              <w:t xml:space="preserve">                                            </w:t>
            </w:r>
          </w:p>
        </w:tc>
      </w:tr>
    </w:tbl>
    <w:p>
      <w:pPr>
        <w:pStyle w:val="Heading1"/>
        <w:snapToGrid w:val="0"/>
        <w:spacing w:before="100" w:after="45" w:line="240" w:lineRule="auto"/>
        <w:keepNext/>
        <w:keepLines/>
        <w:rPr>
          <w:sz w:val="28"/>
          <w:szCs w:val="28"/>
        </w:rPr>
      </w:pPr>
      <w:r>
        <w:rPr>
          <w:rFonts w:hint="eastAsia"/>
          <w:color w:val="auto"/>
          <w:sz w:val="28"/>
          <w:szCs w:val="28"/>
          <w:lang w:val="en-US" w:eastAsia="zh-CN"/>
          <w:b/>
          <w:bCs/>
        </w:rPr>
        <w:t>MCQs</w:t>
      </w:r>
    </w:p>
    <w:p>
      <w:pPr>
        <w:pStyle w:val="DefinitionBody"/>
        <w:snapToGrid w:val="0"/>
        <w:spacing w:before="0" w:after="15" w:line="220" w:lineRule="auto"/>
        <w:keepNext/>
        <w:keepLines/>
        <w:rPr>
          <w:sz w:val="19"/>
          <w:szCs w:val="19"/>
        </w:rPr>
      </w:pPr>
      <w:r>
        <w:rPr>
          <w:rFonts w:hint="eastAsia"/>
          <w:color w:val="auto"/>
          <w:sz w:val="19"/>
          <w:szCs w:val="19"/>
          <w:lang w:val="en-US" w:eastAsia="zh-CN"/>
          <w:b/>
          <w:bCs/>
        </w:rPr>
        <w:t>1. Which factor most clearly distinguishes investment from speculation?</w:t>
      </w:r>
    </w:p>
    <w:p>
      <w:pPr>
        <w:pStyle w:val="DefinitionBody"/>
        <w:snapToGrid w:val="0"/>
        <w:spacing w:before="0" w:after="10" w:line="210" w:lineRule="auto"/>
        <w:keepNext/>
        <w:keepLines/>
        <w:ind w:left="340" w:hanging="340"/>
        <w:tabs>
          <w:tab w:val="left" w:pos="340"/>
        </w:tabs>
        <w:rPr>
          <w:sz w:val="18"/>
          <w:szCs w:val="18"/>
        </w:rPr>
      </w:pPr>
      <w:r>
        <w:rPr>
          <w:rFonts w:hint="eastAsia"/>
          <w:color w:val="auto"/>
          <w:sz w:val="18"/>
          <w:szCs w:val="18"/>
          <w:lang w:val="en-US" w:eastAsia="zh-CN"/>
        </w:rPr>
        <w:t>A.</w:t>
      </w:r>
      <w:r>
        <w:rPr>
          <w:rFonts w:hint="eastAsia"/>
          <w:color w:val="auto"/>
          <w:sz w:val="18"/>
          <w:szCs w:val="18"/>
          <w:lang w:val="en-US" w:eastAsia="zh-CN"/>
        </w:rPr>
        <w:tab/>
      </w:r>
      <w:r>
        <w:rPr>
          <w:rFonts w:hint="eastAsia"/>
          <w:color w:val="auto"/>
          <w:sz w:val="18"/>
          <w:szCs w:val="18"/>
          <w:lang w:val="en-US" w:eastAsia="zh-CN"/>
        </w:rPr>
        <w:t>The name of the asset.</w:t>
      </w:r>
    </w:p>
    <w:p>
      <w:pPr>
        <w:pStyle w:val="DefinitionBody"/>
        <w:snapToGrid w:val="0"/>
        <w:spacing w:before="0" w:after="10" w:line="210" w:lineRule="auto"/>
        <w:keepNext/>
        <w:keepLines/>
        <w:ind w:left="340" w:hanging="340"/>
        <w:tabs>
          <w:tab w:val="left" w:pos="340"/>
        </w:tabs>
        <w:rPr>
          <w:sz w:val="18"/>
          <w:szCs w:val="18"/>
        </w:rPr>
      </w:pPr>
      <w:r>
        <w:rPr>
          <w:rFonts w:hint="eastAsia"/>
          <w:color w:val="auto"/>
          <w:sz w:val="18"/>
          <w:szCs w:val="18"/>
          <w:lang w:val="en-US" w:eastAsia="zh-CN"/>
        </w:rPr>
        <w:t>B.</w:t>
      </w:r>
      <w:r>
        <w:rPr>
          <w:rFonts w:hint="eastAsia"/>
          <w:color w:val="auto"/>
          <w:sz w:val="18"/>
          <w:szCs w:val="18"/>
          <w:lang w:val="en-US" w:eastAsia="zh-CN"/>
        </w:rPr>
        <w:tab/>
      </w:r>
      <w:r>
        <w:rPr>
          <w:rFonts w:hint="eastAsia"/>
          <w:color w:val="auto"/>
          <w:sz w:val="18"/>
          <w:szCs w:val="18"/>
          <w:lang w:val="en-US" w:eastAsia="zh-CN"/>
        </w:rPr>
        <w:t>Whether any risk exists.</w:t>
      </w:r>
    </w:p>
    <w:p>
      <w:pPr>
        <w:pStyle w:val="DefinitionBody"/>
        <w:snapToGrid w:val="0"/>
        <w:spacing w:before="0" w:after="10" w:line="210" w:lineRule="auto"/>
        <w:keepNext/>
        <w:keepLines/>
        <w:ind w:left="340" w:hanging="340"/>
        <w:tabs>
          <w:tab w:val="left" w:pos="340"/>
        </w:tabs>
        <w:rPr>
          <w:sz w:val="18"/>
          <w:szCs w:val="18"/>
        </w:rPr>
      </w:pPr>
      <w:r>
        <w:rPr>
          <w:rFonts w:hint="eastAsia"/>
          <w:color w:val="auto"/>
          <w:sz w:val="18"/>
          <w:szCs w:val="18"/>
          <w:lang w:val="en-US" w:eastAsia="zh-CN"/>
        </w:rPr>
        <w:t>C.</w:t>
      </w:r>
      <w:r>
        <w:rPr>
          <w:rFonts w:hint="eastAsia"/>
          <w:color w:val="auto"/>
          <w:sz w:val="18"/>
          <w:szCs w:val="18"/>
          <w:lang w:val="en-US" w:eastAsia="zh-CN"/>
        </w:rPr>
        <w:tab/>
      </w:r>
      <w:r>
        <w:rPr>
          <w:rFonts w:hint="eastAsia"/>
          <w:color w:val="auto"/>
          <w:sz w:val="18"/>
          <w:szCs w:val="18"/>
          <w:lang w:val="en-US" w:eastAsia="zh-CN"/>
        </w:rPr>
        <w:t>The main expected source of payoff.</w:t>
      </w:r>
    </w:p>
    <w:p>
      <w:pPr>
        <w:pStyle w:val="DefinitionBody"/>
        <w:snapToGrid w:val="0"/>
        <w:spacing w:before="0" w:after="20" w:line="210" w:lineRule="auto"/>
        <w:keepLines/>
        <w:ind w:left="340" w:hanging="340"/>
        <w:tabs>
          <w:tab w:val="left" w:pos="340"/>
        </w:tabs>
        <w:rPr>
          <w:sz w:val="18"/>
          <w:szCs w:val="18"/>
        </w:rPr>
      </w:pPr>
      <w:r>
        <w:rPr>
          <w:rFonts w:hint="eastAsia"/>
          <w:color w:val="auto"/>
          <w:sz w:val="18"/>
          <w:szCs w:val="18"/>
          <w:lang w:val="en-US" w:eastAsia="zh-CN"/>
        </w:rPr>
        <w:t>D.</w:t>
      </w:r>
      <w:r>
        <w:rPr>
          <w:rFonts w:hint="eastAsia"/>
          <w:color w:val="auto"/>
          <w:sz w:val="18"/>
          <w:szCs w:val="18"/>
          <w:lang w:val="en-US" w:eastAsia="zh-CN"/>
        </w:rPr>
        <w:tab/>
      </w:r>
      <w:r>
        <w:rPr>
          <w:rFonts w:hint="eastAsia"/>
          <w:color w:val="auto"/>
          <w:sz w:val="18"/>
          <w:szCs w:val="18"/>
          <w:lang w:val="en-US" w:eastAsia="zh-CN"/>
        </w:rPr>
        <w:t>Whether the goal is in the future.</w:t>
      </w:r>
    </w:p>
    <w:p>
      <w:pPr>
        <w:pStyle w:val="DefinitionBody"/>
        <w:snapToGrid w:val="0"/>
        <w:spacing w:before="65" w:after="15" w:line="220" w:lineRule="auto"/>
        <w:keepNext/>
        <w:keepLines/>
        <w:rPr>
          <w:sz w:val="19"/>
          <w:szCs w:val="19"/>
        </w:rPr>
      </w:pPr>
      <w:r>
        <w:rPr>
          <w:rFonts w:hint="eastAsia"/>
          <w:color w:val="auto"/>
          <w:sz w:val="19"/>
          <w:szCs w:val="19"/>
          <w:lang w:val="en-US" w:eastAsia="zh-CN"/>
          <w:b/>
          <w:bCs/>
        </w:rPr>
        <w:t>2. Which decision is saving rather than investment?</w:t>
      </w:r>
    </w:p>
    <w:p>
      <w:pPr>
        <w:pStyle w:val="DefinitionBody"/>
        <w:snapToGrid w:val="0"/>
        <w:spacing w:before="0" w:after="10" w:line="210" w:lineRule="auto"/>
        <w:keepNext/>
        <w:keepLines/>
        <w:ind w:left="340" w:hanging="340"/>
        <w:tabs>
          <w:tab w:val="left" w:pos="340"/>
        </w:tabs>
        <w:rPr>
          <w:sz w:val="18"/>
          <w:szCs w:val="18"/>
        </w:rPr>
      </w:pPr>
      <w:r>
        <w:rPr>
          <w:rFonts w:hint="eastAsia"/>
          <w:color w:val="auto"/>
          <w:sz w:val="18"/>
          <w:szCs w:val="18"/>
          <w:lang w:val="en-US" w:eastAsia="zh-CN"/>
        </w:rPr>
        <w:t>A.</w:t>
      </w:r>
      <w:r>
        <w:rPr>
          <w:rFonts w:hint="eastAsia"/>
          <w:color w:val="auto"/>
          <w:sz w:val="18"/>
          <w:szCs w:val="18"/>
          <w:lang w:val="en-US" w:eastAsia="zh-CN"/>
        </w:rPr>
        <w:tab/>
      </w:r>
      <w:r>
        <w:rPr>
          <w:rFonts w:hint="eastAsia"/>
          <w:color w:val="auto"/>
          <w:sz w:val="18"/>
          <w:szCs w:val="18"/>
          <w:lang w:val="en-US" w:eastAsia="zh-CN"/>
        </w:rPr>
        <w:t>Keeping next year's tuition in a protected, easy-access account.</w:t>
      </w:r>
    </w:p>
    <w:p>
      <w:pPr>
        <w:pStyle w:val="DefinitionBody"/>
        <w:snapToGrid w:val="0"/>
        <w:spacing w:before="0" w:after="10" w:line="210" w:lineRule="auto"/>
        <w:keepNext/>
        <w:keepLines/>
        <w:ind w:left="340" w:hanging="340"/>
        <w:tabs>
          <w:tab w:val="left" w:pos="340"/>
        </w:tabs>
        <w:rPr>
          <w:sz w:val="18"/>
          <w:szCs w:val="18"/>
        </w:rPr>
      </w:pPr>
      <w:r>
        <w:rPr>
          <w:rFonts w:hint="eastAsia"/>
          <w:color w:val="auto"/>
          <w:sz w:val="18"/>
          <w:szCs w:val="18"/>
          <w:lang w:val="en-US" w:eastAsia="zh-CN"/>
        </w:rPr>
        <w:t>B.</w:t>
      </w:r>
      <w:r>
        <w:rPr>
          <w:rFonts w:hint="eastAsia"/>
          <w:color w:val="auto"/>
          <w:sz w:val="18"/>
          <w:szCs w:val="18"/>
          <w:lang w:val="en-US" w:eastAsia="zh-CN"/>
        </w:rPr>
        <w:tab/>
      </w:r>
      <w:r>
        <w:rPr>
          <w:rFonts w:hint="eastAsia"/>
          <w:color w:val="auto"/>
          <w:sz w:val="18"/>
          <w:szCs w:val="18"/>
          <w:lang w:val="en-US" w:eastAsia="zh-CN"/>
        </w:rPr>
        <w:t>Buying a diversified fund for twenty years while accepting possible loss.</w:t>
      </w:r>
    </w:p>
    <w:p>
      <w:pPr>
        <w:pStyle w:val="DefinitionBody"/>
        <w:snapToGrid w:val="0"/>
        <w:spacing w:before="0" w:after="10" w:line="210" w:lineRule="auto"/>
        <w:keepNext/>
        <w:keepLines/>
        <w:ind w:left="340" w:hanging="340"/>
        <w:tabs>
          <w:tab w:val="left" w:pos="340"/>
        </w:tabs>
        <w:rPr>
          <w:sz w:val="18"/>
          <w:szCs w:val="18"/>
        </w:rPr>
      </w:pPr>
      <w:r>
        <w:rPr>
          <w:rFonts w:hint="eastAsia"/>
          <w:color w:val="auto"/>
          <w:sz w:val="18"/>
          <w:szCs w:val="18"/>
          <w:lang w:val="en-US" w:eastAsia="zh-CN"/>
        </w:rPr>
        <w:t>C.</w:t>
      </w:r>
      <w:r>
        <w:rPr>
          <w:rFonts w:hint="eastAsia"/>
          <w:color w:val="auto"/>
          <w:sz w:val="18"/>
          <w:szCs w:val="18"/>
          <w:lang w:val="en-US" w:eastAsia="zh-CN"/>
        </w:rPr>
        <w:tab/>
      </w:r>
      <w:r>
        <w:rPr>
          <w:rFonts w:hint="eastAsia"/>
          <w:color w:val="auto"/>
          <w:sz w:val="18"/>
          <w:szCs w:val="18"/>
          <w:lang w:val="en-US" w:eastAsia="zh-CN"/>
        </w:rPr>
        <w:t>Buying shares after analysing earnings and cash flows.</w:t>
      </w:r>
    </w:p>
    <w:p>
      <w:pPr>
        <w:pStyle w:val="DefinitionBody"/>
        <w:snapToGrid w:val="0"/>
        <w:spacing w:before="0" w:after="20" w:line="210" w:lineRule="auto"/>
        <w:keepLines/>
        <w:ind w:left="340" w:hanging="340"/>
        <w:tabs>
          <w:tab w:val="left" w:pos="340"/>
        </w:tabs>
        <w:rPr>
          <w:sz w:val="18"/>
          <w:szCs w:val="18"/>
        </w:rPr>
      </w:pPr>
      <w:r>
        <w:rPr>
          <w:rFonts w:hint="eastAsia"/>
          <w:color w:val="auto"/>
          <w:sz w:val="18"/>
          <w:szCs w:val="18"/>
          <w:lang w:val="en-US" w:eastAsia="zh-CN"/>
        </w:rPr>
        <w:t>D.</w:t>
      </w:r>
      <w:r>
        <w:rPr>
          <w:rFonts w:hint="eastAsia"/>
          <w:color w:val="auto"/>
          <w:sz w:val="18"/>
          <w:szCs w:val="18"/>
          <w:lang w:val="en-US" w:eastAsia="zh-CN"/>
        </w:rPr>
        <w:tab/>
      </w:r>
      <w:r>
        <w:rPr>
          <w:rFonts w:hint="eastAsia"/>
          <w:color w:val="auto"/>
          <w:sz w:val="18"/>
          <w:szCs w:val="18"/>
          <w:lang w:val="en-US" w:eastAsia="zh-CN"/>
        </w:rPr>
        <w:t>Buying an apartment mainly for expected rental income.</w:t>
      </w:r>
    </w:p>
    <w:p>
      <w:pPr>
        <w:pStyle w:val="DefinitionBody"/>
        <w:snapToGrid w:val="0"/>
        <w:spacing w:before="65" w:after="15" w:line="220" w:lineRule="auto"/>
        <w:keepNext/>
        <w:keepLines/>
        <w:rPr>
          <w:sz w:val="19"/>
          <w:szCs w:val="19"/>
        </w:rPr>
      </w:pPr>
      <w:r>
        <w:rPr>
          <w:rFonts w:hint="eastAsia"/>
          <w:color w:val="auto"/>
          <w:sz w:val="19"/>
          <w:szCs w:val="19"/>
          <w:lang w:val="en-US" w:eastAsia="zh-CN"/>
          <w:b/>
          <w:bCs/>
        </w:rPr>
        <w:t>3. Which is the clearest evidence of speculation rather than investment?</w:t>
      </w:r>
    </w:p>
    <w:p>
      <w:pPr>
        <w:pStyle w:val="DefinitionBody"/>
        <w:snapToGrid w:val="0"/>
        <w:spacing w:before="0" w:after="10" w:line="210" w:lineRule="auto"/>
        <w:keepNext/>
        <w:keepLines/>
        <w:ind w:left="340" w:hanging="340"/>
        <w:tabs>
          <w:tab w:val="left" w:pos="340"/>
        </w:tabs>
        <w:rPr>
          <w:sz w:val="18"/>
          <w:szCs w:val="18"/>
        </w:rPr>
      </w:pPr>
      <w:r>
        <w:rPr>
          <w:rFonts w:hint="eastAsia"/>
          <w:color w:val="auto"/>
          <w:sz w:val="18"/>
          <w:szCs w:val="18"/>
          <w:lang w:val="en-US" w:eastAsia="zh-CN"/>
        </w:rPr>
        <w:t>A.</w:t>
      </w:r>
      <w:r>
        <w:rPr>
          <w:rFonts w:hint="eastAsia"/>
          <w:color w:val="auto"/>
          <w:sz w:val="18"/>
          <w:szCs w:val="18"/>
          <w:lang w:val="en-US" w:eastAsia="zh-CN"/>
        </w:rPr>
        <w:tab/>
      </w:r>
      <w:r>
        <w:rPr>
          <w:rFonts w:hint="eastAsia"/>
          <w:color w:val="auto"/>
          <w:sz w:val="18"/>
          <w:szCs w:val="18"/>
          <w:lang w:val="en-US" w:eastAsia="zh-CN"/>
        </w:rPr>
        <w:t>Expected rental income after analysing costs.</w:t>
      </w:r>
    </w:p>
    <w:p>
      <w:pPr>
        <w:pStyle w:val="DefinitionBody"/>
        <w:snapToGrid w:val="0"/>
        <w:spacing w:before="0" w:after="10" w:line="210" w:lineRule="auto"/>
        <w:keepNext/>
        <w:keepLines/>
        <w:ind w:left="340" w:hanging="340"/>
        <w:tabs>
          <w:tab w:val="left" w:pos="340"/>
        </w:tabs>
        <w:rPr>
          <w:sz w:val="18"/>
          <w:szCs w:val="18"/>
        </w:rPr>
      </w:pPr>
      <w:r>
        <w:rPr>
          <w:rFonts w:hint="eastAsia"/>
          <w:color w:val="auto"/>
          <w:sz w:val="18"/>
          <w:szCs w:val="18"/>
          <w:lang w:val="en-US" w:eastAsia="zh-CN"/>
        </w:rPr>
        <w:t>B.</w:t>
      </w:r>
      <w:r>
        <w:rPr>
          <w:rFonts w:hint="eastAsia"/>
          <w:color w:val="auto"/>
          <w:sz w:val="18"/>
          <w:szCs w:val="18"/>
          <w:lang w:val="en-US" w:eastAsia="zh-CN"/>
        </w:rPr>
        <w:tab/>
      </w:r>
      <w:r>
        <w:rPr>
          <w:rFonts w:hint="eastAsia"/>
          <w:color w:val="auto"/>
          <w:sz w:val="18"/>
          <w:szCs w:val="18"/>
          <w:lang w:val="en-US" w:eastAsia="zh-CN"/>
        </w:rPr>
        <w:t>A diversified portfolio supported by business evidence.</w:t>
      </w:r>
    </w:p>
    <w:p>
      <w:pPr>
        <w:pStyle w:val="DefinitionBody"/>
        <w:snapToGrid w:val="0"/>
        <w:spacing w:before="0" w:after="10" w:line="210" w:lineRule="auto"/>
        <w:keepNext/>
        <w:keepLines/>
        <w:ind w:left="340" w:hanging="340"/>
        <w:tabs>
          <w:tab w:val="left" w:pos="340"/>
        </w:tabs>
        <w:rPr>
          <w:sz w:val="18"/>
          <w:szCs w:val="18"/>
        </w:rPr>
      </w:pPr>
      <w:r>
        <w:rPr>
          <w:rFonts w:hint="eastAsia"/>
          <w:color w:val="auto"/>
          <w:sz w:val="18"/>
          <w:szCs w:val="18"/>
          <w:lang w:val="en-US" w:eastAsia="zh-CN"/>
        </w:rPr>
        <w:t>C.</w:t>
      </w:r>
      <w:r>
        <w:rPr>
          <w:rFonts w:hint="eastAsia"/>
          <w:color w:val="auto"/>
          <w:sz w:val="18"/>
          <w:szCs w:val="18"/>
          <w:lang w:val="en-US" w:eastAsia="zh-CN"/>
        </w:rPr>
        <w:tab/>
      </w:r>
      <w:r>
        <w:rPr>
          <w:rFonts w:hint="eastAsia"/>
          <w:color w:val="auto"/>
          <w:sz w:val="18"/>
          <w:szCs w:val="18"/>
          <w:lang w:val="en-US" w:eastAsia="zh-CN"/>
        </w:rPr>
        <w:t>Borrowing after a rumour of a next-week price jump and planning an immediate sale.</w:t>
      </w:r>
    </w:p>
    <w:p>
      <w:pPr>
        <w:pStyle w:val="DefinitionBody"/>
        <w:snapToGrid w:val="0"/>
        <w:spacing w:before="0" w:after="20" w:line="210" w:lineRule="auto"/>
        <w:keepLines/>
        <w:ind w:left="340" w:hanging="340"/>
        <w:tabs>
          <w:tab w:val="left" w:pos="340"/>
        </w:tabs>
        <w:rPr>
          <w:sz w:val="18"/>
          <w:szCs w:val="18"/>
        </w:rPr>
      </w:pPr>
      <w:r>
        <w:rPr>
          <w:rFonts w:hint="eastAsia"/>
          <w:color w:val="auto"/>
          <w:sz w:val="18"/>
          <w:szCs w:val="18"/>
          <w:lang w:val="en-US" w:eastAsia="zh-CN"/>
        </w:rPr>
        <w:t>D.</w:t>
      </w:r>
      <w:r>
        <w:rPr>
          <w:rFonts w:hint="eastAsia"/>
          <w:color w:val="auto"/>
          <w:sz w:val="18"/>
          <w:szCs w:val="18"/>
          <w:lang w:val="en-US" w:eastAsia="zh-CN"/>
        </w:rPr>
        <w:tab/>
      </w:r>
      <w:r>
        <w:rPr>
          <w:rFonts w:hint="eastAsia"/>
          <w:color w:val="auto"/>
          <w:sz w:val="18"/>
          <w:szCs w:val="18"/>
          <w:lang w:val="en-US" w:eastAsia="zh-CN"/>
        </w:rPr>
        <w:t>Accepting that a long-term fund may sometimes fall in value.</w:t>
      </w:r>
    </w:p>
    <w:sectPr w:rsidR="00841A5C" w:rsidSect="00595396">
      <w:headerReference w:type="default" r:id="rId8"/>
      <w:footerReference w:type="default" r:id="rId9"/>
      <w:pgSz w:w="10433" w:h="14742"/>
      <w:pgMar w:top="1440" w:right="1440" w:bottom="851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711D6" w14:textId="77777777" w:rsidR="00214FD5" w:rsidRDefault="00214FD5">
      <w:pPr>
        <w:spacing w:after="0" w:line="240" w:lineRule="auto"/>
      </w:pPr>
      <w:r>
        <w:separator/>
      </w:r>
    </w:p>
  </w:endnote>
  <w:endnote w:type="continuationSeparator" w:id="0">
    <w:p w14:paraId="4092E32E" w14:textId="77777777" w:rsidR="00214FD5" w:rsidRDefault="00214F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D8F76" w14:textId="77777777" w:rsidR="009B5555" w:rsidRDefault="009B5555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6D5F9" w14:textId="77777777" w:rsidR="00214FD5" w:rsidRDefault="00214FD5">
      <w:pPr>
        <w:spacing w:after="0" w:line="240" w:lineRule="auto"/>
      </w:pPr>
      <w:r>
        <w:separator/>
      </w:r>
    </w:p>
  </w:footnote>
  <w:footnote w:type="continuationSeparator" w:id="0">
    <w:p w14:paraId="7CDBB887" w14:textId="77777777" w:rsidR="00214FD5" w:rsidRDefault="00214F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D0120" w14:textId="77777777" w:rsidR="009B5555" w:rsidRDefault="00000000">
    <w:pPr>
      <w:pStyle w:val="Header"/>
    </w:pPr>
    <w:r>
      <w:rPr>
        <w:b/>
        <w:color w:val="586575"/>
        <w:sz w:val="16"/>
      </w:rPr>
      <w:t>INVESTMENT AND FINANCIAL DECISION-MAKING</w:t>
    </w:r>
    <w:r>
      <w:rPr>
        <w:b/>
        <w:color w:val="586575"/>
        <w:sz w:val="16"/>
      </w:rPr>
      <w:tab/>
      <w:t xml:space="preserve">UNIT </w:t>
    </w:r>
    <w:proofErr w:type="gramStart"/>
    <w:r>
      <w:rPr>
        <w:b/>
        <w:color w:val="586575"/>
        <w:sz w:val="16"/>
      </w:rPr>
      <w:t>1  |</w:t>
    </w:r>
    <w:proofErr w:type="gramEnd"/>
    <w:r>
      <w:rPr>
        <w:b/>
        <w:color w:val="586575"/>
        <w:sz w:val="16"/>
      </w:rPr>
      <w:t xml:space="preserve">  LESSON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0D0E6F"/>
    <w:multiLevelType w:val="singleLevel"/>
    <w:tmpl w:val="D74E83D4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80"/>
      </w:pPr>
    </w:lvl>
  </w:abstractNum>
  <w:abstractNum w:abstractNumId="10" w15:restartNumberingAfterBreak="0">
    <w:nsid w:val="1B467153"/>
    <w:multiLevelType w:val="singleLevel"/>
    <w:tmpl w:val="8B18BC40"/>
    <w:lvl w:ilvl="0">
      <w:start w:val="1"/>
      <w:numFmt w:val="lowerLetter"/>
      <w:lvlText w:val="%1)"/>
      <w:lvlJc w:val="left"/>
      <w:pPr>
        <w:tabs>
          <w:tab w:val="num" w:pos="900"/>
        </w:tabs>
        <w:spacing w:after="80" w:line="300" w:lineRule="auto"/>
        <w:ind w:left="900" w:hanging="300"/>
      </w:pPr>
    </w:lvl>
  </w:abstractNum>
  <w:abstractNum w:abstractNumId="11" w15:restartNumberingAfterBreak="0">
    <w:nsid w:val="3B3A66B1"/>
    <w:multiLevelType w:val="singleLevel"/>
    <w:tmpl w:val="A132A396"/>
    <w:lvl w:ilvl="0">
      <w:start w:val="1"/>
      <w:numFmt w:val="decimal"/>
      <w:lvlText w:val="%1."/>
      <w:lvlJc w:val="left"/>
      <w:pPr>
        <w:tabs>
          <w:tab w:val="num" w:pos="720"/>
        </w:tabs>
        <w:spacing w:after="80" w:line="300" w:lineRule="auto"/>
        <w:ind w:left="720" w:hanging="360"/>
      </w:pPr>
    </w:lvl>
  </w:abstractNum>
  <w:abstractNum w:abstractNumId="12" w15:restartNumberingAfterBreak="0">
    <w:nsid w:val="73710E67"/>
    <w:multiLevelType w:val="singleLevel"/>
    <w:tmpl w:val="91CE21CA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80"/>
      </w:pPr>
    </w:lvl>
  </w:abstractNum>
  <w:num w:numId="1" w16cid:durableId="1402480287">
    <w:abstractNumId w:val="8"/>
  </w:num>
  <w:num w:numId="2" w16cid:durableId="759642903">
    <w:abstractNumId w:val="6"/>
  </w:num>
  <w:num w:numId="3" w16cid:durableId="550115986">
    <w:abstractNumId w:val="5"/>
  </w:num>
  <w:num w:numId="4" w16cid:durableId="64962760">
    <w:abstractNumId w:val="4"/>
  </w:num>
  <w:num w:numId="5" w16cid:durableId="167792735">
    <w:abstractNumId w:val="7"/>
  </w:num>
  <w:num w:numId="6" w16cid:durableId="1341394362">
    <w:abstractNumId w:val="3"/>
  </w:num>
  <w:num w:numId="7" w16cid:durableId="85466951">
    <w:abstractNumId w:val="2"/>
  </w:num>
  <w:num w:numId="8" w16cid:durableId="1833372702">
    <w:abstractNumId w:val="1"/>
  </w:num>
  <w:num w:numId="9" w16cid:durableId="1422869880">
    <w:abstractNumId w:val="0"/>
  </w:num>
  <w:num w:numId="10" w16cid:durableId="1594436800">
    <w:abstractNumId w:val="9"/>
  </w:num>
  <w:num w:numId="11" w16cid:durableId="980184861">
    <w:abstractNumId w:val="11"/>
  </w:num>
  <w:num w:numId="12" w16cid:durableId="621499263">
    <w:abstractNumId w:val="12"/>
  </w:num>
  <w:num w:numId="13" w16cid:durableId="425461329">
    <w:abstractNumId w:val="10"/>
    <w:lvlOverride w:ilvl="0">
      <w:startOverride w:val="1"/>
    </w:lvlOverride>
  </w:num>
  <w:num w:numId="14" w16cid:durableId="1695576112">
    <w:abstractNumId w:val="10"/>
    <w:lvlOverride w:ilvl="0">
      <w:startOverride w:val="1"/>
    </w:lvlOverride>
  </w:num>
  <w:num w:numId="15" w16cid:durableId="958494610">
    <w:abstractNumId w:val="10"/>
    <w:lvlOverride w:ilvl="0">
      <w:startOverride w:val="1"/>
    </w:lvlOverride>
  </w:num>
  <w:num w:numId="16" w16cid:durableId="708723378">
    <w:abstractNumId w:val="10"/>
    <w:lvlOverride w:ilvl="0">
      <w:startOverride w:val="1"/>
    </w:lvlOverride>
  </w:num>
  <w:num w:numId="17" w16cid:durableId="627589263">
    <w:abstractNumId w:val="10"/>
    <w:lvlOverride w:ilvl="0">
      <w:startOverride w:val="1"/>
    </w:lvlOverride>
  </w:num>
  <w:num w:numId="18" w16cid:durableId="690179116">
    <w:abstractNumId w:val="10"/>
    <w:lvlOverride w:ilvl="0">
      <w:startOverride w:val="1"/>
    </w:lvlOverride>
  </w:num>
  <w:num w:numId="19" w16cid:durableId="580141438">
    <w:abstractNumId w:val="10"/>
    <w:lvlOverride w:ilvl="0">
      <w:startOverride w:val="1"/>
    </w:lvlOverride>
  </w:num>
  <w:num w:numId="20" w16cid:durableId="1387022274">
    <w:abstractNumId w:val="10"/>
    <w:lvlOverride w:ilvl="0">
      <w:startOverride w:val="1"/>
    </w:lvlOverride>
  </w:num>
  <w:num w:numId="21" w16cid:durableId="592124477">
    <w:abstractNumId w:val="10"/>
    <w:lvlOverride w:ilvl="0">
      <w:startOverride w:val="1"/>
    </w:lvlOverride>
  </w:num>
  <w:num w:numId="22" w16cid:durableId="1948923933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3FF8"/>
    <w:rsid w:val="0006063C"/>
    <w:rsid w:val="00080832"/>
    <w:rsid w:val="000D5324"/>
    <w:rsid w:val="0015074B"/>
    <w:rsid w:val="001C63E0"/>
    <w:rsid w:val="00214FD5"/>
    <w:rsid w:val="0029639D"/>
    <w:rsid w:val="00306E87"/>
    <w:rsid w:val="00326F90"/>
    <w:rsid w:val="003606B3"/>
    <w:rsid w:val="00595396"/>
    <w:rsid w:val="005C713D"/>
    <w:rsid w:val="00702B8E"/>
    <w:rsid w:val="007235CC"/>
    <w:rsid w:val="007D4F0D"/>
    <w:rsid w:val="007E5F2C"/>
    <w:rsid w:val="00841A5C"/>
    <w:rsid w:val="008E69DB"/>
    <w:rsid w:val="0093795C"/>
    <w:rsid w:val="009B5555"/>
    <w:rsid w:val="009E45F4"/>
    <w:rsid w:val="00AA1D8D"/>
    <w:rsid w:val="00AE108F"/>
    <w:rsid w:val="00B0339E"/>
    <w:rsid w:val="00B47730"/>
    <w:rsid w:val="00BE0DCF"/>
    <w:rsid w:val="00CA4AE4"/>
    <w:rsid w:val="00CB0664"/>
    <w:rsid w:val="00F00F82"/>
    <w:rsid w:val="00FC4B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5CEDEE"/>
  <w14:defaultImageDpi w14:val="300"/>
  <w15:docId w15:val="{A6703E15-D1D3-47B0-BCED-0A495AAE7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eastAsia="微软雅黑" w:hAnsi="Calibri"/>
      <w:color w:val="20262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5324"/>
    <w:pPr>
      <w:keepNext/>
      <w:keepLines/>
      <w:pBdr>
        <w:bottom w:val="single" w:sz="4" w:space="1" w:color="auto"/>
      </w:pBdr>
      <w:spacing w:before="360" w:after="200" w:line="240" w:lineRule="auto"/>
      <w:outlineLvl w:val="0"/>
    </w:pPr>
    <w:rPr>
      <w:rFonts w:cstheme="majorBidi"/>
      <w:b/>
      <w:bCs/>
      <w:color w:val="2E74B5"/>
      <w:sz w:val="36"/>
      <w:szCs w:val="36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0D5324"/>
    <w:rPr>
      <w:rFonts w:ascii="Calibri" w:eastAsia="微软雅黑" w:hAnsi="Calibri" w:cstheme="majorBidi"/>
      <w:b/>
      <w:bCs/>
      <w:color w:val="2E74B5"/>
      <w:sz w:val="36"/>
      <w:szCs w:val="36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andoutKicker">
    <w:name w:val="Handout Kicker"/>
    <w:pPr>
      <w:keepNext/>
      <w:spacing w:after="40" w:line="240" w:lineRule="auto"/>
    </w:pPr>
    <w:rPr>
      <w:rFonts w:ascii="Calibri" w:eastAsia="微软雅黑" w:hAnsi="Calibri"/>
      <w:b/>
      <w:color w:val="2E74B5"/>
      <w:sz w:val="18"/>
    </w:rPr>
  </w:style>
  <w:style w:type="paragraph" w:customStyle="1" w:styleId="HandoutTitle">
    <w:name w:val="Handout Title"/>
    <w:pPr>
      <w:keepNext/>
      <w:spacing w:after="80" w:line="240" w:lineRule="auto"/>
    </w:pPr>
    <w:rPr>
      <w:rFonts w:ascii="Calibri" w:eastAsia="微软雅黑" w:hAnsi="Calibri"/>
      <w:b/>
      <w:color w:val="0B2545"/>
      <w:sz w:val="48"/>
    </w:rPr>
  </w:style>
  <w:style w:type="paragraph" w:customStyle="1" w:styleId="HandoutSubtitle">
    <w:name w:val="Handout Subtitle"/>
    <w:pPr>
      <w:keepNext/>
      <w:spacing w:after="160" w:line="264" w:lineRule="auto"/>
    </w:pPr>
    <w:rPr>
      <w:rFonts w:ascii="Calibri" w:eastAsia="微软雅黑" w:hAnsi="Calibri"/>
      <w:color w:val="586575"/>
      <w:sz w:val="23"/>
    </w:rPr>
  </w:style>
  <w:style w:type="paragraph" w:customStyle="1" w:styleId="Lead">
    <w:name w:val="Lead"/>
    <w:pPr>
      <w:spacing w:before="60" w:after="120" w:line="300" w:lineRule="auto"/>
    </w:pPr>
    <w:rPr>
      <w:rFonts w:ascii="Calibri" w:eastAsia="微软雅黑" w:hAnsi="Calibri"/>
      <w:color w:val="20262E"/>
    </w:rPr>
  </w:style>
  <w:style w:type="paragraph" w:customStyle="1" w:styleId="CaseTitle">
    <w:name w:val="Case Title"/>
    <w:pPr>
      <w:keepNext/>
      <w:spacing w:before="160" w:after="80" w:line="240" w:lineRule="auto"/>
    </w:pPr>
    <w:rPr>
      <w:rFonts w:ascii="Calibri" w:eastAsia="微软雅黑" w:hAnsi="Calibri"/>
      <w:b/>
      <w:color w:val="FFFFFF"/>
      <w:sz w:val="25"/>
    </w:rPr>
  </w:style>
  <w:style w:type="paragraph" w:customStyle="1" w:styleId="CaseBody">
    <w:name w:val="Case Body"/>
    <w:pPr>
      <w:spacing w:after="80"/>
    </w:pPr>
    <w:rPr>
      <w:rFonts w:ascii="Calibri" w:eastAsia="微软雅黑" w:hAnsi="Calibri"/>
      <w:color w:val="20262E"/>
      <w:sz w:val="21"/>
    </w:rPr>
  </w:style>
  <w:style w:type="paragraph" w:customStyle="1" w:styleId="Prompt">
    <w:name w:val="Prompt"/>
    <w:pPr>
      <w:keepNext/>
      <w:spacing w:before="60" w:after="20" w:line="264" w:lineRule="auto"/>
    </w:pPr>
    <w:rPr>
      <w:rFonts w:ascii="Calibri" w:eastAsia="微软雅黑" w:hAnsi="Calibri"/>
      <w:b/>
      <w:color w:val="0B2545"/>
      <w:sz w:val="20"/>
    </w:rPr>
  </w:style>
  <w:style w:type="paragraph" w:customStyle="1" w:styleId="DefinitionTerm">
    <w:name w:val="Definition Term"/>
    <w:pPr>
      <w:keepNext/>
      <w:spacing w:before="240" w:after="60" w:line="240" w:lineRule="auto"/>
    </w:pPr>
    <w:rPr>
      <w:rFonts w:ascii="Calibri" w:eastAsia="微软雅黑" w:hAnsi="Calibri"/>
      <w:b/>
      <w:color w:val="0B2545"/>
      <w:sz w:val="26"/>
    </w:rPr>
  </w:style>
  <w:style w:type="paragraph" w:customStyle="1" w:styleId="DefinitionBody">
    <w:name w:val="Definition Body"/>
    <w:pPr>
      <w:spacing w:after="80" w:line="288" w:lineRule="auto"/>
    </w:pPr>
    <w:rPr>
      <w:rFonts w:ascii="Calibri" w:eastAsia="微软雅黑" w:hAnsi="Calibri"/>
      <w:color w:val="20262E"/>
      <w:sz w:val="21"/>
    </w:rPr>
  </w:style>
  <w:style w:type="paragraph" w:customStyle="1" w:styleId="DefinitionDiagnostic">
    <w:name w:val="Definition Diagnostic"/>
    <w:pPr>
      <w:spacing w:after="140"/>
    </w:pPr>
    <w:rPr>
      <w:rFonts w:ascii="Calibri" w:eastAsia="微软雅黑" w:hAnsi="Calibri"/>
      <w:i/>
      <w:color w:val="1F4D78"/>
      <w:sz w:val="19"/>
    </w:rPr>
  </w:style>
  <w:style w:type="paragraph" w:customStyle="1" w:styleId="Question">
    <w:name w:val="Question"/>
    <w:pPr>
      <w:keepNext/>
      <w:spacing w:before="80" w:after="40" w:line="264" w:lineRule="auto"/>
    </w:pPr>
    <w:rPr>
      <w:rFonts w:ascii="Calibri" w:eastAsia="微软雅黑" w:hAnsi="Calibri"/>
      <w:b/>
      <w:color w:val="20262E"/>
      <w:sz w:val="21"/>
    </w:rPr>
  </w:style>
  <w:style w:type="paragraph" w:customStyle="1" w:styleId="MCQOption">
    <w:name w:val="MCQ Option"/>
    <w:pPr>
      <w:spacing w:after="20" w:line="252" w:lineRule="auto"/>
    </w:pPr>
    <w:rPr>
      <w:rFonts w:ascii="Calibri" w:eastAsia="微软雅黑" w:hAnsi="Calibri"/>
      <w:color w:val="20262E"/>
      <w:sz w:val="20"/>
    </w:rPr>
  </w:style>
  <w:style w:type="paragraph" w:customStyle="1" w:styleId="SmallNote">
    <w:name w:val="Small Note"/>
    <w:pPr>
      <w:spacing w:after="60" w:line="264" w:lineRule="auto"/>
    </w:pPr>
    <w:rPr>
      <w:rFonts w:ascii="Calibri" w:eastAsia="微软雅黑" w:hAnsi="Calibri"/>
      <w:color w:val="586575"/>
      <w:sz w:val="17"/>
    </w:rPr>
  </w:style>
  <w:style w:type="paragraph" w:customStyle="1" w:styleId="SourceNote">
    <w:name w:val="Source Note"/>
    <w:pPr>
      <w:spacing w:after="60" w:line="264" w:lineRule="auto"/>
    </w:pPr>
    <w:rPr>
      <w:rFonts w:ascii="Calibri" w:eastAsia="微软雅黑" w:hAnsi="Calibri"/>
      <w:color w:val="586575"/>
      <w:sz w:val="17"/>
    </w:rPr>
  </w:style>
  <w:style w:type="paragraph" w:customStyle="1" w:styleId="TableHeader">
    <w:name w:val="Table Header"/>
    <w:pPr>
      <w:spacing w:after="0" w:line="240" w:lineRule="auto"/>
      <w:jc w:val="center"/>
    </w:pPr>
    <w:rPr>
      <w:rFonts w:ascii="Calibri" w:eastAsia="微软雅黑" w:hAnsi="Calibri"/>
      <w:b/>
      <w:color w:val="FFFFFF"/>
      <w:sz w:val="19"/>
    </w:rPr>
  </w:style>
  <w:style w:type="paragraph" w:customStyle="1" w:styleId="TableText">
    <w:name w:val="Table Text"/>
    <w:pPr>
      <w:spacing w:after="0" w:line="264" w:lineRule="auto"/>
    </w:pPr>
    <w:rPr>
      <w:rFonts w:ascii="Calibri" w:eastAsia="微软雅黑" w:hAnsi="Calibri"/>
      <w:color w:val="20262E"/>
      <w:sz w:val="19"/>
    </w:rPr>
  </w:style>
  <w:style w:type="paragraph" w:customStyle="1" w:styleId="TablePrompt">
    <w:name w:val="Table Prompt"/>
    <w:pPr>
      <w:spacing w:after="0" w:line="252" w:lineRule="auto"/>
    </w:pPr>
    <w:rPr>
      <w:rFonts w:ascii="Calibri" w:eastAsia="微软雅黑" w:hAnsi="Calibri"/>
      <w:i/>
      <w:color w:val="586575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600</Words>
  <Characters>3420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What is investment? - Unit 1 Lesson 1 student handout</vt:lpstr>
    </vt:vector>
  </TitlesOfParts>
  <Manager/>
  <Company/>
  <LinksUpToDate>false</LinksUpToDate>
  <CharactersWithSpaces>4012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is investment? - Unit 1 Lesson 1 student handout</dc:title>
  <dc:subject>Investment, saving, speculation and consumption</dc:subject>
  <dc:creator>Investment and Financial Decision-Making</dc:creator>
  <cp:keywords>investment; saving; speculation; consumption; student handout</cp:keywords>
  <dc:description>generated by python-docx</dc:description>
  <cp:lastModifiedBy>Samuel Oehler-Huang</cp:lastModifiedBy>
  <cp:revision>3</cp:revision>
  <dcterms:created xsi:type="dcterms:W3CDTF">2026-08-21T16:10:00Z</dcterms:created>
  <dcterms:modified xsi:type="dcterms:W3CDTF">2026-08-21T16:16:00Z</dcterms:modified>
  <cp:category/>
</cp:coreProperties>
</file>