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andoutKicker"/>
      </w:pPr>
      <w:r>
        <w:rPr>
          <w:rFonts w:ascii="Calibri" w:hAnsi="Calibri" w:eastAsia="Microsoft YaHei"/>
        </w:rPr>
        <w:t>UNIT 1  |  LESSON 1</w:t>
      </w:r>
    </w:p>
    <w:p>
      <w:pPr>
        <w:pStyle w:val="HandoutTitle"/>
      </w:pPr>
      <w:r>
        <w:rPr>
          <w:rFonts w:ascii="Calibri" w:hAnsi="Calibri" w:eastAsia="Microsoft YaHei"/>
        </w:rPr>
        <w:t>What is investment?</w:t>
      </w:r>
    </w:p>
    <w:p>
      <w:pPr>
        <w:pStyle w:val="HandoutSubtitle"/>
      </w:pPr>
      <w:r>
        <w:rPr>
          <w:rFonts w:ascii="Calibri" w:hAnsi="Calibri" w:eastAsia="Microsoft YaHei"/>
        </w:rPr>
        <w:t>Classify first. Then test your judgement against four concise definitions.</w:t>
        <w:br/>
        <w:t>先分类，再用四个简明定义检验判断。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FOCUS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20262E"/>
                <w:sz w:val="18"/>
              </w:rPr>
              <w:t>Four money decisions</w:t>
              <w:br/>
              <w:t>四类资金决定</w:t>
            </w:r>
          </w:p>
        </w:tc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DECISION RULE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20262E"/>
                <w:sz w:val="18"/>
              </w:rPr>
              <w:t>Purpose + payoff + evidence + risk</w:t>
              <w:br/>
              <w:t>目的＋回报＋证据＋风险</w:t>
            </w:r>
          </w:p>
        </w:tc>
        <w:tc>
          <w:tcPr>
            <w:tcW w:type="dxa" w:w="31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OUTPUT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20262E"/>
                <w:sz w:val="18"/>
              </w:rPr>
              <w:t>One justified classification</w:t>
              <w:br/>
              <w:t>一个有理由的分类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1. First classification  |  初步分类</w:t>
      </w:r>
    </w:p>
    <w:p>
      <w:pPr>
        <w:pStyle w:val="Lead"/>
      </w:pPr>
      <w:r>
        <w:rPr>
          <w:rFonts w:ascii="Calibri" w:hAnsi="Calibri" w:eastAsia="Microsoft YaHei"/>
        </w:rPr>
        <w:t>Write I, SA, SP or C beside each case. Do not change your first answer until page 4.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CaseTitle"/>
              <w:spacing w:before="0"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CASE A  |  Chen</w:t>
            </w:r>
          </w:p>
        </w:tc>
      </w:tr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Chen puts CNY 1,500 each month into a diversified fund for a twelve-year goal after checking fees and risk.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7"/>
              </w:rPr>
              <w:t>陈某每月把1500元人民币投入分散化基金，用于十二年后的目标，并事先检查费用和风险。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CaseTitle"/>
              <w:spacing w:before="0"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CASE B  |  Peng</w:t>
            </w:r>
          </w:p>
        </w:tc>
      </w:tr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Peng borrows CNY 20,000 after an unverified livestream rumour and plans to sell the shares next week.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7"/>
              </w:rPr>
              <w:t>彭某因未经核实的直播传闻借入2万元人民币买股，并计划下周卖出。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CaseTitle"/>
              <w:spacing w:before="0"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CASE C  |  Lin</w:t>
            </w:r>
          </w:p>
        </w:tc>
      </w:tr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Lin buys a camera mainly for a family trip and personal enjoyment.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7"/>
              </w:rPr>
              <w:t>林某购买相机主要用于家庭旅行和个人享受。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CaseTitle"/>
              <w:spacing w:before="0" w:after="0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CASE D  |  Zhou</w:t>
            </w:r>
          </w:p>
        </w:tc>
      </w:tr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Body"/>
              <w:spacing w:after="40"/>
            </w:pPr>
            <w:r>
              <w:rPr>
                <w:rFonts w:ascii="Calibri" w:hAnsi="Calibri" w:eastAsia="Microsoft YaHei"/>
                <w:color w:val="20262E"/>
                <w:sz w:val="19"/>
              </w:rPr>
              <w:t>Zhou keeps CNY 5,000 in an easy-access savings account for unexpected expenses next year.</w:t>
            </w:r>
          </w:p>
          <w:p>
            <w:pPr>
              <w:pStyle w:val="SmallNote"/>
              <w:spacing w:after="0"/>
            </w:pPr>
            <w:r>
              <w:rPr>
                <w:rFonts w:ascii="Calibri" w:hAnsi="Calibri" w:eastAsia="Microsoft YaHei"/>
                <w:color w:val="586575"/>
                <w:sz w:val="17"/>
              </w:rPr>
              <w:t>周某把5000元人民币存入可随时取用的储蓄账户，用于明年的意外支出。</w:t>
            </w:r>
          </w:p>
        </w:tc>
      </w:tr>
    </w:tbl>
    <w:p>
      <w:pPr>
        <w:pStyle w:val="Prompt"/>
      </w:pPr>
      <w:r>
        <w:rPr>
          <w:rFonts w:ascii="Calibri" w:hAnsi="Calibri" w:eastAsia="Microsoft YaHei"/>
        </w:rPr>
        <w:t>First answers:  A ____   B ____   C ____   D ____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2. Two ways to seek money  |  两种寻求金钱回报的方式</w:t>
      </w:r>
    </w:p>
    <w:p>
      <w:pPr>
        <w:pStyle w:val="Lead"/>
      </w:pPr>
      <w:r>
        <w:rPr>
          <w:rFonts w:ascii="Calibri" w:hAnsi="Calibri" w:eastAsia="Microsoft YaHei"/>
        </w:rPr>
        <w:t>Both investment and speculation may make or lose money. The strongest distinction is the decision pattern, not the asset name.</w:t>
      </w:r>
    </w:p>
    <w:p>
      <w:pPr>
        <w:pStyle w:val="DefinitionTerm"/>
      </w:pPr>
      <w:r>
        <w:rPr>
          <w:rFonts w:ascii="Calibri" w:hAnsi="Calibri" w:eastAsia="Microsoft YaHei"/>
        </w:rPr>
        <w:t>Investment  |  投资</w:t>
      </w:r>
    </w:p>
    <w:p>
      <w:pPr>
        <w:pStyle w:val="DefinitionBody"/>
      </w:pPr>
      <w:r>
        <w:rPr>
          <w:rFonts w:ascii="Calibri" w:hAnsi="Calibri" w:eastAsia="Microsoft YaHei"/>
        </w:rPr>
        <w:t>Investment is putting money into an asset to seek future return while accepting possible loss.</w:t>
      </w:r>
    </w:p>
    <w:p>
      <w:pPr>
        <w:pStyle w:val="SmallNote"/>
      </w:pPr>
      <w:r>
        <w:rPr>
          <w:rFonts w:ascii="Calibri" w:hAnsi="Calibri" w:eastAsia="Microsoft YaHei"/>
          <w:color w:val="586575"/>
        </w:rPr>
        <w:t>投资是把钱投入资产以寻求未来回报，同时接受可能发生的损失。</w:t>
      </w:r>
    </w:p>
    <w:p>
      <w:pPr>
        <w:pStyle w:val="DefinitionDiagnostic"/>
      </w:pPr>
      <w:r>
        <w:rPr>
          <w:rFonts w:ascii="Calibri" w:hAnsi="Calibri" w:eastAsia="Microsoft YaHei"/>
        </w:rPr>
        <w:t>Diagnostic: What asset is owned, what future return is sought, and what evidence and loss are accepted?</w:t>
      </w:r>
    </w:p>
    <w:p>
      <w:pPr>
        <w:pStyle w:val="DefinitionTerm"/>
      </w:pPr>
      <w:r>
        <w:rPr>
          <w:rFonts w:ascii="Calibri" w:hAnsi="Calibri" w:eastAsia="Microsoft YaHei"/>
        </w:rPr>
        <w:t>Speculation  |  投机</w:t>
      </w:r>
    </w:p>
    <w:p>
      <w:pPr>
        <w:pStyle w:val="DefinitionBody"/>
      </w:pPr>
      <w:r>
        <w:rPr>
          <w:rFonts w:ascii="Calibri" w:hAnsi="Calibri" w:eastAsia="Microsoft YaHei"/>
        </w:rPr>
        <w:t>Speculation is taking substantial risk in the hope of profiting mainly from an anticipated price movement or uncertain event.</w:t>
      </w:r>
    </w:p>
    <w:p>
      <w:pPr>
        <w:pStyle w:val="SmallNote"/>
      </w:pPr>
      <w:r>
        <w:rPr>
          <w:rFonts w:ascii="Calibri" w:hAnsi="Calibri" w:eastAsia="Microsoft YaHei"/>
          <w:color w:val="586575"/>
        </w:rPr>
        <w:t>投机是承担较大风险，主要希望从预期的价格变动或不确定事件中获利。</w:t>
      </w:r>
    </w:p>
    <w:p>
      <w:pPr>
        <w:pStyle w:val="DefinitionDiagnostic"/>
      </w:pPr>
      <w:r>
        <w:rPr>
          <w:rFonts w:ascii="Calibri" w:hAnsi="Calibri" w:eastAsia="Microsoft YaHei"/>
        </w:rPr>
        <w:t>Diagnostic: Does the payoff depend mainly on a risky price prediction or uncertain event?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Four questions for every decision  |  每个决定都要问的四个问题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1. What is the main purpose?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主要目的是什么？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2. What does the person receive or own?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这个人获得或拥有什么？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3. Where is the hoped-for payoff meant to come from?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预期回报来自哪里？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4. What evidence and risk shape the decision?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哪些证据与风险影响这个决定？</w:t>
            </w:r>
          </w:p>
        </w:tc>
      </w:tr>
    </w:tbl>
    <w:p>
      <w:pPr>
        <w:pStyle w:val="Question"/>
      </w:pPr>
      <w:r>
        <w:rPr>
          <w:rFonts w:ascii="Calibri" w:hAnsi="Calibri" w:eastAsia="Microsoft YaHei"/>
        </w:rPr>
        <w:t>Complete during the lesson: Investment accepts possible __________. Speculation takes __________ risk.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3. Present use and future access  |  当前使用与未来取用</w:t>
      </w:r>
    </w:p>
    <w:p>
      <w:pPr>
        <w:pStyle w:val="Lead"/>
      </w:pPr>
      <w:r>
        <w:rPr>
          <w:rFonts w:ascii="Calibri" w:hAnsi="Calibri" w:eastAsia="Microsoft YaHei"/>
        </w:rPr>
        <w:t>Consumption uses money mainly now. Saving keeps it available for later. Neither automatically becomes investment.</w:t>
      </w:r>
    </w:p>
    <w:p>
      <w:pPr>
        <w:pStyle w:val="DefinitionTerm"/>
      </w:pPr>
      <w:r>
        <w:rPr>
          <w:rFonts w:ascii="Calibri" w:hAnsi="Calibri" w:eastAsia="Microsoft YaHei"/>
        </w:rPr>
        <w:t>Consumption  |  消费</w:t>
      </w:r>
    </w:p>
    <w:p>
      <w:pPr>
        <w:pStyle w:val="DefinitionBody"/>
      </w:pPr>
      <w:r>
        <w:rPr>
          <w:rFonts w:ascii="Calibri" w:hAnsi="Calibri" w:eastAsia="Microsoft YaHei"/>
        </w:rPr>
        <w:t>Consumption is using money to obtain goods or services mainly for present use, need or enjoyment rather than for a future financial return.</w:t>
      </w:r>
    </w:p>
    <w:p>
      <w:pPr>
        <w:pStyle w:val="SmallNote"/>
      </w:pPr>
      <w:r>
        <w:rPr>
          <w:rFonts w:ascii="Calibri" w:hAnsi="Calibri" w:eastAsia="Microsoft YaHei"/>
          <w:color w:val="586575"/>
        </w:rPr>
        <w:t>消费是使用资金购买主要用于当前使用、满足需要或获得享受的商品与服务，而不是为了未来的财务回报。</w:t>
      </w:r>
    </w:p>
    <w:p>
      <w:pPr>
        <w:pStyle w:val="DefinitionDiagnostic"/>
      </w:pPr>
      <w:r>
        <w:rPr>
          <w:rFonts w:ascii="Calibri" w:hAnsi="Calibri" w:eastAsia="Microsoft YaHei"/>
        </w:rPr>
        <w:t>Diagnostic: Is the main benefit present use, need or enjoyment?</w:t>
      </w:r>
    </w:p>
    <w:p>
      <w:pPr>
        <w:pStyle w:val="DefinitionTerm"/>
      </w:pPr>
      <w:r>
        <w:rPr>
          <w:rFonts w:ascii="Calibri" w:hAnsi="Calibri" w:eastAsia="Microsoft YaHei"/>
        </w:rPr>
        <w:t>Saving  |  储蓄</w:t>
      </w:r>
    </w:p>
    <w:p>
      <w:pPr>
        <w:pStyle w:val="DefinitionBody"/>
      </w:pPr>
      <w:r>
        <w:rPr>
          <w:rFonts w:ascii="Calibri" w:hAnsi="Calibri" w:eastAsia="Microsoft YaHei"/>
        </w:rPr>
        <w:t>Saving is keeping money for future use, usually prioritising safety and ready access over a higher expected return.</w:t>
      </w:r>
    </w:p>
    <w:p>
      <w:pPr>
        <w:pStyle w:val="SmallNote"/>
      </w:pPr>
      <w:r>
        <w:rPr>
          <w:rFonts w:ascii="Calibri" w:hAnsi="Calibri" w:eastAsia="Microsoft YaHei"/>
          <w:color w:val="586575"/>
        </w:rPr>
        <w:t>储蓄是把钱留作未来使用，通常优先考虑安全性和随时取用，而不是追求较高的预期回报。</w:t>
      </w:r>
    </w:p>
    <w:p>
      <w:pPr>
        <w:pStyle w:val="DefinitionDiagnostic"/>
      </w:pPr>
      <w:r>
        <w:rPr>
          <w:rFonts w:ascii="Calibri" w:hAnsi="Calibri" w:eastAsia="Microsoft YaHei"/>
        </w:rPr>
        <w:t>Diagnostic: Is the money being kept available for future use, with safety and access prioritised?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Prompt"/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Saving or investment?  |  储蓄还是投资？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Saving prioritises safety and ready access. Investment accepts possible loss to seek future return.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储蓄优先考虑安全性和随时取用；投资接受可能损失以寻求未来回报。</w:t>
            </w:r>
          </w:p>
        </w:tc>
      </w:tr>
    </w:tbl>
    <w:p>
      <w:pPr>
        <w:pStyle w:val="Question"/>
      </w:pPr>
      <w:r>
        <w:rPr>
          <w:rFonts w:ascii="Calibri" w:hAnsi="Calibri" w:eastAsia="Microsoft YaHei"/>
        </w:rPr>
        <w:t>Correct the claim: ‘A camera has resale value, so buying it is always investment.’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4. Classify by purpose and payoff  |  按目的与回报分类</w:t>
      </w:r>
    </w:p>
    <w:p>
      <w:pPr>
        <w:pStyle w:val="Lead"/>
      </w:pPr>
      <w:r>
        <w:rPr>
          <w:rFonts w:ascii="Calibri" w:hAnsi="Calibri" w:eastAsia="Microsoft YaHei"/>
        </w:rPr>
        <w:t>Choose the strongest pattern. Cite one decisive clue, then explain why a nearby category is weaker.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3420"/>
        <w:gridCol w:w="1800"/>
        <w:gridCol w:w="3420"/>
      </w:tblGrid>
      <w:tr>
        <w:trPr>
          <w:cantSplit/>
          <w:tblHeader w:val="true"/>
        </w:trPr>
        <w:tc>
          <w:tcPr>
            <w:tcW w:type="dxa" w:w="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Decisive facts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Best category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Why is a nearby category weaker?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A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Diversified fund for a twelve-year goal; fees and risk checked.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Investment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B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Borrowed money, unverified rumour, concentrated shares, sale next week.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Speculation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C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Camera bought mainly for a family trip and personal enjoyment.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D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CNY 5,000 kept in an easy-access account for next year's unexpected expenses.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E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Same shares: five-year plan, company evidence, diversified portfolio.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  <w:tr>
        <w:tc>
          <w:tcPr>
            <w:tcW w:type="dxa" w:w="7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Promp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F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  <w:t>Same shares: all available money, influencer tip, hoped-for jump tomorrow.</w:t>
            </w:r>
          </w:p>
        </w:tc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</w:t>
            </w:r>
          </w:p>
        </w:tc>
        <w:tc>
          <w:tcPr>
            <w:tcW w:type="dxa" w:w="34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8"/>
              </w:rPr>
            </w:r>
            <w:r>
              <w:t xml:space="preserve"> </w:t>
              <w:br/>
              <w:t>________________________________</w:t>
            </w:r>
          </w:p>
        </w:tc>
      </w:tr>
    </w:tbl>
    <w:p>
      <w:pPr>
        <w:pStyle w:val="SmallNote"/>
      </w:pPr>
      <w:r>
        <w:rPr>
          <w:rFonts w:ascii="Calibri" w:hAnsi="Calibri" w:eastAsia="Microsoft YaHei"/>
        </w:rPr>
        <w:t>Return to page 1. Keep or revise each first answer using one exact clue.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5. Same shares, different decision  |  同样股票，不同决定</w:t>
      </w:r>
    </w:p>
    <w:p>
      <w:pPr>
        <w:pStyle w:val="Lead"/>
      </w:pPr>
      <w:r>
        <w:rPr>
          <w:rFonts w:ascii="Calibri" w:hAnsi="Calibri" w:eastAsia="Microsoft YaHei"/>
        </w:rPr>
        <w:t>The asset name does not settle the classification. Compare purpose, payoff, evidence and risk.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Title"/>
              <w:spacing w:after="10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MAYA  |  Five-year plan</w:t>
            </w:r>
          </w:p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  <w:t>Maya buys the shares as 5% of a diversified portfolio after reading the company's reports. She plans to review the business every six months and accepts that the price can fall.</w:t>
              <w:br/>
              <w:br/>
              <w:t>玛雅在阅读公司报告后，把这些股票作为分散化组合的5%买入，计划每六个月复查业务，并接受价格可能下跌。</w:t>
            </w:r>
          </w:p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Investment pattern  |  投资模式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CaseTitle"/>
              <w:spacing w:after="10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NOAH  |  Tomorrow's jump</w:t>
            </w:r>
          </w:p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  <w:t>Noah puts all his available money into the same shares after an influencer says the price will jump tomorrow. He has not checked the company and plans to sell immediately.</w:t>
              <w:br/>
              <w:br/>
              <w:t>诺亚因网红称股价明天会大涨，把全部可用资金投入同样股票。他未核查公司，并计划立即卖出。</w:t>
            </w:r>
          </w:p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Speculation pattern  |  投机模式</w:t>
            </w:r>
          </w:p>
        </w:tc>
      </w:tr>
    </w:tbl>
    <w:p>
      <w:pPr>
        <w:pStyle w:val="Question"/>
      </w:pPr>
      <w:r>
        <w:rPr>
          <w:rFonts w:ascii="Calibri" w:hAnsi="Calibri" w:eastAsia="Microsoft YaHei"/>
        </w:rPr>
        <w:t>Write one boundary rule that distinguishes the decisions without using the words ‘long’ or ‘short’ alone.</w:t>
      </w:r>
    </w:p>
    <w:p>
      <w:pPr>
        <w:pStyle w:val="Prompt"/>
      </w:pPr>
      <w:r>
        <w:rPr>
          <w:rFonts w:ascii="Calibri" w:hAnsi="Calibri" w:eastAsia="Microsoft YaHei"/>
        </w:rPr>
        <w:t>Boundary rule / 分类边界：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pPr>
        <w:pStyle w:val="Question"/>
      </w:pPr>
      <w:r>
        <w:rPr>
          <w:rFonts w:ascii="Calibri" w:hAnsi="Calibri" w:eastAsia="Microsoft YaHei"/>
        </w:rPr>
        <w:t>Improve this weak claim: ‘Maya is investing because she bought shares.’ Use one decisive clue and explain why speculation is weaker.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p>
      <w:pPr>
        <w:spacing w:after="80" w:line="240" w:lineRule="auto"/>
        <w:pBdr>
          <w:bottom w:val="single" w:sz="4" w:space="1" w:color="9DB2C5"/>
        </w:pBdr>
      </w:pPr>
      <w: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SMG team evidence row  |  SMG团队证据记录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Our team will treat a decision as investment only when …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只有在……时，我们团队才把一个决定视为投资。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Our team will not treat … as investment because …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我们团队不会把……视为投资，因为……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6. Individual exit judgement  |  个人退出判断</w:t>
      </w:r>
    </w:p>
    <w:p>
      <w:pPr>
        <w:pStyle w:val="Lead"/>
      </w:pPr>
      <w:r>
        <w:rPr>
          <w:rFonts w:ascii="Calibri" w:hAnsi="Calibri" w:eastAsia="Microsoft YaHei"/>
        </w:rPr>
        <w:t>Peng borrows CNY 20,000 after an unverified livestream rumour, buys one share and plans to sell next week.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40"/>
        <w:gridCol w:w="6720"/>
      </w:tblGrid>
      <w:tr>
        <w:trPr>
          <w:cantSplit/>
        </w:trPr>
        <w:tc>
          <w:tcPr>
            <w:tcW w:type="dxa" w:w="26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1. Main purpose</w:t>
              <w:br/>
              <w:t>主要目的</w:t>
            </w:r>
          </w:p>
        </w:tc>
        <w:tc>
          <w:tcPr>
            <w:tcW w:type="dxa" w:w="6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</w:r>
            <w:r>
              <w:t xml:space="preserve">   ______________________________________________________</w:t>
            </w:r>
          </w:p>
        </w:tc>
      </w:tr>
      <w:tr>
        <w:trPr>
          <w:cantSplit/>
        </w:trPr>
        <w:tc>
          <w:tcPr>
            <w:tcW w:type="dxa" w:w="26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2. Payoff source</w:t>
              <w:br/>
              <w:t>回报来源</w:t>
            </w:r>
          </w:p>
        </w:tc>
        <w:tc>
          <w:tcPr>
            <w:tcW w:type="dxa" w:w="6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</w:r>
            <w:r>
              <w:t xml:space="preserve">   ______________________________________________________</w:t>
            </w:r>
          </w:p>
        </w:tc>
      </w:tr>
      <w:tr>
        <w:trPr>
          <w:cantSplit/>
        </w:trPr>
        <w:tc>
          <w:tcPr>
            <w:tcW w:type="dxa" w:w="26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3. Evidence and risk</w:t>
              <w:br/>
              <w:t>证据与风险</w:t>
            </w:r>
          </w:p>
        </w:tc>
        <w:tc>
          <w:tcPr>
            <w:tcW w:type="dxa" w:w="6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</w:r>
            <w:r>
              <w:t xml:space="preserve">   ______________________________________________________</w:t>
            </w:r>
          </w:p>
        </w:tc>
      </w:tr>
      <w:tr>
        <w:trPr>
          <w:cantSplit/>
        </w:trPr>
        <w:tc>
          <w:tcPr>
            <w:tcW w:type="dxa" w:w="26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0B2545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4. Best category</w:t>
              <w:br/>
              <w:t>最佳类别</w:t>
            </w:r>
          </w:p>
        </w:tc>
        <w:tc>
          <w:tcPr>
            <w:tcW w:type="dxa" w:w="6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</w:r>
            <w:r>
              <w:t xml:space="preserve">   ______________________________________________________</w:t>
            </w:r>
          </w:p>
        </w:tc>
      </w:tr>
      <w:tr>
        <w:trPr>
          <w:cantSplit/>
        </w:trPr>
        <w:tc>
          <w:tcPr>
            <w:tcW w:type="dxa" w:w="26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EAF2F8" w:val="clear"/>
          </w:tcPr>
          <w:p>
            <w:pPr>
              <w:pStyle w:val="Promp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Why is investment weaker?</w:t>
              <w:br/>
              <w:t>为什么投资较弱？</w:t>
            </w:r>
          </w:p>
        </w:tc>
        <w:tc>
          <w:tcPr>
            <w:tcW w:type="dxa" w:w="672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</w:tcPr>
          <w:p>
            <w:pPr>
              <w:pStyle w:val="CaseBody"/>
            </w:pPr>
            <w:r>
              <w:rPr>
                <w:rFonts w:ascii="Calibri" w:hAnsi="Calibri" w:eastAsia="Microsoft YaHei"/>
                <w:sz w:val="19"/>
              </w:rPr>
            </w:r>
            <w:r>
              <w:t xml:space="preserve">   ______________________________________________________</w:t>
            </w:r>
          </w:p>
        </w:tc>
      </w:tr>
    </w:tbl>
    <w:p>
      <w:pPr>
        <w:pStyle w:val="Question"/>
      </w:pPr>
      <w:r>
        <w:rPr>
          <w:rFonts w:ascii="Calibri" w:hAnsi="Calibri" w:eastAsia="Microsoft YaHei"/>
        </w:rPr>
        <w:t>Use this sentence frame if needed: This is mainly __________ because __________. Investment is weaker because __________.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B7C7D6"/>
              <w:start w:val="single" w:sz="6" w:space="0" w:color="B7C7D6"/>
              <w:bottom w:val="single" w:sz="6" w:space="0" w:color="B7C7D6"/>
              <w:end w:val="single" w:sz="6" w:space="0" w:color="B7C7D6"/>
              <w:insideH w:val="single" w:sz="6" w:space="0" w:color="B7C7D6"/>
              <w:insideV w:val="single" w:sz="6" w:space="0" w:color="B7C7D6"/>
            </w:tcBorders>
            <w:vAlign w:val="center"/>
            <w:shd w:fill="F4F7FA" w:val="clear"/>
          </w:tcPr>
          <w:p>
            <w:pPr>
              <w:pStyle w:val="Prompt"/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Final reminders  |  最后提醒</w:t>
            </w:r>
          </w:p>
          <w:p>
            <w:pPr>
              <w:pStyle w:val="CaseBody"/>
              <w:spacing w:after="20"/>
            </w:pPr>
            <w:r>
              <w:rPr>
                <w:rFonts w:ascii="Calibri" w:hAnsi="Calibri" w:eastAsia="Microsoft YaHei"/>
                <w:color w:val="20262E"/>
                <w:sz w:val="19"/>
              </w:rPr>
              <w:t>Identify the strongest decision pattern, not a moral ranking. The same asset can support investment or speculation, and no category guarantees profit.</w:t>
            </w:r>
          </w:p>
          <w:p>
            <w:pPr>
              <w:pStyle w:val="SmallNote"/>
              <w:spacing w:after="60"/>
            </w:pPr>
            <w:r>
              <w:rPr>
                <w:rFonts w:ascii="Calibri" w:hAnsi="Calibri" w:eastAsia="Microsoft YaHei"/>
                <w:color w:val="586575"/>
                <w:sz w:val="17"/>
              </w:rPr>
              <w:t>应找出最强的决定模式，而不是进行道德排序。同一种资产可能属于投资或投机，任何类别都不保证获利。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Sources and classroom adaptation  |  来源与课堂改编</w:t>
      </w:r>
    </w:p>
    <w:p>
      <w:pPr>
        <w:pStyle w:val="ListBullet"/>
        <w:spacing w:after="20"/>
      </w:pPr>
      <w:r>
        <w:rPr>
          <w:rFonts w:ascii="Calibri" w:hAnsi="Calibri" w:eastAsia="Microsoft YaHei"/>
          <w:color w:val="586575"/>
          <w:sz w:val="15"/>
        </w:rPr>
        <w:t>Investor.gov, Introduction to Investing — https://www.investor.gov/introduction-investing</w:t>
      </w:r>
    </w:p>
    <w:p>
      <w:pPr>
        <w:pStyle w:val="ListBullet"/>
        <w:spacing w:after="20"/>
      </w:pPr>
      <w:r>
        <w:rPr>
          <w:rFonts w:ascii="Calibri" w:hAnsi="Calibri" w:eastAsia="Microsoft YaHei"/>
          <w:color w:val="586575"/>
          <w:sz w:val="15"/>
        </w:rPr>
        <w:t>FINRA, Regulatory Notice 18-24 — https://www.finra.org/rules-guidance/notices/18-24</w:t>
      </w:r>
    </w:p>
    <w:p>
      <w:pPr>
        <w:pStyle w:val="ListBullet"/>
        <w:spacing w:after="20"/>
      </w:pPr>
      <w:r>
        <w:rPr>
          <w:rFonts w:ascii="Calibri" w:hAnsi="Calibri" w:eastAsia="Microsoft YaHei"/>
          <w:color w:val="586575"/>
          <w:sz w:val="15"/>
        </w:rPr>
        <w:t>CFTC, Futures Glossary: Speculator — https://www.cftc.gov/LearnAndProtect/AdvisoriesAndArticles/CFTCGlossary/index.htm</w:t>
      </w:r>
    </w:p>
    <w:p>
      <w:pPr>
        <w:pStyle w:val="ListBullet"/>
        <w:spacing w:after="20"/>
      </w:pPr>
      <w:r>
        <w:rPr>
          <w:rFonts w:ascii="Calibri" w:hAnsi="Calibri" w:eastAsia="Microsoft YaHei"/>
          <w:color w:val="586575"/>
          <w:sz w:val="15"/>
        </w:rPr>
        <w:t>Investor.gov, Save for a Rainy Day — https://www.investor.gov/introduction-investing/investing-basics/save-and-invest/save-rainy-day</w:t>
      </w:r>
    </w:p>
    <w:p>
      <w:pPr>
        <w:pStyle w:val="SourceNote"/>
      </w:pPr>
      <w:r>
        <w:rPr>
          <w:rFonts w:ascii="Calibri" w:hAnsi="Calibri" w:eastAsia="Microsoft YaHei"/>
        </w:rPr>
        <w:t>Definitions are adapted for classroom use. Sources accessed 20-21 August 2026. All people, amounts and decisions are fictional; this handout is not personal financial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86575"/>
        <w:sz w:val="17"/>
      </w:rPr>
      <w:t xml:space="preserve">STUDENT HANDOUT  |  PAGE </w:t>
    </w:r>
    <w:r>
      <w:rPr>
        <w:rFonts w:ascii="Calibri" w:hAnsi="Calibri" w:eastAsia="Microsoft YaHei"/>
        <w:color w:val="5865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586575"/>
        <w:sz w:val="16"/>
      </w:rPr>
      <w:t>INVESTMENT AND FINANCIAL DECISION-MAKING</w:t>
    </w:r>
    <w:r>
      <w:rPr>
        <w:rFonts w:ascii="Calibri" w:hAnsi="Calibri" w:eastAsia="Microsoft YaHei"/>
        <w:b/>
        <w:color w:val="586575"/>
        <w:sz w:val="16"/>
      </w:rPr>
      <w:tab/>
      <w:t>UNIT 1  |  LESSON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300" w:lineRule="auto"/>
      </w:pPr>
    </w:lvl>
  </w:abstractNum>
  <w:abstractNum w:abstractNumId="11">
    <w:multiLevelType w:val="singleLevel"/>
    <w:lvl w:ilvl="0">
      <w:start w:val="1"/>
      <w:numFmt w:val="lowerLetter"/>
      <w:lvlText w:val="%1)"/>
      <w:suff w:val="tab"/>
      <w:pPr>
        <w:tabs>
          <w:tab w:val="num" w:pos="900"/>
        </w:tabs>
        <w:ind w:left="900" w:hanging="300"/>
        <w:spacing w:after="80" w:line="300" w:lineRule="auto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1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before="0" w:after="40" w:line="240" w:lineRule="auto"/>
      <w:jc w:val="left"/>
    </w:pPr>
    <w:rPr>
      <w:rFonts w:ascii="Calibri" w:hAnsi="Calibri" w:eastAsia="Microsoft YaHei"/>
      <w:b/>
      <w:i w:val="0"/>
      <w:color w:val="2E74B5"/>
      <w:sz w:val="18"/>
    </w:rPr>
  </w:style>
  <w:style w:type="paragraph" w:customStyle="1" w:styleId="HandoutTitle">
    <w:name w:val="Handout Title"/>
    <w:pPr>
      <w:keepNext/>
      <w:spacing w:before="0" w:after="80" w:line="240" w:lineRule="auto"/>
      <w:jc w:val="left"/>
    </w:pPr>
    <w:rPr>
      <w:rFonts w:ascii="Calibri" w:hAnsi="Calibri" w:eastAsia="Microsoft YaHei"/>
      <w:b/>
      <w:i w:val="0"/>
      <w:color w:val="0B2545"/>
      <w:sz w:val="48"/>
    </w:rPr>
  </w:style>
  <w:style w:type="paragraph" w:customStyle="1" w:styleId="HandoutSubtitle">
    <w:name w:val="Handout Subtitle"/>
    <w:pPr>
      <w:keepNext/>
      <w:spacing w:before="0" w:after="160" w:line="264" w:lineRule="auto"/>
      <w:jc w:val="left"/>
    </w:pPr>
    <w:rPr>
      <w:rFonts w:ascii="Calibri" w:hAnsi="Calibri" w:eastAsia="Microsoft YaHei"/>
      <w:b w:val="0"/>
      <w:i w:val="0"/>
      <w:color w:val="586575"/>
      <w:sz w:val="23"/>
    </w:rPr>
  </w:style>
  <w:style w:type="paragraph" w:customStyle="1" w:styleId="Lead">
    <w:name w:val="Lead"/>
    <w:pPr>
      <w:keepNext w:val="0"/>
      <w:spacing w:before="60" w:after="120" w:line="300" w:lineRule="auto"/>
      <w:jc w:val="left"/>
    </w:pPr>
    <w:rPr>
      <w:rFonts w:ascii="Calibri" w:hAnsi="Calibri" w:eastAsia="Microsoft YaHei"/>
      <w:b w:val="0"/>
      <w:i w:val="0"/>
      <w:color w:val="20262E"/>
      <w:sz w:val="22"/>
    </w:rPr>
  </w:style>
  <w:style w:type="paragraph" w:customStyle="1" w:styleId="CaseTitle">
    <w:name w:val="Case Title"/>
    <w:pPr>
      <w:keepNext/>
      <w:spacing w:before="160" w:after="80" w:line="240" w:lineRule="auto"/>
      <w:jc w:val="left"/>
    </w:pPr>
    <w:rPr>
      <w:rFonts w:ascii="Calibri" w:hAnsi="Calibri" w:eastAsia="Microsoft YaHei"/>
      <w:b/>
      <w:i w:val="0"/>
      <w:color w:val="FFFFFF"/>
      <w:sz w:val="25"/>
    </w:rPr>
  </w:style>
  <w:style w:type="paragraph" w:customStyle="1" w:styleId="CaseBody">
    <w:name w:val="Case Body"/>
    <w:pPr>
      <w:keepNext w:val="0"/>
      <w:spacing w:before="0" w:after="80" w:line="276" w:lineRule="auto"/>
      <w:jc w:val="left"/>
    </w:pPr>
    <w:rPr>
      <w:rFonts w:ascii="Calibri" w:hAnsi="Calibri" w:eastAsia="Microsoft YaHei"/>
      <w:b w:val="0"/>
      <w:i w:val="0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  <w:jc w:val="left"/>
    </w:pPr>
    <w:rPr>
      <w:rFonts w:ascii="Calibri" w:hAnsi="Calibri" w:eastAsia="Microsoft YaHei"/>
      <w:b/>
      <w:i w:val="0"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  <w:jc w:val="left"/>
    </w:pPr>
    <w:rPr>
      <w:rFonts w:ascii="Calibri" w:hAnsi="Calibri" w:eastAsia="Microsoft YaHei"/>
      <w:b/>
      <w:i w:val="0"/>
      <w:color w:val="0B2545"/>
      <w:sz w:val="26"/>
    </w:rPr>
  </w:style>
  <w:style w:type="paragraph" w:customStyle="1" w:styleId="DefinitionBody">
    <w:name w:val="Definition Body"/>
    <w:pPr>
      <w:keepNext w:val="0"/>
      <w:spacing w:before="0" w:after="80" w:line="288" w:lineRule="auto"/>
      <w:jc w:val="left"/>
    </w:pPr>
    <w:rPr>
      <w:rFonts w:ascii="Calibri" w:hAnsi="Calibri" w:eastAsia="Microsoft YaHei"/>
      <w:b w:val="0"/>
      <w:i w:val="0"/>
      <w:color w:val="20262E"/>
      <w:sz w:val="21"/>
    </w:rPr>
  </w:style>
  <w:style w:type="paragraph" w:customStyle="1" w:styleId="DefinitionDiagnostic">
    <w:name w:val="Definition Diagnostic"/>
    <w:pPr>
      <w:keepNext w:val="0"/>
      <w:spacing w:before="0" w:after="140" w:line="276" w:lineRule="auto"/>
      <w:jc w:val="left"/>
    </w:pPr>
    <w:rPr>
      <w:rFonts w:ascii="Calibri" w:hAnsi="Calibri" w:eastAsia="Microsoft YaHei"/>
      <w:b w:val="0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  <w:jc w:val="left"/>
    </w:pPr>
    <w:rPr>
      <w:rFonts w:ascii="Calibri" w:hAnsi="Calibri" w:eastAsia="Microsoft YaHei"/>
      <w:b/>
      <w:i w:val="0"/>
      <w:color w:val="20262E"/>
      <w:sz w:val="21"/>
    </w:rPr>
  </w:style>
  <w:style w:type="paragraph" w:customStyle="1" w:styleId="MCQOption">
    <w:name w:val="MCQ Option"/>
    <w:pPr>
      <w:keepNext w:val="0"/>
      <w:spacing w:before="0" w:after="20" w:line="252" w:lineRule="auto"/>
      <w:jc w:val="left"/>
    </w:pPr>
    <w:rPr>
      <w:rFonts w:ascii="Calibri" w:hAnsi="Calibri" w:eastAsia="Microsoft YaHei"/>
      <w:b w:val="0"/>
      <w:i w:val="0"/>
      <w:color w:val="20262E"/>
      <w:sz w:val="20"/>
    </w:rPr>
  </w:style>
  <w:style w:type="paragraph" w:customStyle="1" w:styleId="SmallNote">
    <w:name w:val="Small Note"/>
    <w:pPr>
      <w:keepNext w:val="0"/>
      <w:spacing w:before="0" w:after="60" w:line="264" w:lineRule="auto"/>
      <w:jc w:val="left"/>
    </w:pPr>
    <w:rPr>
      <w:rFonts w:ascii="Calibri" w:hAnsi="Calibri" w:eastAsia="Microsoft YaHei"/>
      <w:b w:val="0"/>
      <w:i w:val="0"/>
      <w:color w:val="586575"/>
      <w:sz w:val="17"/>
    </w:rPr>
  </w:style>
  <w:style w:type="paragraph" w:customStyle="1" w:styleId="SourceNote">
    <w:name w:val="Source Note"/>
    <w:pPr>
      <w:keepNext w:val="0"/>
      <w:spacing w:before="0" w:after="60" w:line="264" w:lineRule="auto"/>
      <w:jc w:val="left"/>
    </w:pPr>
    <w:rPr>
      <w:rFonts w:ascii="Calibri" w:hAnsi="Calibri" w:eastAsia="Microsoft YaHei"/>
      <w:b w:val="0"/>
      <w:i w:val="0"/>
      <w:color w:val="586575"/>
      <w:sz w:val="17"/>
    </w:rPr>
  </w:style>
  <w:style w:type="paragraph" w:customStyle="1" w:styleId="TableHeader">
    <w:name w:val="Table Header"/>
    <w:pPr>
      <w:keepNext w:val="0"/>
      <w:spacing w:before="0" w:after="0" w:line="240" w:lineRule="auto"/>
      <w:jc w:val="center"/>
    </w:pPr>
    <w:rPr>
      <w:rFonts w:ascii="Calibri" w:hAnsi="Calibri" w:eastAsia="Microsoft YaHei"/>
      <w:b/>
      <w:i w:val="0"/>
      <w:color w:val="FFFFFF"/>
      <w:sz w:val="19"/>
    </w:rPr>
  </w:style>
  <w:style w:type="paragraph" w:customStyle="1" w:styleId="TableText">
    <w:name w:val="Table Text"/>
    <w:pPr>
      <w:keepNext w:val="0"/>
      <w:spacing w:before="0" w:after="0" w:line="264" w:lineRule="auto"/>
      <w:jc w:val="left"/>
    </w:pPr>
    <w:rPr>
      <w:rFonts w:ascii="Calibri" w:hAnsi="Calibri" w:eastAsia="Microsoft YaHei"/>
      <w:b w:val="0"/>
      <w:i w:val="0"/>
      <w:color w:val="20262E"/>
      <w:sz w:val="19"/>
    </w:rPr>
  </w:style>
  <w:style w:type="paragraph" w:customStyle="1" w:styleId="TablePrompt">
    <w:name w:val="Table Prompt"/>
    <w:pPr>
      <w:keepNext w:val="0"/>
      <w:spacing w:before="0" w:after="0" w:line="252" w:lineRule="auto"/>
      <w:jc w:val="left"/>
    </w:pPr>
    <w:rPr>
      <w:rFonts w:ascii="Calibri" w:hAnsi="Calibri" w:eastAsia="Microsoft YaHei"/>
      <w:b w:val="0"/>
      <w:i/>
      <w:color w:val="5865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