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A401" w14:textId="77777777" w:rsidR="00F96CC9" w:rsidRDefault="00000000">
      <w:pPr>
        <w:keepNext/>
        <w:spacing w:after="100"/>
      </w:pPr>
      <w:r>
        <w:rPr>
          <w:b/>
          <w:color w:val="5B6B7D"/>
          <w:sz w:val="16"/>
          <w:szCs w:val="16"/>
        </w:rPr>
        <w:t>IC Junior High  |  Investment Term Outline  |  2026/27 Semester 1</w:t>
      </w:r>
    </w:p>
    <w:p w14:paraId="5C406765" w14:textId="77777777" w:rsidR="00BA6999" w:rsidRDefault="00000000">
      <w:pPr>
        <w:pStyle w:val="Heading1"/>
      </w:pPr>
      <w:r>
        <w:rPr>
          <w:rFonts w:ascii="Calibri" w:eastAsia="Calibri" w:hAnsi="Calibri"/>
          <w:color w:val="5B8C43"/>
        </w:rPr>
        <w:t>Investment and Financial Decision-Making - Semester 1 Term Outline</w:t>
      </w:r>
    </w:p>
    <w:p w14:paraId="2DCB6DE7" w14:textId="03E65420" w:rsidR="00BA6999" w:rsidRDefault="00000000">
      <w:pPr>
        <w:keepNext/>
        <w:spacing w:after="20"/>
      </w:pPr>
      <w:r>
        <w:rPr>
          <w:color w:val="294766"/>
          <w:sz w:val="18"/>
          <w:szCs w:val="18"/>
        </w:rPr>
        <w:t>This course is designed to help students become more confident, careful and responsible when making financial choices - skills they can use well beyond the classroom and throughout their lives. It begins by separating the broad idea of investment from financial investment, speculation and saving. Students then move through six connected units: personal investment foundations; investment choices for families; how markets work; analysing companies; portfolios and investor behaviour; and family investment decisions and careers. Across the semester they use goals, time horizon, liquidity, risk and evidence to compare choices; interpret market and company information; build, monitor and rebalance portfolios; test decisions against changing family circumstances; and recognise conflicts, misleading claims and fraud warning signs. By the end of the semester, parents can expect their child to explain financial choices more clearly, support judgements with evidence and present a reasoned family investment strategy while acknowledging uncertainty.</w:t>
      </w:r>
    </w:p>
    <w:p w14:paraId="7043FE8C" w14:textId="3635F637" w:rsidR="00BA6999" w:rsidRDefault="00000000">
      <w:pPr>
        <w:keepNext/>
        <w:spacing w:after="50"/>
        <w:rPr>
          <w:lang w:eastAsia="zh-CN"/>
        </w:rPr>
      </w:pPr>
      <w:r>
        <w:rPr>
          <w:rFonts w:eastAsia="微软雅黑"/>
          <w:color w:val="294766"/>
          <w:sz w:val="18"/>
          <w:szCs w:val="18"/>
          <w:lang w:eastAsia="zh-CN"/>
        </w:rPr>
        <w:t>本课程旨在帮助学生在作出金融选择时更加自信、谨慎并富有责任感；这些能力不仅适用于课堂，也将长期服务于他们的生活。课程首先区分广义投资、金融投资、投机和储蓄，随后通过六个相互衔接的单元展开：个人投资基础、家庭投资选择、市场如何运作、公司分析、投资组合与投资者行为，以及家庭投资决策与职业。整个学期中，学生将运用目标、投资期限、流动性、风险和证据来比较选择；解读市场与公司信息；构建、监测并再平衡投资组合；在家庭情况变化时检验决策；并识别利益冲突、误导性说法和诈骗警示信号。学期结束时，家长可以期待孩子更清楚地解释金融选择，以证据支持判断，并在承认不确定性的同时提出有理有据的家庭投资策略。</w:t>
      </w: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3238C7B7" w14:textId="77777777">
        <w:trPr>
          <w:cantSplit/>
          <w:tblHeader/>
        </w:trPr>
        <w:tc>
          <w:tcPr>
            <w:tcW w:w="600" w:type="dxa"/>
            <w:shd w:val="clear" w:color="auto" w:fill="5B8C43"/>
            <w:tcMar>
              <w:top w:w="70" w:type="dxa"/>
              <w:left w:w="80" w:type="dxa"/>
              <w:bottom w:w="70" w:type="dxa"/>
              <w:right w:w="80" w:type="dxa"/>
            </w:tcMar>
            <w:vAlign w:val="center"/>
          </w:tcPr>
          <w:p w14:paraId="7B893392"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598C6BD6"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7B11DE0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7780E62C"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270B2896"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7220CD0B" w14:textId="77777777" w:rsidR="00F96CC9" w:rsidRDefault="00000000">
            <w:pPr>
              <w:spacing w:after="0"/>
              <w:jc w:val="center"/>
            </w:pPr>
            <w:r>
              <w:rPr>
                <w:rFonts w:eastAsia="微软雅黑"/>
                <w:b/>
                <w:color w:val="FFFFFF"/>
              </w:rPr>
              <w:t xml:space="preserve">Chinese translation / </w:t>
            </w:r>
            <w:proofErr w:type="spellStart"/>
            <w:r>
              <w:rPr>
                <w:rFonts w:eastAsia="微软雅黑"/>
                <w:b/>
                <w:color w:val="FFFFFF"/>
              </w:rPr>
              <w:t>中文翻译</w:t>
            </w:r>
            <w:proofErr w:type="spellEnd"/>
          </w:p>
        </w:tc>
        <w:tc>
          <w:tcPr>
            <w:tcW w:w="4628" w:type="dxa"/>
            <w:shd w:val="clear" w:color="auto" w:fill="5B8C43"/>
            <w:tcMar>
              <w:top w:w="70" w:type="dxa"/>
              <w:left w:w="80" w:type="dxa"/>
              <w:bottom w:w="70" w:type="dxa"/>
              <w:right w:w="80" w:type="dxa"/>
            </w:tcMar>
            <w:vAlign w:val="center"/>
          </w:tcPr>
          <w:p w14:paraId="6F6714EE"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Units 1-2 (Lessons 1-13): Personal Investment Foundations → Investment Choices for Families | 第一至二单元（第1-13课）：个人投资基础 → 家庭投资选择</w:t>
            </w:r>
          </w:p>
        </w:tc>
      </w:tr>
      <w:tr w:rsidR="00BA6999" w14:paraId="5EFBB210" w14:textId="77777777">
        <w:trPr>
          <w:cantSplit/>
        </w:trPr>
        <w:tc>
          <w:tcPr>
            <w:tcW w:w="600" w:type="dxa"/>
            <w:tcMar>
              <w:top w:w="120" w:type="dxa"/>
              <w:left w:w="80" w:type="dxa"/>
              <w:bottom w:w="120" w:type="dxa"/>
              <w:right w:w="80" w:type="dxa"/>
            </w:tcMar>
            <w:vAlign w:val="center"/>
          </w:tcPr>
          <w:p w14:paraId="47527778" w14:textId="77777777" w:rsidR="00BA6999" w:rsidRDefault="00000000">
            <w:pPr>
              <w:spacing w:after="0"/>
              <w:jc w:val="center"/>
            </w:pPr>
            <w:r>
              <w:t>1</w:t>
            </w:r>
          </w:p>
        </w:tc>
        <w:tc>
          <w:tcPr>
            <w:tcW w:w="850" w:type="dxa"/>
            <w:tcMar>
              <w:top w:w="120" w:type="dxa"/>
              <w:left w:w="80" w:type="dxa"/>
              <w:bottom w:w="120" w:type="dxa"/>
              <w:right w:w="80" w:type="dxa"/>
            </w:tcMar>
            <w:vAlign w:val="center"/>
          </w:tcPr>
          <w:p w14:paraId="41BE1514" w14:textId="77777777" w:rsidR="00BA6999" w:rsidRDefault="00000000">
            <w:pPr>
              <w:spacing w:after="0"/>
              <w:jc w:val="center"/>
            </w:pPr>
            <w:r>
              <w:t>Sep 1</w:t>
            </w:r>
          </w:p>
        </w:tc>
        <w:tc>
          <w:tcPr>
            <w:tcW w:w="2600" w:type="dxa"/>
            <w:shd w:val="clear" w:color="auto" w:fill="FFF7E3"/>
            <w:tcMar>
              <w:top w:w="120" w:type="dxa"/>
              <w:left w:w="80" w:type="dxa"/>
              <w:bottom w:w="120" w:type="dxa"/>
              <w:right w:w="80" w:type="dxa"/>
            </w:tcMar>
            <w:vAlign w:val="center"/>
          </w:tcPr>
          <w:p w14:paraId="343B7BFB" w14:textId="77777777" w:rsidR="00BA6999" w:rsidRDefault="00000000">
            <w:pPr>
              <w:spacing w:after="0"/>
            </w:pPr>
            <w:r>
              <w:t>Classroom Inspections; New Student Parent Meeting; Summer Homework Exhibition &amp; Review</w:t>
            </w:r>
          </w:p>
        </w:tc>
        <w:tc>
          <w:tcPr>
            <w:tcW w:w="2300" w:type="dxa"/>
            <w:shd w:val="clear" w:color="auto" w:fill="EEF6EA"/>
            <w:tcMar>
              <w:top w:w="120" w:type="dxa"/>
              <w:left w:w="80" w:type="dxa"/>
              <w:bottom w:w="120" w:type="dxa"/>
              <w:right w:w="80" w:type="dxa"/>
            </w:tcMar>
            <w:vAlign w:val="center"/>
          </w:tcPr>
          <w:p w14:paraId="69100C3F" w14:textId="77777777" w:rsidR="00BA6999" w:rsidRDefault="00000000">
            <w:pPr>
              <w:spacing w:after="0"/>
            </w:pPr>
            <w:r>
              <w:t>Lesson 1: What is investment?; Lesson 2: Why do families invest?</w:t>
            </w:r>
          </w:p>
        </w:tc>
        <w:tc>
          <w:tcPr>
            <w:tcW w:w="3900" w:type="dxa"/>
            <w:shd w:val="clear" w:color="auto" w:fill="EEF6EA"/>
            <w:tcMar>
              <w:top w:w="120" w:type="dxa"/>
              <w:left w:w="80" w:type="dxa"/>
              <w:bottom w:w="120" w:type="dxa"/>
              <w:right w:w="80" w:type="dxa"/>
            </w:tcMar>
            <w:vAlign w:val="center"/>
          </w:tcPr>
          <w:p w14:paraId="27B2B257" w14:textId="77777777" w:rsidR="00BA6999" w:rsidRDefault="00000000">
            <w:pPr>
              <w:spacing w:after="0"/>
            </w:pPr>
            <w:r>
              <w:t>Students define investment as using money or other resources now for an expected future benefit; classify human capital, financial assets and real assets; and explain financial investment as seeking total return from income and asset-price change. They distinguish it from saving and speculation using evidence, liquidity, capital preservation and possible loss, then connect these choices to family goals.</w:t>
            </w:r>
          </w:p>
        </w:tc>
        <w:tc>
          <w:tcPr>
            <w:tcW w:w="3900" w:type="dxa"/>
            <w:shd w:val="clear" w:color="auto" w:fill="EEF6EA"/>
            <w:tcMar>
              <w:top w:w="120" w:type="dxa"/>
              <w:left w:w="80" w:type="dxa"/>
              <w:bottom w:w="120" w:type="dxa"/>
              <w:right w:w="80" w:type="dxa"/>
            </w:tcMar>
            <w:vAlign w:val="center"/>
          </w:tcPr>
          <w:p w14:paraId="0D708B33" w14:textId="77777777" w:rsidR="00F96CC9" w:rsidRDefault="00000000">
            <w:pPr>
              <w:spacing w:after="0"/>
              <w:rPr>
                <w:lang w:eastAsia="zh-CN"/>
              </w:rPr>
            </w:pPr>
            <w:r>
              <w:rPr>
                <w:rFonts w:eastAsia="微软雅黑"/>
                <w:lang w:eastAsia="zh-CN"/>
              </w:rPr>
              <w:t>学生把投资定义为现在使用金钱或其他资源以期获得未来收益，区分人力资本、金融资产和实物资产，并说明金融投资通过收入和资产价格变化寻求总回报。他们依据证据、流动性、保本和潜在损失区分投资、储蓄与投机，再把这些选择与家庭目标联系起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investment（投资）</w:t>
            </w:r>
          </w:p>
          <w:p w14:paraId="3198E3F8" w14:textId="77777777" w:rsidR="00F96CC9" w:rsidRDefault="00000000">
            <w:pPr>
              <w:numPr>
                <w:ilvl w:val="0"/>
                <w:numId w:val="1"/>
              </w:numPr>
              <w:spacing w:after="0"/>
            </w:pPr>
            <w:r>
              <w:rPr>
                <w:rFonts w:eastAsia="微软雅黑"/>
                <w:szCs w:val="17"/>
              </w:rPr>
              <w:t>human capital（人力资本）</w:t>
            </w:r>
          </w:p>
          <w:p w14:paraId="3198E3F8" w14:textId="77777777" w:rsidR="00F96CC9" w:rsidRDefault="00000000">
            <w:pPr>
              <w:numPr>
                <w:ilvl w:val="0"/>
                <w:numId w:val="1"/>
              </w:numPr>
              <w:spacing w:after="0"/>
            </w:pPr>
            <w:r>
              <w:rPr>
                <w:rFonts w:eastAsia="微软雅黑"/>
                <w:szCs w:val="17"/>
              </w:rPr>
              <w:t>financial asset（金融资产）</w:t>
            </w:r>
          </w:p>
          <w:p w14:paraId="3198E3F8" w14:textId="77777777" w:rsidR="00F96CC9" w:rsidRDefault="00000000">
            <w:pPr>
              <w:numPr>
                <w:ilvl w:val="0"/>
                <w:numId w:val="1"/>
              </w:numPr>
              <w:spacing w:after="0"/>
            </w:pPr>
            <w:r>
              <w:rPr>
                <w:rFonts w:eastAsia="微软雅黑"/>
                <w:szCs w:val="17"/>
              </w:rPr>
              <w:t>real asset（实物资产）</w:t>
            </w:r>
          </w:p>
          <w:p w14:paraId="3198E3F8" w14:textId="77777777" w:rsidR="00F96CC9" w:rsidRDefault="00000000">
            <w:pPr>
              <w:numPr>
                <w:ilvl w:val="0"/>
                <w:numId w:val="1"/>
              </w:numPr>
              <w:spacing w:after="0"/>
            </w:pPr>
            <w:r>
              <w:rPr>
                <w:rFonts w:eastAsia="微软雅黑"/>
                <w:szCs w:val="17"/>
              </w:rPr>
              <w:t>financial investment（金融投资）</w:t>
            </w:r>
          </w:p>
          <w:p w14:paraId="3198E3F8" w14:textId="77777777" w:rsidR="00F96CC9" w:rsidRDefault="00000000">
            <w:pPr>
              <w:numPr>
                <w:ilvl w:val="0"/>
                <w:numId w:val="1"/>
              </w:numPr>
              <w:spacing w:after="0"/>
            </w:pPr>
            <w:r>
              <w:rPr>
                <w:rFonts w:eastAsia="微软雅黑"/>
                <w:szCs w:val="17"/>
              </w:rPr>
              <w:t>total return（总回报）</w:t>
            </w:r>
          </w:p>
          <w:p w14:paraId="3198E3F8" w14:textId="77777777" w:rsidR="00F96CC9" w:rsidRDefault="00000000">
            <w:pPr>
              <w:numPr>
                <w:ilvl w:val="0"/>
                <w:numId w:val="1"/>
              </w:numPr>
              <w:spacing w:after="0"/>
            </w:pPr>
            <w:r>
              <w:rPr>
                <w:rFonts w:eastAsia="微软雅黑"/>
                <w:szCs w:val="17"/>
              </w:rPr>
              <w:t>speculation（投机）</w:t>
            </w:r>
          </w:p>
          <w:p w14:paraId="3198E3F8" w14:textId="77777777" w:rsidR="00F96CC9" w:rsidRDefault="00000000">
            <w:pPr>
              <w:numPr>
                <w:ilvl w:val="0"/>
                <w:numId w:val="1"/>
              </w:numPr>
              <w:spacing w:after="0"/>
            </w:pPr>
            <w:r>
              <w:rPr>
                <w:rFonts w:eastAsia="微软雅黑"/>
                <w:szCs w:val="17"/>
              </w:rPr>
              <w:t>saving（储蓄）</w:t>
            </w:r>
          </w:p>
        </w:tc>
      </w:tr>
      <w:tr w:rsidR="00BA6999" w14:paraId="048E56A7" w14:textId="77777777">
        <w:trPr>
          <w:cantSplit/>
        </w:trPr>
        <w:tc>
          <w:tcPr>
            <w:tcW w:w="600" w:type="dxa"/>
            <w:tcMar>
              <w:top w:w="120" w:type="dxa"/>
              <w:left w:w="80" w:type="dxa"/>
              <w:bottom w:w="120" w:type="dxa"/>
              <w:right w:w="80" w:type="dxa"/>
            </w:tcMar>
            <w:vAlign w:val="center"/>
          </w:tcPr>
          <w:p w14:paraId="78EAFB2E" w14:textId="77777777" w:rsidR="00BA6999" w:rsidRDefault="00000000">
            <w:pPr>
              <w:spacing w:after="0"/>
              <w:jc w:val="center"/>
            </w:pPr>
            <w:r>
              <w:t>2</w:t>
            </w:r>
          </w:p>
        </w:tc>
        <w:tc>
          <w:tcPr>
            <w:tcW w:w="850" w:type="dxa"/>
            <w:tcMar>
              <w:top w:w="120" w:type="dxa"/>
              <w:left w:w="80" w:type="dxa"/>
              <w:bottom w:w="120" w:type="dxa"/>
              <w:right w:w="80" w:type="dxa"/>
            </w:tcMar>
            <w:vAlign w:val="center"/>
          </w:tcPr>
          <w:p w14:paraId="69B31F13" w14:textId="77777777" w:rsidR="00BA6999" w:rsidRDefault="00000000">
            <w:pPr>
              <w:spacing w:after="0"/>
              <w:jc w:val="center"/>
            </w:pPr>
            <w:r>
              <w:t>Sep 7</w:t>
            </w:r>
          </w:p>
        </w:tc>
        <w:tc>
          <w:tcPr>
            <w:tcW w:w="2600" w:type="dxa"/>
            <w:shd w:val="clear" w:color="auto" w:fill="FFF7E3"/>
            <w:tcMar>
              <w:top w:w="120" w:type="dxa"/>
              <w:left w:w="80" w:type="dxa"/>
              <w:bottom w:w="120" w:type="dxa"/>
              <w:right w:w="80" w:type="dxa"/>
            </w:tcMar>
            <w:vAlign w:val="center"/>
          </w:tcPr>
          <w:p w14:paraId="17BC166A" w14:textId="77777777" w:rsidR="00BA6999" w:rsidRDefault="00000000">
            <w:pPr>
              <w:spacing w:after="0"/>
            </w:pPr>
            <w:r>
              <w:t>Faculty Recognition Ceremony</w:t>
            </w:r>
          </w:p>
        </w:tc>
        <w:tc>
          <w:tcPr>
            <w:tcW w:w="2300" w:type="dxa"/>
            <w:shd w:val="clear" w:color="auto" w:fill="EEF6EA"/>
            <w:tcMar>
              <w:top w:w="120" w:type="dxa"/>
              <w:left w:w="80" w:type="dxa"/>
              <w:bottom w:w="120" w:type="dxa"/>
              <w:right w:w="80" w:type="dxa"/>
            </w:tcMar>
            <w:vAlign w:val="center"/>
          </w:tcPr>
          <w:p w14:paraId="25B49350" w14:textId="77777777" w:rsidR="00BA6999" w:rsidRDefault="00000000">
            <w:pPr>
              <w:spacing w:after="0"/>
            </w:pPr>
            <w:r>
              <w:t>Lessons 3-4: Goals, time horizon, compounding and inflation</w:t>
            </w:r>
          </w:p>
        </w:tc>
        <w:tc>
          <w:tcPr>
            <w:tcW w:w="3900" w:type="dxa"/>
            <w:shd w:val="clear" w:color="auto" w:fill="EEF6EA"/>
            <w:tcMar>
              <w:top w:w="120" w:type="dxa"/>
              <w:left w:w="80" w:type="dxa"/>
              <w:bottom w:w="120" w:type="dxa"/>
              <w:right w:w="80" w:type="dxa"/>
            </w:tcMar>
            <w:vAlign w:val="center"/>
          </w:tcPr>
          <w:p w14:paraId="1B841D63" w14:textId="77777777" w:rsidR="00BA6999" w:rsidRDefault="00000000">
            <w:pPr>
              <w:spacing w:after="0"/>
            </w:pPr>
            <w:r>
              <w:t>A financial goal becomes more useful when its amount, time horizon and liquidity needs are clear; compounding can grow money over time, while inflation reduces purchasing power.</w:t>
            </w:r>
          </w:p>
        </w:tc>
        <w:tc>
          <w:tcPr>
            <w:tcW w:w="3900" w:type="dxa"/>
            <w:shd w:val="clear" w:color="auto" w:fill="EEF6EA"/>
            <w:tcMar>
              <w:top w:w="120" w:type="dxa"/>
              <w:left w:w="80" w:type="dxa"/>
              <w:bottom w:w="120" w:type="dxa"/>
              <w:right w:w="80" w:type="dxa"/>
            </w:tcMar>
            <w:vAlign w:val="center"/>
          </w:tcPr>
          <w:p w14:paraId="366810B8" w14:textId="77777777" w:rsidR="00F96CC9" w:rsidRDefault="00000000">
            <w:pPr>
              <w:spacing w:after="0"/>
              <w:rPr>
                <w:lang w:eastAsia="zh-CN"/>
              </w:rPr>
            </w:pPr>
            <w:r>
              <w:rPr>
                <w:rFonts w:eastAsia="微软雅黑"/>
                <w:lang w:eastAsia="zh-CN"/>
              </w:rPr>
              <w:t>明确金额、投资期限和流动性需求后，金融目标才更具可操作性；复利可使资金随时间增长，而通货膨胀会降低购买力。</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financial goal（金融目标）</w:t>
            </w:r>
          </w:p>
          <w:p w14:paraId="3198E3F8" w14:textId="77777777" w:rsidR="00F96CC9" w:rsidRDefault="00000000">
            <w:pPr>
              <w:numPr>
                <w:ilvl w:val="0"/>
                <w:numId w:val="1"/>
              </w:numPr>
              <w:spacing w:after="0"/>
            </w:pPr>
            <w:r>
              <w:rPr>
                <w:rFonts w:eastAsia="微软雅黑"/>
                <w:szCs w:val="17"/>
              </w:rPr>
              <w:t>time horizon（投资期限）</w:t>
            </w:r>
          </w:p>
          <w:p w14:paraId="3198E3F8" w14:textId="77777777" w:rsidR="00F96CC9" w:rsidRDefault="00000000">
            <w:pPr>
              <w:numPr>
                <w:ilvl w:val="0"/>
                <w:numId w:val="1"/>
              </w:numPr>
              <w:spacing w:after="0"/>
            </w:pPr>
            <w:r>
              <w:rPr>
                <w:rFonts w:eastAsia="微软雅黑"/>
                <w:szCs w:val="17"/>
              </w:rPr>
              <w:t>liquidity（流动性）</w:t>
            </w:r>
          </w:p>
          <w:p w14:paraId="3198E3F8" w14:textId="77777777" w:rsidR="00F96CC9" w:rsidRDefault="00000000">
            <w:pPr>
              <w:numPr>
                <w:ilvl w:val="0"/>
                <w:numId w:val="1"/>
              </w:numPr>
              <w:spacing w:after="0"/>
            </w:pPr>
            <w:r>
              <w:rPr>
                <w:rFonts w:eastAsia="微软雅黑"/>
                <w:szCs w:val="17"/>
              </w:rPr>
              <w:t>compound growth（复利增长）</w:t>
            </w:r>
          </w:p>
          <w:p w14:paraId="3198E3F8" w14:textId="77777777" w:rsidR="00F96CC9" w:rsidRDefault="00000000">
            <w:pPr>
              <w:numPr>
                <w:ilvl w:val="0"/>
                <w:numId w:val="1"/>
              </w:numPr>
              <w:spacing w:after="0"/>
            </w:pPr>
            <w:r>
              <w:rPr>
                <w:rFonts w:eastAsia="微软雅黑"/>
                <w:szCs w:val="17"/>
              </w:rPr>
              <w:t>purchasing power（购买力）</w:t>
            </w:r>
          </w:p>
        </w:tc>
      </w:tr>
      <w:tr w:rsidR="00BA6999" w14:paraId="69B62133" w14:textId="77777777">
        <w:trPr>
          <w:cantSplit/>
        </w:trPr>
        <w:tc>
          <w:tcPr>
            <w:tcW w:w="600" w:type="dxa"/>
            <w:tcMar>
              <w:top w:w="120" w:type="dxa"/>
              <w:left w:w="80" w:type="dxa"/>
              <w:bottom w:w="120" w:type="dxa"/>
              <w:right w:w="80" w:type="dxa"/>
            </w:tcMar>
            <w:vAlign w:val="center"/>
          </w:tcPr>
          <w:p w14:paraId="639EE782" w14:textId="77777777" w:rsidR="00BA6999" w:rsidRDefault="00000000">
            <w:pPr>
              <w:spacing w:after="0"/>
              <w:jc w:val="center"/>
            </w:pPr>
            <w:r>
              <w:t>3</w:t>
            </w:r>
          </w:p>
        </w:tc>
        <w:tc>
          <w:tcPr>
            <w:tcW w:w="850" w:type="dxa"/>
            <w:tcMar>
              <w:top w:w="120" w:type="dxa"/>
              <w:left w:w="80" w:type="dxa"/>
              <w:bottom w:w="120" w:type="dxa"/>
              <w:right w:w="80" w:type="dxa"/>
            </w:tcMar>
            <w:vAlign w:val="center"/>
          </w:tcPr>
          <w:p w14:paraId="622451D2" w14:textId="77777777" w:rsidR="00BA6999" w:rsidRDefault="00000000">
            <w:pPr>
              <w:spacing w:after="0"/>
              <w:jc w:val="center"/>
            </w:pPr>
            <w:r>
              <w:t>Sep 14</w:t>
            </w:r>
          </w:p>
        </w:tc>
        <w:tc>
          <w:tcPr>
            <w:tcW w:w="2600" w:type="dxa"/>
            <w:shd w:val="clear" w:color="auto" w:fill="FFF7E3"/>
            <w:tcMar>
              <w:top w:w="120" w:type="dxa"/>
              <w:left w:w="80" w:type="dxa"/>
              <w:bottom w:w="120" w:type="dxa"/>
              <w:right w:w="80" w:type="dxa"/>
            </w:tcMar>
            <w:vAlign w:val="center"/>
          </w:tcPr>
          <w:p w14:paraId="2663DF33" w14:textId="77777777" w:rsidR="00BA6999" w:rsidRDefault="00000000">
            <w:pPr>
              <w:spacing w:after="0"/>
            </w:pPr>
            <w:r>
              <w:t>Student Leadership Council Elections; Sept. 20 Working Day (Adjusted Schedule)</w:t>
            </w:r>
          </w:p>
        </w:tc>
        <w:tc>
          <w:tcPr>
            <w:tcW w:w="2300" w:type="dxa"/>
            <w:shd w:val="clear" w:color="auto" w:fill="EEF6EA"/>
            <w:tcMar>
              <w:top w:w="120" w:type="dxa"/>
              <w:left w:w="80" w:type="dxa"/>
              <w:bottom w:w="120" w:type="dxa"/>
              <w:right w:w="80" w:type="dxa"/>
            </w:tcMar>
            <w:vAlign w:val="center"/>
          </w:tcPr>
          <w:p w14:paraId="60766F4F" w14:textId="77777777" w:rsidR="00BA6999" w:rsidRDefault="00BA6999">
            <w:pPr>
              <w:spacing w:after="0"/>
            </w:pPr>
            <w:r>
              <w:t>Lessons 5-6: Risk, possible return, tolerance and capacity</w:t>
            </w:r>
          </w:p>
        </w:tc>
        <w:tc>
          <w:tcPr>
            <w:tcW w:w="3900" w:type="dxa"/>
            <w:shd w:val="clear" w:color="auto" w:fill="EEF6EA"/>
            <w:tcMar>
              <w:top w:w="120" w:type="dxa"/>
              <w:left w:w="80" w:type="dxa"/>
              <w:bottom w:w="120" w:type="dxa"/>
              <w:right w:w="80" w:type="dxa"/>
            </w:tcMar>
            <w:vAlign w:val="center"/>
          </w:tcPr>
          <w:p w14:paraId="3A9903FD" w14:textId="77777777" w:rsidR="00BA6999" w:rsidRDefault="00000000">
            <w:pPr>
              <w:spacing w:after="0"/>
            </w:pPr>
            <w:r>
              <w:t>Possible return cannot be separated from risk, and a suitable choice depends on both willingness to accept uncertainty and the financial capacity to absorb loss.</w:t>
            </w:r>
          </w:p>
        </w:tc>
        <w:tc>
          <w:tcPr>
            <w:tcW w:w="3900" w:type="dxa"/>
            <w:shd w:val="clear" w:color="auto" w:fill="EEF6EA"/>
            <w:tcMar>
              <w:top w:w="120" w:type="dxa"/>
              <w:left w:w="80" w:type="dxa"/>
              <w:bottom w:w="120" w:type="dxa"/>
              <w:right w:w="80" w:type="dxa"/>
            </w:tcMar>
            <w:vAlign w:val="center"/>
          </w:tcPr>
          <w:p w14:paraId="1B3AD608" w14:textId="77777777" w:rsidR="00F96CC9" w:rsidRDefault="00000000">
            <w:pPr>
              <w:spacing w:after="0"/>
              <w:rPr>
                <w:lang w:eastAsia="zh-CN"/>
              </w:rPr>
            </w:pPr>
            <w:r>
              <w:rPr>
                <w:rFonts w:eastAsia="微软雅黑"/>
                <w:lang w:eastAsia="zh-CN"/>
              </w:rPr>
              <w:t>潜在回报不能与风险分开考虑；合适的选择既取决于接受不确定性的意愿，也取决于承担损失的财务能力。</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risk（风险）</w:t>
            </w:r>
          </w:p>
          <w:p w14:paraId="3198E3F8" w14:textId="77777777" w:rsidR="00F96CC9" w:rsidRDefault="00000000">
            <w:pPr>
              <w:numPr>
                <w:ilvl w:val="0"/>
                <w:numId w:val="1"/>
              </w:numPr>
              <w:spacing w:after="0"/>
            </w:pPr>
            <w:r>
              <w:rPr>
                <w:rFonts w:eastAsia="微软雅黑"/>
                <w:szCs w:val="17"/>
              </w:rPr>
              <w:t>expected return（预期回报）</w:t>
            </w:r>
          </w:p>
          <w:p w14:paraId="3198E3F8" w14:textId="77777777" w:rsidR="00F96CC9" w:rsidRDefault="00000000">
            <w:pPr>
              <w:numPr>
                <w:ilvl w:val="0"/>
                <w:numId w:val="1"/>
              </w:numPr>
              <w:spacing w:after="0"/>
            </w:pPr>
            <w:r>
              <w:rPr>
                <w:rFonts w:eastAsia="微软雅黑"/>
                <w:szCs w:val="17"/>
              </w:rPr>
              <w:t>volatility（波动性）</w:t>
            </w:r>
          </w:p>
          <w:p w14:paraId="3198E3F8" w14:textId="77777777" w:rsidR="00F96CC9" w:rsidRDefault="00000000">
            <w:pPr>
              <w:numPr>
                <w:ilvl w:val="0"/>
                <w:numId w:val="1"/>
              </w:numPr>
              <w:spacing w:after="0"/>
            </w:pPr>
            <w:r>
              <w:rPr>
                <w:rFonts w:eastAsia="微软雅黑"/>
                <w:szCs w:val="17"/>
              </w:rPr>
              <w:t>risk tolerance（风险承受意愿）</w:t>
            </w:r>
          </w:p>
          <w:p w14:paraId="3198E3F8" w14:textId="77777777" w:rsidR="00F96CC9" w:rsidRDefault="00000000">
            <w:pPr>
              <w:numPr>
                <w:ilvl w:val="0"/>
                <w:numId w:val="1"/>
              </w:numPr>
              <w:spacing w:after="0"/>
            </w:pPr>
            <w:r>
              <w:rPr>
                <w:rFonts w:eastAsia="微软雅黑"/>
                <w:szCs w:val="17"/>
              </w:rPr>
              <w:t>risk capacity（风险承受能力）</w:t>
            </w:r>
          </w:p>
        </w:tc>
      </w:tr>
      <w:tr w:rsidR="00BA6999" w14:paraId="494ECB20" w14:textId="77777777">
        <w:trPr>
          <w:cantSplit/>
        </w:trPr>
        <w:tc>
          <w:tcPr>
            <w:tcW w:w="600" w:type="dxa"/>
            <w:tcMar>
              <w:top w:w="120" w:type="dxa"/>
              <w:left w:w="80" w:type="dxa"/>
              <w:bottom w:w="120" w:type="dxa"/>
              <w:right w:w="80" w:type="dxa"/>
            </w:tcMar>
            <w:vAlign w:val="center"/>
          </w:tcPr>
          <w:p w14:paraId="0B24A16F" w14:textId="77777777" w:rsidR="00BA6999" w:rsidRDefault="00000000">
            <w:pPr>
              <w:spacing w:after="0"/>
              <w:jc w:val="center"/>
            </w:pPr>
            <w:r>
              <w:t>4</w:t>
            </w:r>
          </w:p>
        </w:tc>
        <w:tc>
          <w:tcPr>
            <w:tcW w:w="850" w:type="dxa"/>
            <w:tcMar>
              <w:top w:w="120" w:type="dxa"/>
              <w:left w:w="80" w:type="dxa"/>
              <w:bottom w:w="120" w:type="dxa"/>
              <w:right w:w="80" w:type="dxa"/>
            </w:tcMar>
            <w:vAlign w:val="center"/>
          </w:tcPr>
          <w:p w14:paraId="1751D520" w14:textId="77777777" w:rsidR="00BA6999" w:rsidRDefault="00000000">
            <w:pPr>
              <w:spacing w:after="0"/>
              <w:jc w:val="center"/>
            </w:pPr>
            <w:r>
              <w:t>Sep 21</w:t>
            </w:r>
          </w:p>
        </w:tc>
        <w:tc>
          <w:tcPr>
            <w:tcW w:w="2600" w:type="dxa"/>
            <w:shd w:val="clear" w:color="auto" w:fill="FFF7E3"/>
            <w:tcMar>
              <w:top w:w="120" w:type="dxa"/>
              <w:left w:w="80" w:type="dxa"/>
              <w:bottom w:w="120" w:type="dxa"/>
              <w:right w:w="80" w:type="dxa"/>
            </w:tcMar>
            <w:vAlign w:val="center"/>
          </w:tcPr>
          <w:p w14:paraId="3969F023" w14:textId="77777777" w:rsidR="00BA6999" w:rsidRDefault="00000000">
            <w:pPr>
              <w:spacing w:after="0"/>
            </w:pPr>
            <w:r>
              <w:t>Chinese Language Activity; School Sports Day</w:t>
            </w:r>
          </w:p>
        </w:tc>
        <w:tc>
          <w:tcPr>
            <w:tcW w:w="2300" w:type="dxa"/>
            <w:shd w:val="clear" w:color="auto" w:fill="EEF6EA"/>
            <w:tcMar>
              <w:top w:w="120" w:type="dxa"/>
              <w:left w:w="80" w:type="dxa"/>
              <w:bottom w:w="120" w:type="dxa"/>
              <w:right w:w="80" w:type="dxa"/>
            </w:tcMar>
            <w:vAlign w:val="center"/>
          </w:tcPr>
          <w:p w14:paraId="302E3B71" w14:textId="77777777" w:rsidR="00BA6999" w:rsidRDefault="00BA6999">
            <w:pPr>
              <w:spacing w:after="0"/>
            </w:pPr>
            <w:r>
              <w:t>Lesson 7: A written plan; Lesson 8: Cash, deposits and bonds</w:t>
            </w:r>
          </w:p>
        </w:tc>
        <w:tc>
          <w:tcPr>
            <w:tcW w:w="3900" w:type="dxa"/>
            <w:shd w:val="clear" w:color="auto" w:fill="EEF6EA"/>
            <w:tcMar>
              <w:top w:w="120" w:type="dxa"/>
              <w:left w:w="80" w:type="dxa"/>
              <w:bottom w:w="120" w:type="dxa"/>
              <w:right w:w="80" w:type="dxa"/>
            </w:tcMar>
            <w:vAlign w:val="center"/>
          </w:tcPr>
          <w:p w14:paraId="78AB37E3" w14:textId="77777777" w:rsidR="00BA6999" w:rsidRDefault="00000000">
            <w:pPr>
              <w:spacing w:after="0"/>
            </w:pPr>
            <w:r>
              <w:t>A written plan turns goals and constraints into decision rules; cash, deposits and bonds then show how liquidity, interest income, maturity and repayment risk differ.</w:t>
            </w:r>
          </w:p>
        </w:tc>
        <w:tc>
          <w:tcPr>
            <w:tcW w:w="3900" w:type="dxa"/>
            <w:shd w:val="clear" w:color="auto" w:fill="EEF6EA"/>
            <w:tcMar>
              <w:top w:w="120" w:type="dxa"/>
              <w:left w:w="80" w:type="dxa"/>
              <w:bottom w:w="120" w:type="dxa"/>
              <w:right w:w="80" w:type="dxa"/>
            </w:tcMar>
            <w:vAlign w:val="center"/>
          </w:tcPr>
          <w:p w14:paraId="5B8BF780" w14:textId="77777777" w:rsidR="00F96CC9" w:rsidRDefault="00000000">
            <w:pPr>
              <w:spacing w:after="0"/>
              <w:rPr>
                <w:lang w:eastAsia="zh-CN"/>
              </w:rPr>
            </w:pPr>
            <w:r>
              <w:rPr>
                <w:rFonts w:eastAsia="微软雅黑"/>
                <w:lang w:eastAsia="zh-CN"/>
              </w:rPr>
              <w:t>书面计划把目标和限制转化为决策规则；现金、存款和债券则展示流动性、利息收入、到期日和偿还风险的差异。</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investment plan（投资计划）</w:t>
            </w:r>
          </w:p>
          <w:p w14:paraId="3198E3F8" w14:textId="77777777" w:rsidR="00F96CC9" w:rsidRDefault="00000000">
            <w:pPr>
              <w:numPr>
                <w:ilvl w:val="0"/>
                <w:numId w:val="1"/>
              </w:numPr>
              <w:spacing w:after="0"/>
            </w:pPr>
            <w:r>
              <w:rPr>
                <w:rFonts w:eastAsia="微软雅黑"/>
                <w:szCs w:val="17"/>
              </w:rPr>
              <w:t>emergency reserve（应急储备）</w:t>
            </w:r>
          </w:p>
          <w:p w14:paraId="3198E3F8" w14:textId="77777777" w:rsidR="00F96CC9" w:rsidRDefault="00000000">
            <w:pPr>
              <w:numPr>
                <w:ilvl w:val="0"/>
                <w:numId w:val="1"/>
              </w:numPr>
              <w:spacing w:after="0"/>
            </w:pPr>
            <w:r>
              <w:rPr>
                <w:rFonts w:eastAsia="微软雅黑"/>
                <w:szCs w:val="17"/>
              </w:rPr>
              <w:t>cash deposit（现金存款）</w:t>
            </w:r>
          </w:p>
          <w:p w14:paraId="3198E3F8" w14:textId="77777777" w:rsidR="00F96CC9" w:rsidRDefault="00000000">
            <w:pPr>
              <w:numPr>
                <w:ilvl w:val="0"/>
                <w:numId w:val="1"/>
              </w:numPr>
              <w:spacing w:after="0"/>
            </w:pPr>
            <w:r>
              <w:rPr>
                <w:rFonts w:eastAsia="微软雅黑"/>
                <w:szCs w:val="17"/>
              </w:rPr>
              <w:t>bond（债券）</w:t>
            </w:r>
          </w:p>
          <w:p w14:paraId="3198E3F8" w14:textId="77777777" w:rsidR="00F96CC9" w:rsidRDefault="00000000">
            <w:pPr>
              <w:numPr>
                <w:ilvl w:val="0"/>
                <w:numId w:val="1"/>
              </w:numPr>
              <w:spacing w:after="0"/>
            </w:pPr>
            <w:r>
              <w:rPr>
                <w:rFonts w:eastAsia="微软雅黑"/>
                <w:szCs w:val="17"/>
              </w:rPr>
              <w:t>credit risk（信用风险）</w:t>
            </w:r>
          </w:p>
        </w:tc>
      </w:tr>
      <w:tr w:rsidR="00BA6999" w14:paraId="4774E5D0" w14:textId="77777777">
        <w:trPr>
          <w:cantSplit/>
        </w:trPr>
        <w:tc>
          <w:tcPr>
            <w:tcW w:w="600" w:type="dxa"/>
            <w:shd w:val="clear" w:color="auto" w:fill="E7EAF0"/>
            <w:tcMar>
              <w:top w:w="120" w:type="dxa"/>
              <w:left w:w="80" w:type="dxa"/>
              <w:bottom w:w="120" w:type="dxa"/>
              <w:right w:w="80" w:type="dxa"/>
            </w:tcMar>
            <w:vAlign w:val="center"/>
          </w:tcPr>
          <w:p w14:paraId="03CBF6CE" w14:textId="77777777" w:rsidR="00BA6999" w:rsidRDefault="00000000">
            <w:pPr>
              <w:spacing w:after="0"/>
              <w:jc w:val="center"/>
            </w:pPr>
            <w:r>
              <w:rPr>
                <w:b/>
                <w:color w:val="5B6B7D"/>
              </w:rPr>
              <w:t>5</w:t>
            </w:r>
          </w:p>
        </w:tc>
        <w:tc>
          <w:tcPr>
            <w:tcW w:w="850" w:type="dxa"/>
            <w:shd w:val="clear" w:color="auto" w:fill="E7EAF0"/>
            <w:tcMar>
              <w:top w:w="120" w:type="dxa"/>
              <w:left w:w="80" w:type="dxa"/>
              <w:bottom w:w="120" w:type="dxa"/>
              <w:right w:w="80" w:type="dxa"/>
            </w:tcMar>
            <w:vAlign w:val="center"/>
          </w:tcPr>
          <w:p w14:paraId="42C7E7B2" w14:textId="77777777" w:rsidR="00BA6999" w:rsidRDefault="00000000">
            <w:pPr>
              <w:spacing w:after="0"/>
              <w:jc w:val="center"/>
            </w:pPr>
            <w:r>
              <w:rPr>
                <w:b/>
                <w:color w:val="5B6B7D"/>
              </w:rPr>
              <w:t>Sep 28</w:t>
            </w:r>
          </w:p>
        </w:tc>
        <w:tc>
          <w:tcPr>
            <w:tcW w:w="2600" w:type="dxa"/>
            <w:shd w:val="clear" w:color="auto" w:fill="E7EAF0"/>
            <w:tcMar>
              <w:top w:w="120" w:type="dxa"/>
              <w:left w:w="80" w:type="dxa"/>
              <w:bottom w:w="120" w:type="dxa"/>
              <w:right w:w="80" w:type="dxa"/>
            </w:tcMar>
            <w:vAlign w:val="center"/>
          </w:tcPr>
          <w:p w14:paraId="0A106D9C" w14:textId="77777777" w:rsidR="00BA6999" w:rsidRDefault="00000000">
            <w:pPr>
              <w:spacing w:after="0"/>
            </w:pPr>
            <w:r>
              <w:rPr>
                <w:b/>
                <w:color w:val="5B6B7D"/>
              </w:rPr>
              <w:t>National Day &amp; Mid-Autumn Festival Holiday</w:t>
            </w:r>
          </w:p>
        </w:tc>
        <w:tc>
          <w:tcPr>
            <w:tcW w:w="2300" w:type="dxa"/>
            <w:shd w:val="clear" w:color="auto" w:fill="E7EAF0"/>
            <w:tcMar>
              <w:top w:w="120" w:type="dxa"/>
              <w:left w:w="80" w:type="dxa"/>
              <w:bottom w:w="120" w:type="dxa"/>
              <w:right w:w="80" w:type="dxa"/>
            </w:tcMar>
            <w:vAlign w:val="center"/>
          </w:tcPr>
          <w:p w14:paraId="3349BA43"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E7B65D9"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4EFEF093"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256020D4" w14:textId="77777777" w:rsidR="00F96CC9" w:rsidRDefault="00F96CC9">
            <w:pPr>
              <w:spacing w:after="0"/>
            </w:pPr>
          </w:p>
        </w:tc>
      </w:tr>
      <w:tr w:rsidR="00BA6999" w14:paraId="4410031A" w14:textId="77777777">
        <w:trPr>
          <w:cantSplit/>
        </w:trPr>
        <w:tc>
          <w:tcPr>
            <w:tcW w:w="600" w:type="dxa"/>
            <w:shd w:val="clear" w:color="auto" w:fill="E7EAF0"/>
            <w:tcMar>
              <w:top w:w="120" w:type="dxa"/>
              <w:left w:w="80" w:type="dxa"/>
              <w:bottom w:w="120" w:type="dxa"/>
              <w:right w:w="80" w:type="dxa"/>
            </w:tcMar>
            <w:vAlign w:val="center"/>
          </w:tcPr>
          <w:p w14:paraId="6AA12C0F" w14:textId="77777777" w:rsidR="00BA6999" w:rsidRDefault="00000000">
            <w:pPr>
              <w:spacing w:after="0"/>
              <w:jc w:val="center"/>
            </w:pPr>
            <w:r>
              <w:rPr>
                <w:b/>
                <w:color w:val="5B6B7D"/>
              </w:rPr>
              <w:t>6</w:t>
            </w:r>
          </w:p>
        </w:tc>
        <w:tc>
          <w:tcPr>
            <w:tcW w:w="850" w:type="dxa"/>
            <w:shd w:val="clear" w:color="auto" w:fill="E7EAF0"/>
            <w:tcMar>
              <w:top w:w="120" w:type="dxa"/>
              <w:left w:w="80" w:type="dxa"/>
              <w:bottom w:w="120" w:type="dxa"/>
              <w:right w:w="80" w:type="dxa"/>
            </w:tcMar>
            <w:vAlign w:val="center"/>
          </w:tcPr>
          <w:p w14:paraId="442430F0" w14:textId="77777777" w:rsidR="00BA6999" w:rsidRDefault="00000000">
            <w:pPr>
              <w:spacing w:after="0"/>
              <w:jc w:val="center"/>
            </w:pPr>
            <w:r>
              <w:rPr>
                <w:b/>
                <w:color w:val="5B6B7D"/>
              </w:rPr>
              <w:t>Oct 5</w:t>
            </w:r>
          </w:p>
        </w:tc>
        <w:tc>
          <w:tcPr>
            <w:tcW w:w="2600" w:type="dxa"/>
            <w:shd w:val="clear" w:color="auto" w:fill="E7EAF0"/>
            <w:tcMar>
              <w:top w:w="120" w:type="dxa"/>
              <w:left w:w="80" w:type="dxa"/>
              <w:bottom w:w="120" w:type="dxa"/>
              <w:right w:w="80" w:type="dxa"/>
            </w:tcMar>
            <w:vAlign w:val="center"/>
          </w:tcPr>
          <w:p w14:paraId="3B7639D6" w14:textId="77777777" w:rsidR="00BA6999" w:rsidRDefault="00000000">
            <w:pPr>
              <w:spacing w:after="0"/>
            </w:pPr>
            <w:r>
              <w:rPr>
                <w:b/>
                <w:color w:val="5B6B7D"/>
              </w:rPr>
              <w:t>First Monthly Examinations</w:t>
            </w:r>
          </w:p>
        </w:tc>
        <w:tc>
          <w:tcPr>
            <w:tcW w:w="2300" w:type="dxa"/>
            <w:shd w:val="clear" w:color="auto" w:fill="E7EAF0"/>
            <w:tcMar>
              <w:top w:w="120" w:type="dxa"/>
              <w:left w:w="80" w:type="dxa"/>
              <w:bottom w:w="120" w:type="dxa"/>
              <w:right w:w="80" w:type="dxa"/>
            </w:tcMar>
            <w:vAlign w:val="center"/>
          </w:tcPr>
          <w:p w14:paraId="419587A1"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08110DE"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1270E546"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101872FE" w14:textId="77777777" w:rsidR="00F96CC9" w:rsidRDefault="00F96CC9">
            <w:pPr>
              <w:spacing w:after="0"/>
            </w:pPr>
          </w:p>
        </w:tc>
      </w:tr>
    </w:tbl>
    <w:p w14:paraId="6ED358D9" w14:textId="77777777" w:rsidR="00F96CC9" w:rsidRDefault="00F96CC9">
      <w:pPr>
        <w:pageBreakBefore/>
        <w:spacing w:after="0" w:line="1" w:lineRule="exact"/>
      </w:pP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1E216FD5" w14:textId="77777777">
        <w:trPr>
          <w:cantSplit/>
          <w:tblHeader/>
        </w:trPr>
        <w:tc>
          <w:tcPr>
            <w:tcW w:w="600" w:type="dxa"/>
            <w:shd w:val="clear" w:color="auto" w:fill="5B8C43"/>
            <w:tcMar>
              <w:top w:w="70" w:type="dxa"/>
              <w:left w:w="80" w:type="dxa"/>
              <w:bottom w:w="70" w:type="dxa"/>
              <w:right w:w="80" w:type="dxa"/>
            </w:tcMar>
            <w:vAlign w:val="center"/>
          </w:tcPr>
          <w:p w14:paraId="3D046EF3"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6E212C54"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09AE7A5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059938B3"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6220E89E"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2388DB14" w14:textId="77777777" w:rsidR="00F96CC9" w:rsidRDefault="00000000">
            <w:pPr>
              <w:spacing w:after="0"/>
              <w:jc w:val="center"/>
            </w:pPr>
            <w:r>
              <w:rPr>
                <w:rFonts w:eastAsia="微软雅黑"/>
                <w:b/>
                <w:color w:val="FFFFFF"/>
              </w:rPr>
              <w:t xml:space="preserve">Chinese translation / </w:t>
            </w:r>
            <w:r>
              <w:rPr>
                <w:rFonts w:eastAsia="微软雅黑"/>
                <w:b/>
                <w:color w:val="FFFFFF"/>
              </w:rPr>
              <w:t>中文翻译</w:t>
            </w:r>
          </w:p>
        </w:tc>
        <w:tc>
          <w:tcPr>
            <w:tcW w:w="4628" w:type="dxa"/>
            <w:shd w:val="clear" w:color="auto" w:fill="5B8C43"/>
            <w:tcMar>
              <w:top w:w="70" w:type="dxa"/>
              <w:left w:w="80" w:type="dxa"/>
              <w:bottom w:w="70" w:type="dxa"/>
              <w:right w:w="80" w:type="dxa"/>
            </w:tcMar>
            <w:vAlign w:val="center"/>
          </w:tcPr>
          <w:p w14:paraId="54495466"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Units 2-3 (Lessons 8-18): Investment Choices for Families → How Markets Work | 第二至三单元（第8-18课）：家庭投资选择 → 市场如何运作</w:t>
            </w:r>
          </w:p>
        </w:tc>
      </w:tr>
      <w:tr w:rsidR="00BA6999" w14:paraId="6BA64B33" w14:textId="77777777">
        <w:trPr>
          <w:cantSplit/>
        </w:trPr>
        <w:tc>
          <w:tcPr>
            <w:tcW w:w="600" w:type="dxa"/>
            <w:tcMar>
              <w:top w:w="120" w:type="dxa"/>
              <w:left w:w="80" w:type="dxa"/>
              <w:bottom w:w="120" w:type="dxa"/>
              <w:right w:w="80" w:type="dxa"/>
            </w:tcMar>
            <w:vAlign w:val="center"/>
          </w:tcPr>
          <w:p w14:paraId="3553D35D" w14:textId="77777777" w:rsidR="00BA6999" w:rsidRDefault="00000000">
            <w:pPr>
              <w:spacing w:after="0"/>
              <w:jc w:val="center"/>
            </w:pPr>
            <w:r>
              <w:t>7</w:t>
            </w:r>
          </w:p>
        </w:tc>
        <w:tc>
          <w:tcPr>
            <w:tcW w:w="850" w:type="dxa"/>
            <w:tcMar>
              <w:top w:w="120" w:type="dxa"/>
              <w:left w:w="80" w:type="dxa"/>
              <w:bottom w:w="120" w:type="dxa"/>
              <w:right w:w="80" w:type="dxa"/>
            </w:tcMar>
            <w:vAlign w:val="center"/>
          </w:tcPr>
          <w:p w14:paraId="6BE0653C" w14:textId="77777777" w:rsidR="00BA6999" w:rsidRDefault="00000000">
            <w:pPr>
              <w:spacing w:after="0"/>
              <w:jc w:val="center"/>
            </w:pPr>
            <w:r>
              <w:t>Oct 12</w:t>
            </w:r>
          </w:p>
        </w:tc>
        <w:tc>
          <w:tcPr>
            <w:tcW w:w="2600" w:type="dxa"/>
            <w:tcMar>
              <w:top w:w="120" w:type="dxa"/>
              <w:left w:w="80" w:type="dxa"/>
              <w:bottom w:w="120" w:type="dxa"/>
              <w:right w:w="80" w:type="dxa"/>
            </w:tcMar>
            <w:vAlign w:val="center"/>
          </w:tcPr>
          <w:p w14:paraId="1A988F75"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69C43B44" w14:textId="77777777" w:rsidR="00BA6999" w:rsidRDefault="00000000">
            <w:pPr>
              <w:spacing w:after="0"/>
            </w:pPr>
            <w:r>
              <w:t>Lessons 9-10: Share ownership, funds, ETFs and index choices</w:t>
            </w:r>
          </w:p>
        </w:tc>
        <w:tc>
          <w:tcPr>
            <w:tcW w:w="3900" w:type="dxa"/>
            <w:shd w:val="clear" w:color="auto" w:fill="EEF6EA"/>
            <w:tcMar>
              <w:top w:w="120" w:type="dxa"/>
              <w:left w:w="80" w:type="dxa"/>
              <w:bottom w:w="120" w:type="dxa"/>
              <w:right w:w="80" w:type="dxa"/>
            </w:tcMar>
            <w:vAlign w:val="center"/>
          </w:tcPr>
          <w:p w14:paraId="28228FA6" w14:textId="77777777" w:rsidR="00BA6999" w:rsidRDefault="00000000">
            <w:pPr>
              <w:spacing w:after="0"/>
            </w:pPr>
            <w:r>
              <w:t>Shares represent ownership, while funds pool many assets; students compare direct ownership with funds, ETFs, index tracking and active management.</w:t>
            </w:r>
          </w:p>
        </w:tc>
        <w:tc>
          <w:tcPr>
            <w:tcW w:w="3900" w:type="dxa"/>
            <w:shd w:val="clear" w:color="auto" w:fill="EEF6EA"/>
            <w:tcMar>
              <w:top w:w="120" w:type="dxa"/>
              <w:left w:w="80" w:type="dxa"/>
              <w:bottom w:w="120" w:type="dxa"/>
              <w:right w:w="80" w:type="dxa"/>
            </w:tcMar>
            <w:vAlign w:val="center"/>
          </w:tcPr>
          <w:p w14:paraId="50ED9504" w14:textId="77777777" w:rsidR="00F96CC9" w:rsidRDefault="00000000">
            <w:pPr>
              <w:spacing w:after="0"/>
              <w:rPr>
                <w:lang w:eastAsia="zh-CN"/>
              </w:rPr>
            </w:pPr>
            <w:r>
              <w:rPr>
                <w:rFonts w:eastAsia="微软雅黑"/>
                <w:lang w:eastAsia="zh-CN"/>
              </w:rPr>
              <w:t>股票代表所有权，而基金把多种资产汇集在一起；学生比较直接持股与基金、ETF、指数跟踪和主动管理。</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shareholder（股东）</w:t>
            </w:r>
          </w:p>
          <w:p w14:paraId="3198E3F8" w14:textId="77777777" w:rsidR="00F96CC9" w:rsidRDefault="00000000">
            <w:pPr>
              <w:numPr>
                <w:ilvl w:val="0"/>
                <w:numId w:val="1"/>
              </w:numPr>
              <w:spacing w:after="0"/>
            </w:pPr>
            <w:r>
              <w:rPr>
                <w:rFonts w:eastAsia="微软雅黑"/>
                <w:szCs w:val="17"/>
              </w:rPr>
              <w:t>dividend（股息）</w:t>
            </w:r>
          </w:p>
          <w:p w14:paraId="3198E3F8" w14:textId="77777777" w:rsidR="00F96CC9" w:rsidRDefault="00000000">
            <w:pPr>
              <w:numPr>
                <w:ilvl w:val="0"/>
                <w:numId w:val="1"/>
              </w:numPr>
              <w:spacing w:after="0"/>
            </w:pPr>
            <w:r>
              <w:rPr>
                <w:rFonts w:eastAsia="微软雅黑"/>
                <w:szCs w:val="17"/>
              </w:rPr>
              <w:t>investment fund（投资基金）</w:t>
            </w:r>
          </w:p>
          <w:p w14:paraId="3198E3F8" w14:textId="77777777" w:rsidR="00F96CC9" w:rsidRDefault="00000000">
            <w:pPr>
              <w:numPr>
                <w:ilvl w:val="0"/>
                <w:numId w:val="1"/>
              </w:numPr>
              <w:spacing w:after="0"/>
            </w:pPr>
            <w:r>
              <w:rPr>
                <w:rFonts w:eastAsia="微软雅黑"/>
                <w:szCs w:val="17"/>
              </w:rPr>
              <w:t>ETF（交易所交易基金）</w:t>
            </w:r>
          </w:p>
          <w:p w14:paraId="3198E3F8" w14:textId="77777777" w:rsidR="00F96CC9" w:rsidRDefault="00000000">
            <w:pPr>
              <w:numPr>
                <w:ilvl w:val="0"/>
                <w:numId w:val="1"/>
              </w:numPr>
              <w:spacing w:after="0"/>
            </w:pPr>
            <w:r>
              <w:rPr>
                <w:rFonts w:eastAsia="微软雅黑"/>
                <w:szCs w:val="17"/>
              </w:rPr>
              <w:t>index fund（指数基金）</w:t>
            </w:r>
          </w:p>
        </w:tc>
      </w:tr>
      <w:tr w:rsidR="00BA6999" w14:paraId="5FE5F548" w14:textId="77777777">
        <w:trPr>
          <w:cantSplit/>
        </w:trPr>
        <w:tc>
          <w:tcPr>
            <w:tcW w:w="600" w:type="dxa"/>
            <w:tcMar>
              <w:top w:w="120" w:type="dxa"/>
              <w:left w:w="80" w:type="dxa"/>
              <w:bottom w:w="120" w:type="dxa"/>
              <w:right w:w="80" w:type="dxa"/>
            </w:tcMar>
            <w:vAlign w:val="center"/>
          </w:tcPr>
          <w:p w14:paraId="659FD5CB" w14:textId="77777777" w:rsidR="00BA6999" w:rsidRDefault="00000000">
            <w:pPr>
              <w:spacing w:after="0"/>
              <w:jc w:val="center"/>
            </w:pPr>
            <w:r>
              <w:t>8</w:t>
            </w:r>
          </w:p>
        </w:tc>
        <w:tc>
          <w:tcPr>
            <w:tcW w:w="850" w:type="dxa"/>
            <w:tcMar>
              <w:top w:w="120" w:type="dxa"/>
              <w:left w:w="80" w:type="dxa"/>
              <w:bottom w:w="120" w:type="dxa"/>
              <w:right w:w="80" w:type="dxa"/>
            </w:tcMar>
            <w:vAlign w:val="center"/>
          </w:tcPr>
          <w:p w14:paraId="3FD9A6BC" w14:textId="77777777" w:rsidR="00BA6999" w:rsidRDefault="00000000">
            <w:pPr>
              <w:spacing w:after="0"/>
              <w:jc w:val="center"/>
            </w:pPr>
            <w:r>
              <w:t>Oct 19</w:t>
            </w:r>
          </w:p>
        </w:tc>
        <w:tc>
          <w:tcPr>
            <w:tcW w:w="2600" w:type="dxa"/>
            <w:tcMar>
              <w:top w:w="120" w:type="dxa"/>
              <w:left w:w="80" w:type="dxa"/>
              <w:bottom w:w="120" w:type="dxa"/>
              <w:right w:w="80" w:type="dxa"/>
            </w:tcMar>
            <w:vAlign w:val="center"/>
          </w:tcPr>
          <w:p w14:paraId="1BDE59E8"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3C2BEA6E" w14:textId="77777777" w:rsidR="00BA6999" w:rsidRDefault="00BA6999">
            <w:pPr>
              <w:spacing w:after="0"/>
            </w:pPr>
            <w:r>
              <w:t>Lessons 11-12: Fees, diversification, regular and lump-sum investing</w:t>
            </w:r>
          </w:p>
        </w:tc>
        <w:tc>
          <w:tcPr>
            <w:tcW w:w="3900" w:type="dxa"/>
            <w:shd w:val="clear" w:color="auto" w:fill="EEF6EA"/>
            <w:tcMar>
              <w:top w:w="120" w:type="dxa"/>
              <w:left w:w="80" w:type="dxa"/>
              <w:bottom w:w="120" w:type="dxa"/>
              <w:right w:w="80" w:type="dxa"/>
            </w:tcMar>
            <w:vAlign w:val="center"/>
          </w:tcPr>
          <w:p w14:paraId="7BCD4CEF" w14:textId="77777777" w:rsidR="00BA6999" w:rsidRDefault="00000000">
            <w:pPr>
              <w:spacing w:after="0"/>
            </w:pPr>
            <w:r>
              <w:t>Diversification can reduce concentration risk but cannot remove market risk; fees and the timing pattern of regular or lump-sum investing also affect outcomes.</w:t>
            </w:r>
          </w:p>
        </w:tc>
        <w:tc>
          <w:tcPr>
            <w:tcW w:w="3900" w:type="dxa"/>
            <w:shd w:val="clear" w:color="auto" w:fill="EEF6EA"/>
            <w:tcMar>
              <w:top w:w="120" w:type="dxa"/>
              <w:left w:w="80" w:type="dxa"/>
              <w:bottom w:w="120" w:type="dxa"/>
              <w:right w:w="80" w:type="dxa"/>
            </w:tcMar>
            <w:vAlign w:val="center"/>
          </w:tcPr>
          <w:p w14:paraId="0E0D57E6" w14:textId="77777777" w:rsidR="00F96CC9" w:rsidRDefault="00000000">
            <w:pPr>
              <w:spacing w:after="0"/>
              <w:rPr>
                <w:lang w:eastAsia="zh-CN"/>
              </w:rPr>
            </w:pPr>
            <w:r>
              <w:rPr>
                <w:rFonts w:eastAsia="微软雅黑"/>
                <w:lang w:eastAsia="zh-CN"/>
              </w:rPr>
              <w:t>分散投资可降低集中度风险，但不能消除市场风险；费用以及定期投资或一次性投资的时间安排也会影响结果。</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diversification（分散投资）</w:t>
            </w:r>
          </w:p>
          <w:p w14:paraId="3198E3F8" w14:textId="77777777" w:rsidR="00F96CC9" w:rsidRDefault="00000000">
            <w:pPr>
              <w:numPr>
                <w:ilvl w:val="0"/>
                <w:numId w:val="1"/>
              </w:numPr>
              <w:spacing w:after="0"/>
            </w:pPr>
            <w:r>
              <w:rPr>
                <w:rFonts w:eastAsia="微软雅黑"/>
                <w:szCs w:val="17"/>
              </w:rPr>
              <w:t>concentration risk（集中度风险）</w:t>
            </w:r>
          </w:p>
          <w:p w14:paraId="3198E3F8" w14:textId="77777777" w:rsidR="00F96CC9" w:rsidRDefault="00000000">
            <w:pPr>
              <w:numPr>
                <w:ilvl w:val="0"/>
                <w:numId w:val="1"/>
              </w:numPr>
              <w:spacing w:after="0"/>
            </w:pPr>
            <w:r>
              <w:rPr>
                <w:rFonts w:eastAsia="微软雅黑"/>
                <w:szCs w:val="17"/>
              </w:rPr>
              <w:t>fee（费用）</w:t>
            </w:r>
          </w:p>
          <w:p w14:paraId="3198E3F8" w14:textId="77777777" w:rsidR="00F96CC9" w:rsidRDefault="00000000">
            <w:pPr>
              <w:numPr>
                <w:ilvl w:val="0"/>
                <w:numId w:val="1"/>
              </w:numPr>
              <w:spacing w:after="0"/>
            </w:pPr>
            <w:r>
              <w:rPr>
                <w:rFonts w:eastAsia="微软雅黑"/>
                <w:szCs w:val="17"/>
              </w:rPr>
              <w:t>regular investing（定期投资）</w:t>
            </w:r>
          </w:p>
          <w:p w14:paraId="3198E3F8" w14:textId="77777777" w:rsidR="00F96CC9" w:rsidRDefault="00000000">
            <w:pPr>
              <w:numPr>
                <w:ilvl w:val="0"/>
                <w:numId w:val="1"/>
              </w:numPr>
              <w:spacing w:after="0"/>
            </w:pPr>
            <w:r>
              <w:rPr>
                <w:rFonts w:eastAsia="微软雅黑"/>
                <w:szCs w:val="17"/>
              </w:rPr>
              <w:t>lump-sum investing（一次性投资）</w:t>
            </w:r>
          </w:p>
        </w:tc>
      </w:tr>
      <w:tr w:rsidR="00BA6999" w14:paraId="4D5E9583" w14:textId="77777777">
        <w:trPr>
          <w:cantSplit/>
        </w:trPr>
        <w:tc>
          <w:tcPr>
            <w:tcW w:w="600" w:type="dxa"/>
            <w:tcMar>
              <w:top w:w="120" w:type="dxa"/>
              <w:left w:w="80" w:type="dxa"/>
              <w:bottom w:w="120" w:type="dxa"/>
              <w:right w:w="80" w:type="dxa"/>
            </w:tcMar>
            <w:vAlign w:val="center"/>
          </w:tcPr>
          <w:p w14:paraId="13FFA2D3" w14:textId="77777777" w:rsidR="00BA6999" w:rsidRDefault="00000000">
            <w:pPr>
              <w:spacing w:after="0"/>
              <w:jc w:val="center"/>
            </w:pPr>
            <w:r>
              <w:t>9</w:t>
            </w:r>
          </w:p>
        </w:tc>
        <w:tc>
          <w:tcPr>
            <w:tcW w:w="850" w:type="dxa"/>
            <w:tcMar>
              <w:top w:w="120" w:type="dxa"/>
              <w:left w:w="80" w:type="dxa"/>
              <w:bottom w:w="120" w:type="dxa"/>
              <w:right w:w="80" w:type="dxa"/>
            </w:tcMar>
            <w:vAlign w:val="center"/>
          </w:tcPr>
          <w:p w14:paraId="5116400F" w14:textId="77777777" w:rsidR="00BA6999" w:rsidRDefault="00000000">
            <w:pPr>
              <w:spacing w:after="0"/>
              <w:jc w:val="center"/>
            </w:pPr>
            <w:r>
              <w:t>Oct 26</w:t>
            </w:r>
          </w:p>
        </w:tc>
        <w:tc>
          <w:tcPr>
            <w:tcW w:w="2600" w:type="dxa"/>
            <w:tcMar>
              <w:top w:w="120" w:type="dxa"/>
              <w:left w:w="80" w:type="dxa"/>
              <w:bottom w:w="120" w:type="dxa"/>
              <w:right w:w="80" w:type="dxa"/>
            </w:tcMar>
            <w:vAlign w:val="center"/>
          </w:tcPr>
          <w:p w14:paraId="5DA45D42"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059A96B4" w14:textId="77777777" w:rsidR="00BA6999" w:rsidRDefault="00000000">
            <w:pPr>
              <w:spacing w:after="0"/>
            </w:pPr>
            <w:r>
              <w:t>Lesson 13: Asset mix and profiles; Lesson 14: Primary and secondary markets</w:t>
            </w:r>
          </w:p>
        </w:tc>
        <w:tc>
          <w:tcPr>
            <w:tcW w:w="3900" w:type="dxa"/>
            <w:shd w:val="clear" w:color="auto" w:fill="EEF6EA"/>
            <w:tcMar>
              <w:top w:w="120" w:type="dxa"/>
              <w:left w:w="80" w:type="dxa"/>
              <w:bottom w:w="120" w:type="dxa"/>
              <w:right w:w="80" w:type="dxa"/>
            </w:tcMar>
            <w:vAlign w:val="center"/>
          </w:tcPr>
          <w:p w14:paraId="1694362F" w14:textId="77777777" w:rsidR="00BA6999" w:rsidRDefault="00000000">
            <w:pPr>
              <w:spacing w:after="0"/>
            </w:pPr>
            <w:r>
              <w:t>An asset mix should reflect the investor's goal and constraints; primary and secondary markets then explain how securities are issued and later traded.</w:t>
            </w:r>
          </w:p>
        </w:tc>
        <w:tc>
          <w:tcPr>
            <w:tcW w:w="3900" w:type="dxa"/>
            <w:shd w:val="clear" w:color="auto" w:fill="EEF6EA"/>
            <w:tcMar>
              <w:top w:w="120" w:type="dxa"/>
              <w:left w:w="80" w:type="dxa"/>
              <w:bottom w:w="120" w:type="dxa"/>
              <w:right w:w="80" w:type="dxa"/>
            </w:tcMar>
            <w:vAlign w:val="center"/>
          </w:tcPr>
          <w:p w14:paraId="4EEF64CB" w14:textId="77777777" w:rsidR="00F96CC9" w:rsidRDefault="00000000">
            <w:pPr>
              <w:spacing w:after="0"/>
              <w:rPr>
                <w:lang w:eastAsia="zh-CN"/>
              </w:rPr>
            </w:pPr>
            <w:r>
              <w:rPr>
                <w:rFonts w:eastAsia="微软雅黑"/>
                <w:lang w:eastAsia="zh-CN"/>
              </w:rPr>
              <w:t>资产组合应反映投资者的目标和限制；一级市场与二级市场则说明证券如何发行以及之后如何交易。</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asset allocation（资产配置）</w:t>
            </w:r>
          </w:p>
          <w:p w14:paraId="3198E3F8" w14:textId="77777777" w:rsidR="00F96CC9" w:rsidRDefault="00000000">
            <w:pPr>
              <w:numPr>
                <w:ilvl w:val="0"/>
                <w:numId w:val="1"/>
              </w:numPr>
              <w:spacing w:after="0"/>
            </w:pPr>
            <w:r>
              <w:rPr>
                <w:rFonts w:eastAsia="微软雅黑"/>
                <w:szCs w:val="17"/>
              </w:rPr>
              <w:t>investor profile（投资者画像）</w:t>
            </w:r>
          </w:p>
          <w:p w14:paraId="3198E3F8" w14:textId="77777777" w:rsidR="00F96CC9" w:rsidRDefault="00000000">
            <w:pPr>
              <w:numPr>
                <w:ilvl w:val="0"/>
                <w:numId w:val="1"/>
              </w:numPr>
              <w:spacing w:after="0"/>
            </w:pPr>
            <w:r>
              <w:rPr>
                <w:rFonts w:eastAsia="微软雅黑"/>
                <w:szCs w:val="17"/>
              </w:rPr>
              <w:t>primary market（一级市场）</w:t>
            </w:r>
          </w:p>
          <w:p w14:paraId="3198E3F8" w14:textId="77777777" w:rsidR="00F96CC9" w:rsidRDefault="00000000">
            <w:pPr>
              <w:numPr>
                <w:ilvl w:val="0"/>
                <w:numId w:val="1"/>
              </w:numPr>
              <w:spacing w:after="0"/>
            </w:pPr>
            <w:r>
              <w:rPr>
                <w:rFonts w:eastAsia="微软雅黑"/>
                <w:szCs w:val="17"/>
              </w:rPr>
              <w:t>secondary market（二级市场）</w:t>
            </w:r>
          </w:p>
          <w:p w14:paraId="3198E3F8" w14:textId="77777777" w:rsidR="00F96CC9" w:rsidRDefault="00000000">
            <w:pPr>
              <w:numPr>
                <w:ilvl w:val="0"/>
                <w:numId w:val="1"/>
              </w:numPr>
              <w:spacing w:after="0"/>
            </w:pPr>
            <w:r>
              <w:rPr>
                <w:rFonts w:eastAsia="微软雅黑"/>
                <w:szCs w:val="17"/>
              </w:rPr>
              <w:t>security issuance（证券发行）</w:t>
            </w:r>
          </w:p>
        </w:tc>
      </w:tr>
      <w:tr w:rsidR="00BA6999" w14:paraId="711E08FE" w14:textId="77777777">
        <w:trPr>
          <w:cantSplit/>
        </w:trPr>
        <w:tc>
          <w:tcPr>
            <w:tcW w:w="600" w:type="dxa"/>
            <w:tcMar>
              <w:top w:w="120" w:type="dxa"/>
              <w:left w:w="80" w:type="dxa"/>
              <w:bottom w:w="120" w:type="dxa"/>
              <w:right w:w="80" w:type="dxa"/>
            </w:tcMar>
            <w:vAlign w:val="center"/>
          </w:tcPr>
          <w:p w14:paraId="409AAEDD" w14:textId="77777777" w:rsidR="00BA6999" w:rsidRDefault="00000000">
            <w:pPr>
              <w:spacing w:after="0"/>
              <w:jc w:val="center"/>
            </w:pPr>
            <w:r>
              <w:t>10</w:t>
            </w:r>
          </w:p>
        </w:tc>
        <w:tc>
          <w:tcPr>
            <w:tcW w:w="850" w:type="dxa"/>
            <w:tcMar>
              <w:top w:w="120" w:type="dxa"/>
              <w:left w:w="80" w:type="dxa"/>
              <w:bottom w:w="120" w:type="dxa"/>
              <w:right w:w="80" w:type="dxa"/>
            </w:tcMar>
            <w:vAlign w:val="center"/>
          </w:tcPr>
          <w:p w14:paraId="093319D3" w14:textId="77777777" w:rsidR="00BA6999" w:rsidRDefault="00000000">
            <w:pPr>
              <w:spacing w:after="0"/>
              <w:jc w:val="center"/>
            </w:pPr>
            <w:r>
              <w:t>Nov 2</w:t>
            </w:r>
          </w:p>
        </w:tc>
        <w:tc>
          <w:tcPr>
            <w:tcW w:w="2600" w:type="dxa"/>
            <w:tcMar>
              <w:top w:w="120" w:type="dxa"/>
              <w:left w:w="80" w:type="dxa"/>
              <w:bottom w:w="120" w:type="dxa"/>
              <w:right w:w="80" w:type="dxa"/>
            </w:tcMar>
            <w:vAlign w:val="center"/>
          </w:tcPr>
          <w:p w14:paraId="08725659"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25674BA2" w14:textId="77777777" w:rsidR="00BA6999" w:rsidRDefault="00BA6999">
            <w:pPr>
              <w:spacing w:after="0"/>
            </w:pPr>
            <w:r>
              <w:t>Lessons 15-16: Trade journey, quotes, price and market capitalisation</w:t>
            </w:r>
          </w:p>
        </w:tc>
        <w:tc>
          <w:tcPr>
            <w:tcW w:w="3900" w:type="dxa"/>
            <w:shd w:val="clear" w:color="auto" w:fill="EEF6EA"/>
            <w:tcMar>
              <w:top w:w="120" w:type="dxa"/>
              <w:left w:w="80" w:type="dxa"/>
              <w:bottom w:w="120" w:type="dxa"/>
              <w:right w:w="80" w:type="dxa"/>
            </w:tcMar>
            <w:vAlign w:val="center"/>
          </w:tcPr>
          <w:p w14:paraId="06CD3B47" w14:textId="77777777" w:rsidR="00BA6999" w:rsidRDefault="00000000">
            <w:pPr>
              <w:spacing w:after="0"/>
            </w:pPr>
            <w:r>
              <w:t>Students follow an order from investor to market, read bid and ask information, and distinguish a share's market price from company value and market capitalisation.</w:t>
            </w:r>
          </w:p>
        </w:tc>
        <w:tc>
          <w:tcPr>
            <w:tcW w:w="3900" w:type="dxa"/>
            <w:shd w:val="clear" w:color="auto" w:fill="EEF6EA"/>
            <w:tcMar>
              <w:top w:w="120" w:type="dxa"/>
              <w:left w:w="80" w:type="dxa"/>
              <w:bottom w:w="120" w:type="dxa"/>
              <w:right w:w="80" w:type="dxa"/>
            </w:tcMar>
            <w:vAlign w:val="center"/>
          </w:tcPr>
          <w:p w14:paraId="0A67D9D4" w14:textId="77777777" w:rsidR="00F96CC9" w:rsidRDefault="00000000">
            <w:pPr>
              <w:spacing w:after="0"/>
              <w:rPr>
                <w:lang w:eastAsia="zh-CN"/>
              </w:rPr>
            </w:pPr>
            <w:r>
              <w:rPr>
                <w:rFonts w:eastAsia="微软雅黑"/>
                <w:lang w:eastAsia="zh-CN"/>
              </w:rPr>
              <w:t>学生跟踪订单从投资者到市场的过程，读取买价和卖价信息，并区分股票市场价格、公司价值和市值。</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broker（经纪商）</w:t>
            </w:r>
          </w:p>
          <w:p w14:paraId="3198E3F8" w14:textId="77777777" w:rsidR="00F96CC9" w:rsidRDefault="00000000">
            <w:pPr>
              <w:numPr>
                <w:ilvl w:val="0"/>
                <w:numId w:val="1"/>
              </w:numPr>
              <w:spacing w:after="0"/>
            </w:pPr>
            <w:r>
              <w:rPr>
                <w:rFonts w:eastAsia="微软雅黑"/>
                <w:szCs w:val="17"/>
              </w:rPr>
              <w:t>market order（市价单）</w:t>
            </w:r>
          </w:p>
          <w:p w14:paraId="3198E3F8" w14:textId="77777777" w:rsidR="00F96CC9" w:rsidRDefault="00000000">
            <w:pPr>
              <w:numPr>
                <w:ilvl w:val="0"/>
                <w:numId w:val="1"/>
              </w:numPr>
              <w:spacing w:after="0"/>
            </w:pPr>
            <w:r>
              <w:rPr>
                <w:rFonts w:eastAsia="微软雅黑"/>
                <w:szCs w:val="17"/>
              </w:rPr>
              <w:t>limit order（限价单）</w:t>
            </w:r>
          </w:p>
          <w:p w14:paraId="3198E3F8" w14:textId="77777777" w:rsidR="00F96CC9" w:rsidRDefault="00000000">
            <w:pPr>
              <w:numPr>
                <w:ilvl w:val="0"/>
                <w:numId w:val="1"/>
              </w:numPr>
              <w:spacing w:after="0"/>
            </w:pPr>
            <w:r>
              <w:rPr>
                <w:rFonts w:eastAsia="微软雅黑"/>
                <w:szCs w:val="17"/>
              </w:rPr>
              <w:t>bid-ask spread（买卖价差）</w:t>
            </w:r>
          </w:p>
          <w:p w14:paraId="3198E3F8" w14:textId="77777777" w:rsidR="00F96CC9" w:rsidRDefault="00000000">
            <w:pPr>
              <w:numPr>
                <w:ilvl w:val="0"/>
                <w:numId w:val="1"/>
              </w:numPr>
              <w:spacing w:after="0"/>
            </w:pPr>
            <w:r>
              <w:rPr>
                <w:rFonts w:eastAsia="微软雅黑"/>
                <w:szCs w:val="17"/>
              </w:rPr>
              <w:t>market capitalisation（市值）</w:t>
            </w:r>
          </w:p>
        </w:tc>
      </w:tr>
      <w:tr w:rsidR="00BA6999" w14:paraId="7D8B8690" w14:textId="77777777">
        <w:trPr>
          <w:cantSplit/>
        </w:trPr>
        <w:tc>
          <w:tcPr>
            <w:tcW w:w="600" w:type="dxa"/>
            <w:shd w:val="clear" w:color="auto" w:fill="E7EAF0"/>
            <w:tcMar>
              <w:top w:w="120" w:type="dxa"/>
              <w:left w:w="80" w:type="dxa"/>
              <w:bottom w:w="120" w:type="dxa"/>
              <w:right w:w="80" w:type="dxa"/>
            </w:tcMar>
            <w:vAlign w:val="center"/>
          </w:tcPr>
          <w:p w14:paraId="21578D3E" w14:textId="77777777" w:rsidR="00BA6999" w:rsidRDefault="00000000">
            <w:pPr>
              <w:spacing w:after="0"/>
              <w:jc w:val="center"/>
            </w:pPr>
            <w:r>
              <w:rPr>
                <w:b/>
                <w:color w:val="5B6B7D"/>
              </w:rPr>
              <w:t>11</w:t>
            </w:r>
          </w:p>
        </w:tc>
        <w:tc>
          <w:tcPr>
            <w:tcW w:w="850" w:type="dxa"/>
            <w:shd w:val="clear" w:color="auto" w:fill="E7EAF0"/>
            <w:tcMar>
              <w:top w:w="120" w:type="dxa"/>
              <w:left w:w="80" w:type="dxa"/>
              <w:bottom w:w="120" w:type="dxa"/>
              <w:right w:w="80" w:type="dxa"/>
            </w:tcMar>
            <w:vAlign w:val="center"/>
          </w:tcPr>
          <w:p w14:paraId="36D24C48" w14:textId="77777777" w:rsidR="00BA6999" w:rsidRDefault="00000000">
            <w:pPr>
              <w:spacing w:after="0"/>
              <w:jc w:val="center"/>
            </w:pPr>
            <w:r>
              <w:rPr>
                <w:b/>
                <w:color w:val="5B6B7D"/>
              </w:rPr>
              <w:t>Nov 9</w:t>
            </w:r>
          </w:p>
        </w:tc>
        <w:tc>
          <w:tcPr>
            <w:tcW w:w="2600" w:type="dxa"/>
            <w:shd w:val="clear" w:color="auto" w:fill="E7EAF0"/>
            <w:tcMar>
              <w:top w:w="120" w:type="dxa"/>
              <w:left w:w="80" w:type="dxa"/>
              <w:bottom w:w="120" w:type="dxa"/>
              <w:right w:w="80" w:type="dxa"/>
            </w:tcMar>
            <w:vAlign w:val="center"/>
          </w:tcPr>
          <w:p w14:paraId="3CC527F2" w14:textId="77777777" w:rsidR="00BA6999" w:rsidRDefault="00000000">
            <w:pPr>
              <w:spacing w:after="0"/>
            </w:pPr>
            <w:r>
              <w:rPr>
                <w:b/>
                <w:color w:val="5B6B7D"/>
              </w:rPr>
              <w:t>Second Monthly Examinations</w:t>
            </w:r>
          </w:p>
        </w:tc>
        <w:tc>
          <w:tcPr>
            <w:tcW w:w="2300" w:type="dxa"/>
            <w:shd w:val="clear" w:color="auto" w:fill="E7EAF0"/>
            <w:tcMar>
              <w:top w:w="120" w:type="dxa"/>
              <w:left w:w="80" w:type="dxa"/>
              <w:bottom w:w="120" w:type="dxa"/>
              <w:right w:w="80" w:type="dxa"/>
            </w:tcMar>
            <w:vAlign w:val="center"/>
          </w:tcPr>
          <w:p w14:paraId="729A34D2"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0E94830"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083227E"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31CF196F" w14:textId="77777777" w:rsidR="00F96CC9" w:rsidRDefault="00F96CC9">
            <w:pPr>
              <w:spacing w:after="0"/>
            </w:pPr>
          </w:p>
        </w:tc>
      </w:tr>
      <w:tr w:rsidR="00BA6999" w14:paraId="7B1C2A4C" w14:textId="77777777">
        <w:trPr>
          <w:cantSplit/>
        </w:trPr>
        <w:tc>
          <w:tcPr>
            <w:tcW w:w="600" w:type="dxa"/>
            <w:shd w:val="clear" w:color="auto" w:fill="E7EAF0"/>
            <w:tcMar>
              <w:top w:w="120" w:type="dxa"/>
              <w:left w:w="80" w:type="dxa"/>
              <w:bottom w:w="120" w:type="dxa"/>
              <w:right w:w="80" w:type="dxa"/>
            </w:tcMar>
            <w:vAlign w:val="center"/>
          </w:tcPr>
          <w:p w14:paraId="6CB64A01" w14:textId="77777777" w:rsidR="00BA6999" w:rsidRDefault="00000000">
            <w:pPr>
              <w:spacing w:after="0"/>
              <w:jc w:val="center"/>
            </w:pPr>
            <w:r>
              <w:rPr>
                <w:b/>
                <w:color w:val="5B6B7D"/>
              </w:rPr>
              <w:t>12</w:t>
            </w:r>
          </w:p>
        </w:tc>
        <w:tc>
          <w:tcPr>
            <w:tcW w:w="850" w:type="dxa"/>
            <w:shd w:val="clear" w:color="auto" w:fill="E7EAF0"/>
            <w:tcMar>
              <w:top w:w="120" w:type="dxa"/>
              <w:left w:w="80" w:type="dxa"/>
              <w:bottom w:w="120" w:type="dxa"/>
              <w:right w:w="80" w:type="dxa"/>
            </w:tcMar>
            <w:vAlign w:val="center"/>
          </w:tcPr>
          <w:p w14:paraId="284206C5" w14:textId="77777777" w:rsidR="00BA6999" w:rsidRDefault="00000000">
            <w:pPr>
              <w:spacing w:after="0"/>
              <w:jc w:val="center"/>
            </w:pPr>
            <w:r>
              <w:rPr>
                <w:b/>
                <w:color w:val="5B6B7D"/>
              </w:rPr>
              <w:t>Nov 16</w:t>
            </w:r>
          </w:p>
        </w:tc>
        <w:tc>
          <w:tcPr>
            <w:tcW w:w="2600" w:type="dxa"/>
            <w:shd w:val="clear" w:color="auto" w:fill="E7EAF0"/>
            <w:tcMar>
              <w:top w:w="120" w:type="dxa"/>
              <w:left w:w="80" w:type="dxa"/>
              <w:bottom w:w="120" w:type="dxa"/>
              <w:right w:w="80" w:type="dxa"/>
            </w:tcMar>
            <w:vAlign w:val="center"/>
          </w:tcPr>
          <w:p w14:paraId="080A7788" w14:textId="77777777" w:rsidR="00BA6999" w:rsidRDefault="00000000">
            <w:pPr>
              <w:spacing w:after="0"/>
            </w:pPr>
            <w:r>
              <w:rPr>
                <w:b/>
                <w:color w:val="5B6B7D"/>
              </w:rPr>
              <w:t>Autumn Break</w:t>
            </w:r>
          </w:p>
        </w:tc>
        <w:tc>
          <w:tcPr>
            <w:tcW w:w="2300" w:type="dxa"/>
            <w:shd w:val="clear" w:color="auto" w:fill="E7EAF0"/>
            <w:tcMar>
              <w:top w:w="120" w:type="dxa"/>
              <w:left w:w="80" w:type="dxa"/>
              <w:bottom w:w="120" w:type="dxa"/>
              <w:right w:w="80" w:type="dxa"/>
            </w:tcMar>
            <w:vAlign w:val="center"/>
          </w:tcPr>
          <w:p w14:paraId="14984638"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0CA9375"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6687C36C"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0160F0DD" w14:textId="77777777" w:rsidR="00F96CC9" w:rsidRDefault="00F96CC9">
            <w:pPr>
              <w:spacing w:after="0"/>
            </w:pP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Units 3-4 (Lessons 14-24): How Markets Work → Analysing Companies | 第三至四单元（第14-24课）：市场如何运作 → 公司分析</w:t>
            </w:r>
          </w:p>
        </w:tc>
      </w:tr>
      <w:tr w:rsidR="00BA6999" w14:paraId="0765E2A0" w14:textId="77777777">
        <w:trPr>
          <w:cantSplit/>
        </w:trPr>
        <w:tc>
          <w:tcPr>
            <w:tcW w:w="600" w:type="dxa"/>
            <w:tcMar>
              <w:top w:w="120" w:type="dxa"/>
              <w:left w:w="80" w:type="dxa"/>
              <w:bottom w:w="120" w:type="dxa"/>
              <w:right w:w="80" w:type="dxa"/>
            </w:tcMar>
            <w:vAlign w:val="center"/>
          </w:tcPr>
          <w:p w14:paraId="028FAD02" w14:textId="77777777" w:rsidR="00BA6999" w:rsidRDefault="00000000">
            <w:pPr>
              <w:spacing w:after="0"/>
              <w:jc w:val="center"/>
            </w:pPr>
            <w:r>
              <w:t>13</w:t>
            </w:r>
          </w:p>
        </w:tc>
        <w:tc>
          <w:tcPr>
            <w:tcW w:w="850" w:type="dxa"/>
            <w:tcMar>
              <w:top w:w="120" w:type="dxa"/>
              <w:left w:w="80" w:type="dxa"/>
              <w:bottom w:w="120" w:type="dxa"/>
              <w:right w:w="80" w:type="dxa"/>
            </w:tcMar>
            <w:vAlign w:val="center"/>
          </w:tcPr>
          <w:p w14:paraId="5CECE1E4" w14:textId="77777777" w:rsidR="00BA6999" w:rsidRDefault="00000000">
            <w:pPr>
              <w:spacing w:after="0"/>
              <w:jc w:val="center"/>
            </w:pPr>
            <w:r>
              <w:t>Nov 23</w:t>
            </w:r>
          </w:p>
        </w:tc>
        <w:tc>
          <w:tcPr>
            <w:tcW w:w="2600" w:type="dxa"/>
            <w:shd w:val="clear" w:color="auto" w:fill="FFF7E3"/>
            <w:tcMar>
              <w:top w:w="120" w:type="dxa"/>
              <w:left w:w="80" w:type="dxa"/>
              <w:bottom w:w="120" w:type="dxa"/>
              <w:right w:w="80" w:type="dxa"/>
            </w:tcMar>
            <w:vAlign w:val="center"/>
          </w:tcPr>
          <w:p w14:paraId="06A2E291" w14:textId="77777777" w:rsidR="00BA6999" w:rsidRDefault="00000000">
            <w:pPr>
              <w:spacing w:after="0"/>
            </w:pPr>
            <w:r>
              <w:t>12th English Spelling Bee</w:t>
            </w:r>
          </w:p>
        </w:tc>
        <w:tc>
          <w:tcPr>
            <w:tcW w:w="2300" w:type="dxa"/>
            <w:shd w:val="clear" w:color="auto" w:fill="EEF6EA"/>
            <w:tcMar>
              <w:top w:w="120" w:type="dxa"/>
              <w:left w:w="80" w:type="dxa"/>
              <w:bottom w:w="120" w:type="dxa"/>
              <w:right w:w="80" w:type="dxa"/>
            </w:tcMar>
            <w:vAlign w:val="center"/>
          </w:tcPr>
          <w:p w14:paraId="31DA8D06" w14:textId="77777777" w:rsidR="00BA6999" w:rsidRDefault="00BA6999">
            <w:pPr>
              <w:spacing w:after="0"/>
            </w:pPr>
            <w:r>
              <w:t>Lessons 17-18: Total return, benchmarks, sources and conflicts</w:t>
            </w:r>
          </w:p>
        </w:tc>
        <w:tc>
          <w:tcPr>
            <w:tcW w:w="3900" w:type="dxa"/>
            <w:shd w:val="clear" w:color="auto" w:fill="EEF6EA"/>
            <w:tcMar>
              <w:top w:w="120" w:type="dxa"/>
              <w:left w:w="80" w:type="dxa"/>
              <w:bottom w:w="120" w:type="dxa"/>
              <w:right w:w="80" w:type="dxa"/>
            </w:tcMar>
            <w:vAlign w:val="center"/>
          </w:tcPr>
          <w:p w14:paraId="2860E96F" w14:textId="77777777" w:rsidR="00BA6999" w:rsidRDefault="00000000">
            <w:pPr>
              <w:spacing w:after="0"/>
            </w:pPr>
            <w:r>
              <w:t>Performance should be measured using total return and a relevant benchmark; reliable analysis also checks source quality, incentives, conflicts and misleading use of past performance.</w:t>
            </w:r>
          </w:p>
        </w:tc>
        <w:tc>
          <w:tcPr>
            <w:tcW w:w="3900" w:type="dxa"/>
            <w:shd w:val="clear" w:color="auto" w:fill="EEF6EA"/>
            <w:tcMar>
              <w:top w:w="120" w:type="dxa"/>
              <w:left w:w="80" w:type="dxa"/>
              <w:bottom w:w="120" w:type="dxa"/>
              <w:right w:w="80" w:type="dxa"/>
            </w:tcMar>
            <w:vAlign w:val="center"/>
          </w:tcPr>
          <w:p w14:paraId="28E82164" w14:textId="77777777" w:rsidR="00F96CC9" w:rsidRDefault="00000000">
            <w:pPr>
              <w:spacing w:after="0"/>
              <w:rPr>
                <w:lang w:eastAsia="zh-CN"/>
              </w:rPr>
            </w:pPr>
            <w:r>
              <w:rPr>
                <w:rFonts w:eastAsia="微软雅黑"/>
                <w:lang w:eastAsia="zh-CN"/>
              </w:rPr>
              <w:t>业绩应使用总回报和相关基准衡量；可靠分析还要核查信息来源质量、激励、利益冲突以及对历史表现的误导性使用。</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total return（总回报）</w:t>
            </w:r>
          </w:p>
          <w:p w14:paraId="3198E3F8" w14:textId="77777777" w:rsidR="00F96CC9" w:rsidRDefault="00000000">
            <w:pPr>
              <w:numPr>
                <w:ilvl w:val="0"/>
                <w:numId w:val="1"/>
              </w:numPr>
              <w:spacing w:after="0"/>
            </w:pPr>
            <w:r>
              <w:rPr>
                <w:rFonts w:eastAsia="微软雅黑"/>
                <w:szCs w:val="17"/>
              </w:rPr>
              <w:t>benchmark（业绩基准）</w:t>
            </w:r>
          </w:p>
          <w:p w14:paraId="3198E3F8" w14:textId="77777777" w:rsidR="00F96CC9" w:rsidRDefault="00000000">
            <w:pPr>
              <w:numPr>
                <w:ilvl w:val="0"/>
                <w:numId w:val="1"/>
              </w:numPr>
              <w:spacing w:after="0"/>
            </w:pPr>
            <w:r>
              <w:rPr>
                <w:rFonts w:eastAsia="微软雅黑"/>
                <w:szCs w:val="17"/>
              </w:rPr>
              <w:t>source quality（信息来源质量）</w:t>
            </w:r>
          </w:p>
          <w:p w14:paraId="3198E3F8" w14:textId="77777777" w:rsidR="00F96CC9" w:rsidRDefault="00000000">
            <w:pPr>
              <w:numPr>
                <w:ilvl w:val="0"/>
                <w:numId w:val="1"/>
              </w:numPr>
              <w:spacing w:after="0"/>
            </w:pPr>
            <w:r>
              <w:rPr>
                <w:rFonts w:eastAsia="微软雅黑"/>
                <w:szCs w:val="17"/>
              </w:rPr>
              <w:t>conflict of interest（利益冲突）</w:t>
            </w:r>
          </w:p>
          <w:p w14:paraId="3198E3F8" w14:textId="77777777" w:rsidR="00F96CC9" w:rsidRDefault="00000000">
            <w:pPr>
              <w:numPr>
                <w:ilvl w:val="0"/>
                <w:numId w:val="1"/>
              </w:numPr>
              <w:spacing w:after="0"/>
            </w:pPr>
            <w:r>
              <w:rPr>
                <w:rFonts w:eastAsia="微软雅黑"/>
                <w:szCs w:val="17"/>
              </w:rPr>
              <w:t>past performance（历史表现）</w:t>
            </w:r>
          </w:p>
        </w:tc>
      </w:tr>
      <w:tr w:rsidR="00BA6999" w14:paraId="78C8EF5B" w14:textId="77777777">
        <w:trPr>
          <w:cantSplit/>
        </w:trPr>
        <w:tc>
          <w:tcPr>
            <w:tcW w:w="600" w:type="dxa"/>
            <w:tcMar>
              <w:top w:w="120" w:type="dxa"/>
              <w:left w:w="80" w:type="dxa"/>
              <w:bottom w:w="120" w:type="dxa"/>
              <w:right w:w="80" w:type="dxa"/>
            </w:tcMar>
            <w:vAlign w:val="center"/>
          </w:tcPr>
          <w:p w14:paraId="6AB3C13B" w14:textId="77777777" w:rsidR="00BA6999" w:rsidRDefault="00000000">
            <w:pPr>
              <w:spacing w:after="0"/>
              <w:jc w:val="center"/>
            </w:pPr>
            <w:r>
              <w:t>14</w:t>
            </w:r>
          </w:p>
        </w:tc>
        <w:tc>
          <w:tcPr>
            <w:tcW w:w="850" w:type="dxa"/>
            <w:tcMar>
              <w:top w:w="120" w:type="dxa"/>
              <w:left w:w="80" w:type="dxa"/>
              <w:bottom w:w="120" w:type="dxa"/>
              <w:right w:w="80" w:type="dxa"/>
            </w:tcMar>
            <w:vAlign w:val="center"/>
          </w:tcPr>
          <w:p w14:paraId="0D08DB9D" w14:textId="77777777" w:rsidR="00BA6999" w:rsidRDefault="00000000">
            <w:pPr>
              <w:spacing w:after="0"/>
              <w:jc w:val="center"/>
            </w:pPr>
            <w:r>
              <w:t>Nov 30</w:t>
            </w:r>
          </w:p>
        </w:tc>
        <w:tc>
          <w:tcPr>
            <w:tcW w:w="2600" w:type="dxa"/>
            <w:tcMar>
              <w:top w:w="120" w:type="dxa"/>
              <w:left w:w="80" w:type="dxa"/>
              <w:bottom w:w="120" w:type="dxa"/>
              <w:right w:w="80" w:type="dxa"/>
            </w:tcMar>
            <w:vAlign w:val="center"/>
          </w:tcPr>
          <w:p w14:paraId="27DDCE15"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0337D060" w14:textId="77777777" w:rsidR="00BA6999" w:rsidRDefault="00000000">
            <w:pPr>
              <w:spacing w:after="0"/>
            </w:pPr>
            <w:r>
              <w:t>Lessons 19-20: Business models, profit and cash flow</w:t>
            </w:r>
          </w:p>
        </w:tc>
        <w:tc>
          <w:tcPr>
            <w:tcW w:w="3900" w:type="dxa"/>
            <w:shd w:val="clear" w:color="auto" w:fill="EEF6EA"/>
            <w:tcMar>
              <w:top w:w="120" w:type="dxa"/>
              <w:left w:w="80" w:type="dxa"/>
              <w:bottom w:w="120" w:type="dxa"/>
              <w:right w:w="80" w:type="dxa"/>
            </w:tcMar>
            <w:vAlign w:val="center"/>
          </w:tcPr>
          <w:p w14:paraId="0F41B710" w14:textId="77777777" w:rsidR="00BA6999" w:rsidRDefault="00000000">
            <w:pPr>
              <w:spacing w:after="0"/>
            </w:pPr>
            <w:r>
              <w:t>A business model explains how a company creates value; revenue, profit and cash flow provide different evidence about whether that model is working.</w:t>
            </w:r>
          </w:p>
        </w:tc>
        <w:tc>
          <w:tcPr>
            <w:tcW w:w="3900" w:type="dxa"/>
            <w:shd w:val="clear" w:color="auto" w:fill="EEF6EA"/>
            <w:tcMar>
              <w:top w:w="120" w:type="dxa"/>
              <w:left w:w="80" w:type="dxa"/>
              <w:bottom w:w="120" w:type="dxa"/>
              <w:right w:w="80" w:type="dxa"/>
            </w:tcMar>
            <w:vAlign w:val="center"/>
          </w:tcPr>
          <w:p w14:paraId="67189F87" w14:textId="77777777" w:rsidR="00F96CC9" w:rsidRDefault="00000000">
            <w:pPr>
              <w:spacing w:after="0"/>
              <w:rPr>
                <w:lang w:eastAsia="zh-CN"/>
              </w:rPr>
            </w:pPr>
            <w:r>
              <w:rPr>
                <w:rFonts w:eastAsia="微软雅黑"/>
                <w:lang w:eastAsia="zh-CN"/>
              </w:rPr>
              <w:t>商业模式说明公司如何创造价值；营业收入、利润和现金流从不同角度提供该模式是否有效的证据。</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business model（商业模式）</w:t>
            </w:r>
          </w:p>
          <w:p w14:paraId="3198E3F8" w14:textId="77777777" w:rsidR="00F96CC9" w:rsidRDefault="00000000">
            <w:pPr>
              <w:numPr>
                <w:ilvl w:val="0"/>
                <w:numId w:val="1"/>
              </w:numPr>
              <w:spacing w:after="0"/>
            </w:pPr>
            <w:r>
              <w:rPr>
                <w:rFonts w:eastAsia="微软雅黑"/>
                <w:szCs w:val="17"/>
              </w:rPr>
              <w:t>revenue（营业收入）</w:t>
            </w:r>
          </w:p>
          <w:p w14:paraId="3198E3F8" w14:textId="77777777" w:rsidR="00F96CC9" w:rsidRDefault="00000000">
            <w:pPr>
              <w:numPr>
                <w:ilvl w:val="0"/>
                <w:numId w:val="1"/>
              </w:numPr>
              <w:spacing w:after="0"/>
            </w:pPr>
            <w:r>
              <w:rPr>
                <w:rFonts w:eastAsia="微软雅黑"/>
                <w:szCs w:val="17"/>
              </w:rPr>
              <w:t>profit margin（利润率）</w:t>
            </w:r>
          </w:p>
          <w:p w14:paraId="3198E3F8" w14:textId="77777777" w:rsidR="00F96CC9" w:rsidRDefault="00000000">
            <w:pPr>
              <w:numPr>
                <w:ilvl w:val="0"/>
                <w:numId w:val="1"/>
              </w:numPr>
              <w:spacing w:after="0"/>
            </w:pPr>
            <w:r>
              <w:rPr>
                <w:rFonts w:eastAsia="微软雅黑"/>
                <w:szCs w:val="17"/>
              </w:rPr>
              <w:t>income statement（利润表）</w:t>
            </w:r>
          </w:p>
          <w:p>
            <w:pPr>
              <w:spacing w:after="0"/>
              <w:numPr>
                <w:ilvl w:val="0"/>
                <w:numId w:val="1"/>
              </w:numPr>
            </w:pPr>
            <w:r>
              <w:rPr>
                <w:rFonts w:eastAsia="微软雅黑"/>
                <w:szCs w:val="17"/>
              </w:rPr>
              <w:t>cash flow（现金流）</w:t>
            </w:r>
          </w:p>
        </w:tc>
      </w:tr>
    </w:tbl>
    <w:p>
      <w:pPr>
        <w:sectPr w:rsidR="005A2E9B" w:rsidSect="00034616">
          <w:footerReference w:type="default" r:id="rId10"/>
          <w:pgSz w:w="20160" w:h="12240" w:orient="landscape"/>
          <w:pgMar w:top="605" w:right="691" w:bottom="605" w:left="691" w:header="259" w:footer="259" w:gutter="0"/>
          <w:cols w:space="720"/>
          <w:docGrid w:linePitch="360"/>
        </w:sectPr>
      </w:pP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1E216FD5" w14:textId="77777777">
        <w:trPr>
          <w:cantSplit/>
          <w:tblHeader/>
        </w:trPr>
        <w:tc>
          <w:tcPr>
            <w:tcW w:w="600" w:type="dxa"/>
            <w:shd w:val="clear" w:color="auto" w:fill="5B8C43"/>
            <w:tcMar>
              <w:top w:w="70" w:type="dxa"/>
              <w:left w:w="80" w:type="dxa"/>
              <w:bottom w:w="70" w:type="dxa"/>
              <w:right w:w="80" w:type="dxa"/>
            </w:tcMar>
            <w:vAlign w:val="center"/>
          </w:tcPr>
          <w:p w14:paraId="3D046EF3"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6E212C54"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09AE7A5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059938B3"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6220E89E"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2388DB14" w14:textId="77777777" w:rsidR="00F96CC9" w:rsidRDefault="00000000">
            <w:pPr>
              <w:spacing w:after="0"/>
              <w:jc w:val="center"/>
            </w:pPr>
            <w:r>
              <w:rPr>
                <w:rFonts w:eastAsia="微软雅黑"/>
                <w:b/>
                <w:color w:val="FFFFFF"/>
              </w:rPr>
              <w:t xml:space="preserve">Chinese translation / </w:t>
            </w:r>
            <w:r>
              <w:rPr>
                <w:rFonts w:eastAsia="微软雅黑"/>
                <w:b/>
                <w:color w:val="FFFFFF"/>
              </w:rPr>
              <w:t>中文翻译</w:t>
            </w:r>
          </w:p>
        </w:tc>
        <w:tc>
          <w:tcPr>
            <w:tcW w:w="4628" w:type="dxa"/>
            <w:shd w:val="clear" w:color="auto" w:fill="5B8C43"/>
            <w:tcMar>
              <w:top w:w="70" w:type="dxa"/>
              <w:left w:w="80" w:type="dxa"/>
              <w:bottom w:w="70" w:type="dxa"/>
              <w:right w:w="80" w:type="dxa"/>
            </w:tcMar>
            <w:vAlign w:val="center"/>
          </w:tcPr>
          <w:p w14:paraId="54495466"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4 continued (Lessons 19-24): Analysing Companies | 第四单元续（第19-24课）：公司分析</w:t>
            </w:r>
          </w:p>
        </w:tc>
      </w:tr>
      <w:tr w:rsidR="00BA6999" w14:paraId="60B89ABA" w14:textId="77777777">
        <w:trPr>
          <w:cantSplit/>
        </w:trPr>
        <w:tc>
          <w:tcPr>
            <w:tcW w:w="600" w:type="dxa"/>
            <w:tcMar>
              <w:top w:w="120" w:type="dxa"/>
              <w:left w:w="80" w:type="dxa"/>
              <w:bottom w:w="120" w:type="dxa"/>
              <w:right w:w="80" w:type="dxa"/>
            </w:tcMar>
            <w:vAlign w:val="center"/>
          </w:tcPr>
          <w:p w14:paraId="4F937C08" w14:textId="77777777" w:rsidR="00BA6999" w:rsidRDefault="00000000">
            <w:pPr>
              <w:spacing w:after="0"/>
              <w:jc w:val="center"/>
            </w:pPr>
            <w:r>
              <w:t>15</w:t>
            </w:r>
          </w:p>
        </w:tc>
        <w:tc>
          <w:tcPr>
            <w:tcW w:w="850" w:type="dxa"/>
            <w:tcMar>
              <w:top w:w="120" w:type="dxa"/>
              <w:left w:w="80" w:type="dxa"/>
              <w:bottom w:w="120" w:type="dxa"/>
              <w:right w:w="80" w:type="dxa"/>
            </w:tcMar>
            <w:vAlign w:val="center"/>
          </w:tcPr>
          <w:p w14:paraId="680A100D" w14:textId="77777777" w:rsidR="00BA6999" w:rsidRDefault="00000000">
            <w:pPr>
              <w:spacing w:after="0"/>
              <w:jc w:val="center"/>
            </w:pPr>
            <w:r>
              <w:t>Dec 7</w:t>
            </w:r>
          </w:p>
        </w:tc>
        <w:tc>
          <w:tcPr>
            <w:tcW w:w="2600" w:type="dxa"/>
            <w:shd w:val="clear" w:color="auto" w:fill="FFF7E3"/>
            <w:tcMar>
              <w:top w:w="120" w:type="dxa"/>
              <w:left w:w="80" w:type="dxa"/>
              <w:bottom w:w="120" w:type="dxa"/>
              <w:right w:w="80" w:type="dxa"/>
            </w:tcMar>
            <w:vAlign w:val="center"/>
          </w:tcPr>
          <w:p w14:paraId="6516B80F" w14:textId="77777777" w:rsidR="00BA6999" w:rsidRDefault="00000000">
            <w:pPr>
              <w:spacing w:after="0"/>
            </w:pPr>
            <w:r>
              <w:t>Mathematics Activity; IC3 Parent Half-Day</w:t>
            </w:r>
          </w:p>
        </w:tc>
        <w:tc>
          <w:tcPr>
            <w:tcW w:w="2300" w:type="dxa"/>
            <w:shd w:val="clear" w:color="auto" w:fill="EEF6EA"/>
            <w:tcMar>
              <w:top w:w="120" w:type="dxa"/>
              <w:left w:w="80" w:type="dxa"/>
              <w:bottom w:w="120" w:type="dxa"/>
              <w:right w:w="80" w:type="dxa"/>
            </w:tcMar>
            <w:vAlign w:val="center"/>
          </w:tcPr>
          <w:p w14:paraId="33A00286" w14:textId="77777777" w:rsidR="00BA6999" w:rsidRDefault="00BA6999">
            <w:pPr>
              <w:spacing w:after="0"/>
            </w:pPr>
            <w:r>
              <w:t>Lessons 21-22: Balance sheets, debt, peers and company risks</w:t>
            </w:r>
          </w:p>
        </w:tc>
        <w:tc>
          <w:tcPr>
            <w:tcW w:w="3900" w:type="dxa"/>
            <w:shd w:val="clear" w:color="auto" w:fill="EEF6EA"/>
            <w:tcMar>
              <w:top w:w="120" w:type="dxa"/>
              <w:left w:w="80" w:type="dxa"/>
              <w:bottom w:w="120" w:type="dxa"/>
              <w:right w:w="80" w:type="dxa"/>
            </w:tcMar>
            <w:vAlign w:val="center"/>
          </w:tcPr>
          <w:p w14:paraId="1C8D97D0" w14:textId="77777777" w:rsidR="00BA6999" w:rsidRDefault="00000000">
            <w:pPr>
              <w:spacing w:after="0"/>
            </w:pPr>
            <w:r>
              <w:t>The balance sheet reveals assets, liabilities and leverage; peer comparison and a structured risk review help students judge resilience without relying on one number.</w:t>
            </w:r>
          </w:p>
        </w:tc>
        <w:tc>
          <w:tcPr>
            <w:tcW w:w="3900" w:type="dxa"/>
            <w:shd w:val="clear" w:color="auto" w:fill="EEF6EA"/>
            <w:tcMar>
              <w:top w:w="120" w:type="dxa"/>
              <w:left w:w="80" w:type="dxa"/>
              <w:bottom w:w="120" w:type="dxa"/>
              <w:right w:w="80" w:type="dxa"/>
            </w:tcMar>
            <w:vAlign w:val="center"/>
          </w:tcPr>
          <w:p w14:paraId="7F05C4D3" w14:textId="77777777" w:rsidR="00F96CC9" w:rsidRDefault="00000000">
            <w:pPr>
              <w:spacing w:after="0"/>
              <w:rPr>
                <w:lang w:eastAsia="zh-CN"/>
              </w:rPr>
            </w:pPr>
            <w:r>
              <w:rPr>
                <w:rFonts w:eastAsia="微软雅黑"/>
                <w:lang w:eastAsia="zh-CN"/>
              </w:rPr>
              <w:t>资产负债表显示资产、负债和杠杆；同业比较和结构化风险审查帮助学生判断企业韧性，而不是依赖单一指标。</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balance sheet（资产负债表）</w:t>
            </w:r>
          </w:p>
          <w:p w14:paraId="3198E3F8" w14:textId="77777777" w:rsidR="00F96CC9" w:rsidRDefault="00000000">
            <w:pPr>
              <w:numPr>
                <w:ilvl w:val="0"/>
                <w:numId w:val="1"/>
              </w:numPr>
              <w:spacing w:after="0"/>
            </w:pPr>
            <w:r>
              <w:rPr>
                <w:rFonts w:eastAsia="微软雅黑"/>
                <w:szCs w:val="17"/>
              </w:rPr>
              <w:t>debt（债务）</w:t>
            </w:r>
          </w:p>
          <w:p w14:paraId="3198E3F8" w14:textId="77777777" w:rsidR="00F96CC9" w:rsidRDefault="00000000">
            <w:pPr>
              <w:numPr>
                <w:ilvl w:val="0"/>
                <w:numId w:val="1"/>
              </w:numPr>
              <w:spacing w:after="0"/>
            </w:pPr>
            <w:r>
              <w:rPr>
                <w:rFonts w:eastAsia="微软雅黑"/>
                <w:szCs w:val="17"/>
              </w:rPr>
              <w:t>leverage（杠杆）</w:t>
            </w:r>
          </w:p>
          <w:p w14:paraId="3198E3F8" w14:textId="77777777" w:rsidR="00F96CC9" w:rsidRDefault="00000000">
            <w:pPr>
              <w:numPr>
                <w:ilvl w:val="0"/>
                <w:numId w:val="1"/>
              </w:numPr>
              <w:spacing w:after="0"/>
            </w:pPr>
            <w:r>
              <w:rPr>
                <w:rFonts w:eastAsia="微软雅黑"/>
                <w:szCs w:val="17"/>
              </w:rPr>
              <w:t>peer comparison（同业比较）</w:t>
            </w:r>
          </w:p>
          <w:p w14:paraId="3198E3F8" w14:textId="77777777" w:rsidR="00F96CC9" w:rsidRDefault="00000000">
            <w:pPr>
              <w:numPr>
                <w:ilvl w:val="0"/>
                <w:numId w:val="1"/>
              </w:numPr>
              <w:spacing w:after="0"/>
            </w:pPr>
            <w:r>
              <w:rPr>
                <w:rFonts w:eastAsia="微软雅黑"/>
                <w:szCs w:val="17"/>
              </w:rPr>
              <w:t>company risk（公司风险）</w:t>
            </w:r>
          </w:p>
        </w:tc>
      </w:tr>
      <w:tr w:rsidR="00BA6999" w14:paraId="539761F6" w14:textId="77777777">
        <w:trPr>
          <w:cantSplit/>
        </w:trPr>
        <w:tc>
          <w:tcPr>
            <w:tcW w:w="600" w:type="dxa"/>
            <w:tcMar>
              <w:top w:w="120" w:type="dxa"/>
              <w:left w:w="80" w:type="dxa"/>
              <w:bottom w:w="120" w:type="dxa"/>
              <w:right w:w="80" w:type="dxa"/>
            </w:tcMar>
            <w:vAlign w:val="center"/>
          </w:tcPr>
          <w:p w14:paraId="2514B201" w14:textId="77777777" w:rsidR="00BA6999" w:rsidRDefault="00000000">
            <w:pPr>
              <w:spacing w:after="0"/>
              <w:jc w:val="center"/>
            </w:pPr>
            <w:r>
              <w:t>16</w:t>
            </w:r>
          </w:p>
        </w:tc>
        <w:tc>
          <w:tcPr>
            <w:tcW w:w="850" w:type="dxa"/>
            <w:tcMar>
              <w:top w:w="120" w:type="dxa"/>
              <w:left w:w="80" w:type="dxa"/>
              <w:bottom w:w="120" w:type="dxa"/>
              <w:right w:w="80" w:type="dxa"/>
            </w:tcMar>
            <w:vAlign w:val="center"/>
          </w:tcPr>
          <w:p w14:paraId="25FDA170" w14:textId="77777777" w:rsidR="00BA6999" w:rsidRDefault="00000000">
            <w:pPr>
              <w:spacing w:after="0"/>
              <w:jc w:val="center"/>
            </w:pPr>
            <w:r>
              <w:t>Dec 14</w:t>
            </w:r>
          </w:p>
        </w:tc>
        <w:tc>
          <w:tcPr>
            <w:tcW w:w="2600" w:type="dxa"/>
            <w:shd w:val="clear" w:color="auto" w:fill="FFF7E3"/>
            <w:tcMar>
              <w:top w:w="120" w:type="dxa"/>
              <w:left w:w="80" w:type="dxa"/>
              <w:bottom w:w="120" w:type="dxa"/>
              <w:right w:w="80" w:type="dxa"/>
            </w:tcMar>
            <w:vAlign w:val="center"/>
          </w:tcPr>
          <w:p w14:paraId="0E270DB2" w14:textId="77777777" w:rsidR="00BA6999" w:rsidRDefault="00000000">
            <w:pPr>
              <w:spacing w:after="0"/>
            </w:pPr>
            <w:r>
              <w:t>Chinese &amp; International Faculty "Secret Santa"</w:t>
            </w:r>
          </w:p>
        </w:tc>
        <w:tc>
          <w:tcPr>
            <w:tcW w:w="2300" w:type="dxa"/>
            <w:shd w:val="clear" w:color="auto" w:fill="EEF6EA"/>
            <w:tcMar>
              <w:top w:w="120" w:type="dxa"/>
              <w:left w:w="80" w:type="dxa"/>
              <w:bottom w:w="120" w:type="dxa"/>
              <w:right w:w="80" w:type="dxa"/>
            </w:tcMar>
            <w:vAlign w:val="center"/>
          </w:tcPr>
          <w:p w14:paraId="0B452E7F" w14:textId="77777777" w:rsidR="00BA6999" w:rsidRDefault="00000000">
            <w:pPr>
              <w:spacing w:after="0"/>
            </w:pPr>
            <w:r>
              <w:t>Lessons 23-24: Valuation, P/E and an evidence-based memo</w:t>
            </w:r>
          </w:p>
        </w:tc>
        <w:tc>
          <w:tcPr>
            <w:tcW w:w="3900" w:type="dxa"/>
            <w:shd w:val="clear" w:color="auto" w:fill="EEF6EA"/>
            <w:tcMar>
              <w:top w:w="120" w:type="dxa"/>
              <w:left w:w="80" w:type="dxa"/>
              <w:bottom w:w="120" w:type="dxa"/>
              <w:right w:w="80" w:type="dxa"/>
            </w:tcMar>
            <w:vAlign w:val="center"/>
          </w:tcPr>
          <w:p w14:paraId="781586E4" w14:textId="77777777" w:rsidR="00BA6999" w:rsidRDefault="00000000">
            <w:pPr>
              <w:spacing w:after="0"/>
            </w:pPr>
            <w:r>
              <w:t>A valuation multiple such as P/E can support comparison, but a sound memo connects evidence to a conclusion and states assumptions, risks and uncertainty.</w:t>
            </w:r>
          </w:p>
        </w:tc>
        <w:tc>
          <w:tcPr>
            <w:tcW w:w="3900" w:type="dxa"/>
            <w:shd w:val="clear" w:color="auto" w:fill="EEF6EA"/>
            <w:tcMar>
              <w:top w:w="120" w:type="dxa"/>
              <w:left w:w="80" w:type="dxa"/>
              <w:bottom w:w="120" w:type="dxa"/>
              <w:right w:w="80" w:type="dxa"/>
            </w:tcMar>
            <w:vAlign w:val="center"/>
          </w:tcPr>
          <w:p w14:paraId="6CE4C0FA" w14:textId="77777777" w:rsidR="00F96CC9" w:rsidRDefault="00000000">
            <w:pPr>
              <w:spacing w:after="0"/>
              <w:rPr>
                <w:lang w:eastAsia="zh-CN"/>
              </w:rPr>
            </w:pPr>
            <w:r>
              <w:rPr>
                <w:rFonts w:eastAsia="微软雅黑"/>
                <w:lang w:eastAsia="zh-CN"/>
              </w:rPr>
              <w:t>市盈率等估值倍数可支持比较，但高质量备忘录必须把证据与结论连接起来，并说明假设、风险和不确定性。</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P/E ratio（市盈率）</w:t>
            </w:r>
          </w:p>
          <w:p w14:paraId="3198E3F8" w14:textId="77777777" w:rsidR="00F96CC9" w:rsidRDefault="00000000">
            <w:pPr>
              <w:numPr>
                <w:ilvl w:val="0"/>
                <w:numId w:val="1"/>
              </w:numPr>
              <w:spacing w:after="0"/>
            </w:pPr>
            <w:r>
              <w:rPr>
                <w:rFonts w:eastAsia="微软雅黑"/>
                <w:szCs w:val="17"/>
              </w:rPr>
              <w:t>valuation（估值）</w:t>
            </w:r>
          </w:p>
          <w:p w14:paraId="3198E3F8" w14:textId="77777777" w:rsidR="00F96CC9" w:rsidRDefault="00000000">
            <w:pPr>
              <w:numPr>
                <w:ilvl w:val="0"/>
                <w:numId w:val="1"/>
              </w:numPr>
              <w:spacing w:after="0"/>
            </w:pPr>
            <w:r>
              <w:rPr>
                <w:rFonts w:eastAsia="微软雅黑"/>
                <w:szCs w:val="17"/>
              </w:rPr>
              <w:t>assumption（假设）</w:t>
            </w:r>
          </w:p>
          <w:p w14:paraId="3198E3F8" w14:textId="77777777" w:rsidR="00F96CC9" w:rsidRDefault="00000000">
            <w:pPr>
              <w:numPr>
                <w:ilvl w:val="0"/>
                <w:numId w:val="1"/>
              </w:numPr>
              <w:spacing w:after="0"/>
            </w:pPr>
            <w:r>
              <w:rPr>
                <w:rFonts w:eastAsia="微软雅黑"/>
                <w:szCs w:val="17"/>
              </w:rPr>
              <w:t>evidence-based conclusion（基于证据的结论）</w:t>
            </w:r>
          </w:p>
          <w:p w14:paraId="3198E3F8" w14:textId="77777777" w:rsidR="00F96CC9" w:rsidRDefault="00000000">
            <w:pPr>
              <w:numPr>
                <w:ilvl w:val="0"/>
                <w:numId w:val="1"/>
              </w:numPr>
              <w:spacing w:after="0"/>
            </w:pPr>
            <w:r>
              <w:rPr>
                <w:rFonts w:eastAsia="微软雅黑"/>
                <w:szCs w:val="17"/>
              </w:rPr>
              <w:t>uncertainty（不确定性）</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Units 5-6 (Lessons 25-32): Portfolios and Investor Behaviour → Family Investment Decisions and Careers | 第五至六单元（第25-32课）：投资组合与投资者行为 → 家庭投资决策与职业</w:t>
            </w:r>
          </w:p>
        </w:tc>
      </w:tr>
      <w:tr w:rsidR="00BA6999" w14:paraId="31A622B3" w14:textId="77777777">
        <w:trPr>
          <w:cantSplit/>
        </w:trPr>
        <w:tc>
          <w:tcPr>
            <w:tcW w:w="600" w:type="dxa"/>
            <w:tcMar>
              <w:top w:w="120" w:type="dxa"/>
              <w:left w:w="80" w:type="dxa"/>
              <w:bottom w:w="120" w:type="dxa"/>
              <w:right w:w="80" w:type="dxa"/>
            </w:tcMar>
            <w:vAlign w:val="center"/>
          </w:tcPr>
          <w:p w14:paraId="14524499" w14:textId="77777777" w:rsidR="00BA6999" w:rsidRDefault="00000000">
            <w:pPr>
              <w:spacing w:after="0"/>
              <w:jc w:val="center"/>
            </w:pPr>
            <w:r>
              <w:t>17</w:t>
            </w:r>
          </w:p>
        </w:tc>
        <w:tc>
          <w:tcPr>
            <w:tcW w:w="850" w:type="dxa"/>
            <w:tcMar>
              <w:top w:w="120" w:type="dxa"/>
              <w:left w:w="80" w:type="dxa"/>
              <w:bottom w:w="120" w:type="dxa"/>
              <w:right w:w="80" w:type="dxa"/>
            </w:tcMar>
            <w:vAlign w:val="center"/>
          </w:tcPr>
          <w:p w14:paraId="331E6039" w14:textId="77777777" w:rsidR="00BA6999" w:rsidRDefault="00000000">
            <w:pPr>
              <w:spacing w:after="0"/>
              <w:jc w:val="center"/>
            </w:pPr>
            <w:r>
              <w:t>Dec 21</w:t>
            </w:r>
          </w:p>
        </w:tc>
        <w:tc>
          <w:tcPr>
            <w:tcW w:w="2600" w:type="dxa"/>
            <w:shd w:val="clear" w:color="auto" w:fill="FFF7E3"/>
            <w:tcMar>
              <w:top w:w="120" w:type="dxa"/>
              <w:left w:w="80" w:type="dxa"/>
              <w:bottom w:w="120" w:type="dxa"/>
              <w:right w:w="80" w:type="dxa"/>
            </w:tcMar>
            <w:vAlign w:val="center"/>
          </w:tcPr>
          <w:p w14:paraId="2F5E3EDA" w14:textId="77777777" w:rsidR="00BA6999" w:rsidRDefault="00000000">
            <w:pPr>
              <w:spacing w:after="0"/>
            </w:pPr>
            <w:r>
              <w:t>Winter Sports Games</w:t>
            </w:r>
          </w:p>
        </w:tc>
        <w:tc>
          <w:tcPr>
            <w:tcW w:w="2300" w:type="dxa"/>
            <w:shd w:val="clear" w:color="auto" w:fill="EEF6EA"/>
            <w:tcMar>
              <w:top w:w="120" w:type="dxa"/>
              <w:left w:w="80" w:type="dxa"/>
              <w:bottom w:w="120" w:type="dxa"/>
              <w:right w:w="80" w:type="dxa"/>
            </w:tcMar>
            <w:vAlign w:val="center"/>
          </w:tcPr>
          <w:p w14:paraId="4D9E0A5C" w14:textId="77777777" w:rsidR="00BA6999" w:rsidRDefault="00000000">
            <w:pPr>
              <w:spacing w:after="0"/>
            </w:pPr>
            <w:r>
              <w:t>Lessons 25-26: Allocation, concentration, geographic and currency risk</w:t>
            </w:r>
          </w:p>
        </w:tc>
        <w:tc>
          <w:tcPr>
            <w:tcW w:w="3900" w:type="dxa"/>
            <w:shd w:val="clear" w:color="auto" w:fill="EEF6EA"/>
            <w:tcMar>
              <w:top w:w="120" w:type="dxa"/>
              <w:left w:w="80" w:type="dxa"/>
              <w:bottom w:w="120" w:type="dxa"/>
              <w:right w:w="80" w:type="dxa"/>
            </w:tcMar>
            <w:vAlign w:val="center"/>
          </w:tcPr>
          <w:p w14:paraId="43004B1B" w14:textId="77777777" w:rsidR="00BA6999" w:rsidRDefault="00000000">
            <w:pPr>
              <w:spacing w:after="0"/>
            </w:pPr>
            <w:r>
              <w:t>Portfolio weights reveal concentration; geographic exposure, currency movements and broad market changes can affect even a portfolio containing many holdings.</w:t>
            </w:r>
          </w:p>
        </w:tc>
        <w:tc>
          <w:tcPr>
            <w:tcW w:w="3900" w:type="dxa"/>
            <w:shd w:val="clear" w:color="auto" w:fill="EEF6EA"/>
            <w:tcMar>
              <w:top w:w="120" w:type="dxa"/>
              <w:left w:w="80" w:type="dxa"/>
              <w:bottom w:w="120" w:type="dxa"/>
              <w:right w:w="80" w:type="dxa"/>
            </w:tcMar>
            <w:vAlign w:val="center"/>
          </w:tcPr>
          <w:p w14:paraId="7D4E22EC" w14:textId="77777777" w:rsidR="00F96CC9" w:rsidRDefault="00000000">
            <w:pPr>
              <w:spacing w:after="0"/>
              <w:rPr>
                <w:lang w:eastAsia="zh-CN"/>
              </w:rPr>
            </w:pPr>
            <w:r>
              <w:rPr>
                <w:rFonts w:eastAsia="微软雅黑"/>
                <w:lang w:eastAsia="zh-CN"/>
              </w:rPr>
              <w:t>投资组合权重可以揭示集中度；地域敞口、汇率变动和整体市场变化即使对持有多种资产的组合也会产生影响。</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asset allocation（资产配置）</w:t>
            </w:r>
          </w:p>
          <w:p w14:paraId="3198E3F8" w14:textId="77777777" w:rsidR="00F96CC9" w:rsidRDefault="00000000">
            <w:pPr>
              <w:numPr>
                <w:ilvl w:val="0"/>
                <w:numId w:val="1"/>
              </w:numPr>
              <w:spacing w:after="0"/>
            </w:pPr>
            <w:r>
              <w:rPr>
                <w:rFonts w:eastAsia="微软雅黑"/>
                <w:szCs w:val="17"/>
              </w:rPr>
              <w:t>portfolio weight（投资组合权重）</w:t>
            </w:r>
          </w:p>
          <w:p w14:paraId="3198E3F8" w14:textId="77777777" w:rsidR="00F96CC9" w:rsidRDefault="00000000">
            <w:pPr>
              <w:numPr>
                <w:ilvl w:val="0"/>
                <w:numId w:val="1"/>
              </w:numPr>
              <w:spacing w:after="0"/>
            </w:pPr>
            <w:r>
              <w:rPr>
                <w:rFonts w:eastAsia="微软雅黑"/>
                <w:szCs w:val="17"/>
              </w:rPr>
              <w:t>concentration risk（集中度风险）</w:t>
            </w:r>
          </w:p>
          <w:p w14:paraId="3198E3F8" w14:textId="77777777" w:rsidR="00F96CC9" w:rsidRDefault="00000000">
            <w:pPr>
              <w:numPr>
                <w:ilvl w:val="0"/>
                <w:numId w:val="1"/>
              </w:numPr>
              <w:spacing w:after="0"/>
            </w:pPr>
            <w:r>
              <w:rPr>
                <w:rFonts w:eastAsia="微软雅黑"/>
                <w:szCs w:val="17"/>
              </w:rPr>
              <w:t>currency risk（汇率风险）</w:t>
            </w:r>
          </w:p>
          <w:p w14:paraId="3198E3F8" w14:textId="77777777" w:rsidR="00F96CC9" w:rsidRDefault="00000000">
            <w:pPr>
              <w:numPr>
                <w:ilvl w:val="0"/>
                <w:numId w:val="1"/>
              </w:numPr>
              <w:spacing w:after="0"/>
            </w:pPr>
            <w:r>
              <w:rPr>
                <w:rFonts w:eastAsia="微软雅黑"/>
                <w:szCs w:val="17"/>
              </w:rPr>
              <w:t>market risk（市场风险）</w:t>
            </w:r>
          </w:p>
        </w:tc>
      </w:tr>
      <w:tr w:rsidR="00BA6999" w14:paraId="2747E9BC" w14:textId="77777777">
        <w:trPr>
          <w:cantSplit/>
        </w:trPr>
        <w:tc>
          <w:tcPr>
            <w:tcW w:w="600" w:type="dxa"/>
            <w:tcMar>
              <w:top w:w="120" w:type="dxa"/>
              <w:left w:w="80" w:type="dxa"/>
              <w:bottom w:w="120" w:type="dxa"/>
              <w:right w:w="80" w:type="dxa"/>
            </w:tcMar>
            <w:vAlign w:val="center"/>
          </w:tcPr>
          <w:p w14:paraId="4D8DFBA0" w14:textId="77777777" w:rsidR="00BA6999" w:rsidRDefault="00000000">
            <w:pPr>
              <w:spacing w:after="0"/>
              <w:jc w:val="center"/>
            </w:pPr>
            <w:r>
              <w:t>18</w:t>
            </w:r>
          </w:p>
        </w:tc>
        <w:tc>
          <w:tcPr>
            <w:tcW w:w="850" w:type="dxa"/>
            <w:tcMar>
              <w:top w:w="120" w:type="dxa"/>
              <w:left w:w="80" w:type="dxa"/>
              <w:bottom w:w="120" w:type="dxa"/>
              <w:right w:w="80" w:type="dxa"/>
            </w:tcMar>
            <w:vAlign w:val="center"/>
          </w:tcPr>
          <w:p w14:paraId="5AFB17B8" w14:textId="77777777" w:rsidR="00BA6999" w:rsidRDefault="00000000">
            <w:pPr>
              <w:spacing w:after="0"/>
              <w:jc w:val="center"/>
            </w:pPr>
            <w:r>
              <w:t>Dec 28</w:t>
            </w:r>
          </w:p>
        </w:tc>
        <w:tc>
          <w:tcPr>
            <w:tcW w:w="2600" w:type="dxa"/>
            <w:shd w:val="clear" w:color="auto" w:fill="FFF7E3"/>
            <w:tcMar>
              <w:top w:w="120" w:type="dxa"/>
              <w:left w:w="80" w:type="dxa"/>
              <w:bottom w:w="120" w:type="dxa"/>
              <w:right w:w="80" w:type="dxa"/>
            </w:tcMar>
            <w:vAlign w:val="center"/>
          </w:tcPr>
          <w:p w14:paraId="6DC9CB94" w14:textId="77777777" w:rsidR="00BA6999" w:rsidRDefault="00000000">
            <w:pPr>
              <w:spacing w:after="0"/>
            </w:pPr>
            <w:r>
              <w:t>New Year Concert</w:t>
            </w:r>
          </w:p>
        </w:tc>
        <w:tc>
          <w:tcPr>
            <w:tcW w:w="2300" w:type="dxa"/>
            <w:shd w:val="clear" w:color="auto" w:fill="EEF6EA"/>
            <w:tcMar>
              <w:top w:w="120" w:type="dxa"/>
              <w:left w:w="80" w:type="dxa"/>
              <w:bottom w:w="120" w:type="dxa"/>
              <w:right w:w="80" w:type="dxa"/>
            </w:tcMar>
            <w:vAlign w:val="center"/>
          </w:tcPr>
          <w:p w14:paraId="7193CF85" w14:textId="77777777" w:rsidR="00BA6999" w:rsidRDefault="00BA6999">
            <w:pPr>
              <w:spacing w:after="0"/>
            </w:pPr>
            <w:r>
              <w:t>Lessons 27-28: Compare, rebalance, monitor and manage bias</w:t>
            </w:r>
          </w:p>
        </w:tc>
        <w:tc>
          <w:tcPr>
            <w:tcW w:w="3900" w:type="dxa"/>
            <w:shd w:val="clear" w:color="auto" w:fill="EEF6EA"/>
            <w:tcMar>
              <w:top w:w="120" w:type="dxa"/>
              <w:left w:w="80" w:type="dxa"/>
              <w:bottom w:w="120" w:type="dxa"/>
              <w:right w:w="80" w:type="dxa"/>
            </w:tcMar>
            <w:vAlign w:val="center"/>
          </w:tcPr>
          <w:p w14:paraId="4E8D0ABD" w14:textId="77777777" w:rsidR="00BA6999" w:rsidRDefault="00000000">
            <w:pPr>
              <w:spacing w:after="0"/>
            </w:pPr>
            <w:r>
              <w:t>Students compare portfolios against stated goals, use rebalancing and monitoring rules, and recognise how common biases can distort review decisions.</w:t>
            </w:r>
          </w:p>
        </w:tc>
        <w:tc>
          <w:tcPr>
            <w:tcW w:w="3900" w:type="dxa"/>
            <w:shd w:val="clear" w:color="auto" w:fill="EEF6EA"/>
            <w:tcMar>
              <w:top w:w="120" w:type="dxa"/>
              <w:left w:w="80" w:type="dxa"/>
              <w:bottom w:w="120" w:type="dxa"/>
              <w:right w:w="80" w:type="dxa"/>
            </w:tcMar>
            <w:vAlign w:val="center"/>
          </w:tcPr>
          <w:p w14:paraId="13E1E462" w14:textId="77777777" w:rsidR="00F96CC9" w:rsidRDefault="00000000">
            <w:pPr>
              <w:spacing w:after="0"/>
              <w:rPr>
                <w:lang w:eastAsia="zh-CN"/>
              </w:rPr>
            </w:pPr>
            <w:r>
              <w:rPr>
                <w:rFonts w:eastAsia="微软雅黑"/>
                <w:lang w:eastAsia="zh-CN"/>
              </w:rPr>
              <w:t>学生依据既定目标比较投资组合，运用再平衡和监测规则，并识别常见偏差如何扭曲复盘决策。</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rebalancing（再平衡）</w:t>
            </w:r>
          </w:p>
          <w:p w14:paraId="3198E3F8" w14:textId="77777777" w:rsidR="00F96CC9" w:rsidRDefault="00000000">
            <w:pPr>
              <w:numPr>
                <w:ilvl w:val="0"/>
                <w:numId w:val="1"/>
              </w:numPr>
              <w:spacing w:after="0"/>
            </w:pPr>
            <w:r>
              <w:rPr>
                <w:rFonts w:eastAsia="微软雅黑"/>
                <w:szCs w:val="17"/>
              </w:rPr>
              <w:t>target allocation（目标配置）</w:t>
            </w:r>
          </w:p>
          <w:p w14:paraId="3198E3F8" w14:textId="77777777" w:rsidR="00F96CC9" w:rsidRDefault="00000000">
            <w:pPr>
              <w:numPr>
                <w:ilvl w:val="0"/>
                <w:numId w:val="1"/>
              </w:numPr>
              <w:spacing w:after="0"/>
            </w:pPr>
            <w:r>
              <w:rPr>
                <w:rFonts w:eastAsia="微软雅黑"/>
                <w:szCs w:val="17"/>
              </w:rPr>
              <w:t>monitoring rule（监测规则）</w:t>
            </w:r>
          </w:p>
          <w:p w14:paraId="3198E3F8" w14:textId="77777777" w:rsidR="00F96CC9" w:rsidRDefault="00000000">
            <w:pPr>
              <w:numPr>
                <w:ilvl w:val="0"/>
                <w:numId w:val="1"/>
              </w:numPr>
              <w:spacing w:after="0"/>
            </w:pPr>
            <w:r>
              <w:rPr>
                <w:rFonts w:eastAsia="微软雅黑"/>
                <w:szCs w:val="17"/>
              </w:rPr>
              <w:t>confirmation bias（确认偏差）</w:t>
            </w:r>
          </w:p>
          <w:p w14:paraId="3198E3F8" w14:textId="77777777" w:rsidR="00F96CC9" w:rsidRDefault="00000000">
            <w:pPr>
              <w:numPr>
                <w:ilvl w:val="0"/>
                <w:numId w:val="1"/>
              </w:numPr>
              <w:spacing w:after="0"/>
            </w:pPr>
            <w:r>
              <w:rPr>
                <w:rFonts w:eastAsia="微软雅黑"/>
                <w:szCs w:val="17"/>
              </w:rPr>
              <w:t>loss aversion（损失厌恶）</w:t>
            </w:r>
          </w:p>
        </w:tc>
      </w:tr>
      <w:tr w:rsidR="00BA6999" w14:paraId="6769F8A5" w14:textId="77777777">
        <w:trPr>
          <w:cantSplit/>
        </w:trPr>
        <w:tc>
          <w:tcPr>
            <w:tcW w:w="600" w:type="dxa"/>
            <w:tcMar>
              <w:top w:w="120" w:type="dxa"/>
              <w:left w:w="80" w:type="dxa"/>
              <w:bottom w:w="120" w:type="dxa"/>
              <w:right w:w="80" w:type="dxa"/>
            </w:tcMar>
            <w:vAlign w:val="center"/>
          </w:tcPr>
          <w:p w14:paraId="0CDEA213" w14:textId="77777777" w:rsidR="00BA6999" w:rsidRDefault="00000000">
            <w:pPr>
              <w:spacing w:after="0"/>
              <w:jc w:val="center"/>
            </w:pPr>
            <w:r>
              <w:t>19</w:t>
            </w:r>
          </w:p>
        </w:tc>
        <w:tc>
          <w:tcPr>
            <w:tcW w:w="850" w:type="dxa"/>
            <w:tcMar>
              <w:top w:w="120" w:type="dxa"/>
              <w:left w:w="80" w:type="dxa"/>
              <w:bottom w:w="120" w:type="dxa"/>
              <w:right w:w="80" w:type="dxa"/>
            </w:tcMar>
            <w:vAlign w:val="center"/>
          </w:tcPr>
          <w:p w14:paraId="53FC5F09" w14:textId="77777777" w:rsidR="00BA6999" w:rsidRDefault="00000000">
            <w:pPr>
              <w:spacing w:after="0"/>
              <w:jc w:val="center"/>
            </w:pPr>
            <w:r>
              <w:t>Jan 4</w:t>
            </w:r>
          </w:p>
        </w:tc>
        <w:tc>
          <w:tcPr>
            <w:tcW w:w="2600" w:type="dxa"/>
            <w:tcMar>
              <w:top w:w="120" w:type="dxa"/>
              <w:left w:w="80" w:type="dxa"/>
              <w:bottom w:w="120" w:type="dxa"/>
              <w:right w:w="80" w:type="dxa"/>
            </w:tcMar>
            <w:vAlign w:val="center"/>
          </w:tcPr>
          <w:p w14:paraId="13D6B596"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2F0102C0" w14:textId="77777777" w:rsidR="00BA6999" w:rsidRDefault="00000000">
            <w:pPr>
              <w:spacing w:after="0"/>
            </w:pPr>
            <w:r>
              <w:t>Lessons 29-30: Family goal stress tests, windfalls and fraud</w:t>
            </w:r>
          </w:p>
        </w:tc>
        <w:tc>
          <w:tcPr>
            <w:tcW w:w="3900" w:type="dxa"/>
            <w:shd w:val="clear" w:color="auto" w:fill="EEF6EA"/>
            <w:tcMar>
              <w:top w:w="120" w:type="dxa"/>
              <w:left w:w="80" w:type="dxa"/>
              <w:bottom w:w="120" w:type="dxa"/>
              <w:right w:w="80" w:type="dxa"/>
            </w:tcMar>
            <w:vAlign w:val="center"/>
          </w:tcPr>
          <w:p w14:paraId="54D34F9F" w14:textId="77777777" w:rsidR="00BA6999" w:rsidRDefault="00000000">
            <w:pPr>
              <w:spacing w:after="0"/>
            </w:pPr>
            <w:r>
              <w:t>Family decisions should be retested when income, goals or markets change; windfalls require a pause and plan, while fraud claims should be checked for clear warning signs.</w:t>
            </w:r>
          </w:p>
        </w:tc>
        <w:tc>
          <w:tcPr>
            <w:tcW w:w="3900" w:type="dxa"/>
            <w:shd w:val="clear" w:color="auto" w:fill="EEF6EA"/>
            <w:tcMar>
              <w:top w:w="120" w:type="dxa"/>
              <w:left w:w="80" w:type="dxa"/>
              <w:bottom w:w="120" w:type="dxa"/>
              <w:right w:w="80" w:type="dxa"/>
            </w:tcMar>
            <w:vAlign w:val="center"/>
          </w:tcPr>
          <w:p w14:paraId="49A278BA" w14:textId="77777777" w:rsidR="00F96CC9" w:rsidRDefault="00000000">
            <w:pPr>
              <w:spacing w:after="0"/>
              <w:rPr>
                <w:lang w:eastAsia="zh-CN"/>
              </w:rPr>
            </w:pPr>
            <w:r>
              <w:rPr>
                <w:rFonts w:eastAsia="微软雅黑"/>
                <w:lang w:eastAsia="zh-CN"/>
              </w:rPr>
              <w:t>当收入、目标或市场变化时，应重新检验家庭决策；面对意外之财要先暂停并制定计划，而对可疑说法要检查明确的诈骗警示信号。</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scenario analysis（情景分析）</w:t>
            </w:r>
          </w:p>
          <w:p w14:paraId="3198E3F8" w14:textId="77777777" w:rsidR="00F96CC9" w:rsidRDefault="00000000">
            <w:pPr>
              <w:numPr>
                <w:ilvl w:val="0"/>
                <w:numId w:val="1"/>
              </w:numPr>
              <w:spacing w:after="0"/>
            </w:pPr>
            <w:r>
              <w:rPr>
                <w:rFonts w:eastAsia="微软雅黑"/>
                <w:szCs w:val="17"/>
              </w:rPr>
              <w:t>stress test（压力测试）</w:t>
            </w:r>
          </w:p>
          <w:p w14:paraId="3198E3F8" w14:textId="77777777" w:rsidR="00F96CC9" w:rsidRDefault="00000000">
            <w:pPr>
              <w:numPr>
                <w:ilvl w:val="0"/>
                <w:numId w:val="1"/>
              </w:numPr>
              <w:spacing w:after="0"/>
            </w:pPr>
            <w:r>
              <w:rPr>
                <w:rFonts w:eastAsia="微软雅黑"/>
                <w:szCs w:val="17"/>
              </w:rPr>
              <w:t>windfall（意外之财）</w:t>
            </w:r>
          </w:p>
          <w:p w14:paraId="3198E3F8" w14:textId="77777777" w:rsidR="00F96CC9" w:rsidRDefault="00000000">
            <w:pPr>
              <w:numPr>
                <w:ilvl w:val="0"/>
                <w:numId w:val="1"/>
              </w:numPr>
              <w:spacing w:after="0"/>
            </w:pPr>
            <w:r>
              <w:rPr>
                <w:rFonts w:eastAsia="微软雅黑"/>
                <w:szCs w:val="17"/>
              </w:rPr>
              <w:t>fraud（诈骗）</w:t>
            </w:r>
          </w:p>
          <w:p w14:paraId="3198E3F8" w14:textId="77777777" w:rsidR="00F96CC9" w:rsidRDefault="00000000">
            <w:pPr>
              <w:numPr>
                <w:ilvl w:val="0"/>
                <w:numId w:val="1"/>
              </w:numPr>
              <w:spacing w:after="0"/>
            </w:pPr>
            <w:r>
              <w:rPr>
                <w:rFonts w:eastAsia="微软雅黑"/>
                <w:szCs w:val="17"/>
              </w:rPr>
              <w:t>red flag（警示信号）</w:t>
            </w:r>
          </w:p>
        </w:tc>
      </w:tr>
      <w:tr w:rsidR="00BA6999" w14:paraId="0575997D" w14:textId="77777777">
        <w:trPr>
          <w:cantSplit/>
        </w:trPr>
        <w:tc>
          <w:tcPr>
            <w:tcW w:w="600" w:type="dxa"/>
            <w:tcMar>
              <w:top w:w="120" w:type="dxa"/>
              <w:left w:w="80" w:type="dxa"/>
              <w:bottom w:w="120" w:type="dxa"/>
              <w:right w:w="80" w:type="dxa"/>
            </w:tcMar>
            <w:vAlign w:val="center"/>
          </w:tcPr>
          <w:p w14:paraId="6774C315" w14:textId="77777777" w:rsidR="00BA6999" w:rsidRDefault="00000000">
            <w:pPr>
              <w:spacing w:after="0"/>
              <w:jc w:val="center"/>
            </w:pPr>
            <w:r>
              <w:t>20</w:t>
            </w:r>
          </w:p>
        </w:tc>
        <w:tc>
          <w:tcPr>
            <w:tcW w:w="850" w:type="dxa"/>
            <w:tcMar>
              <w:top w:w="120" w:type="dxa"/>
              <w:left w:w="80" w:type="dxa"/>
              <w:bottom w:w="120" w:type="dxa"/>
              <w:right w:w="80" w:type="dxa"/>
            </w:tcMar>
            <w:vAlign w:val="center"/>
          </w:tcPr>
          <w:p w14:paraId="056CE11D" w14:textId="77777777" w:rsidR="00BA6999" w:rsidRDefault="00000000">
            <w:pPr>
              <w:spacing w:after="0"/>
              <w:jc w:val="center"/>
            </w:pPr>
            <w:r>
              <w:t>Jan 11</w:t>
            </w:r>
          </w:p>
        </w:tc>
        <w:tc>
          <w:tcPr>
            <w:tcW w:w="2600" w:type="dxa"/>
            <w:shd w:val="clear" w:color="auto" w:fill="FFF7E3"/>
            <w:tcMar>
              <w:top w:w="120" w:type="dxa"/>
              <w:left w:w="80" w:type="dxa"/>
              <w:bottom w:w="120" w:type="dxa"/>
              <w:right w:w="80" w:type="dxa"/>
            </w:tcMar>
            <w:vAlign w:val="center"/>
          </w:tcPr>
          <w:p w14:paraId="3D04B8E7" w14:textId="77777777" w:rsidR="00BA6999" w:rsidRDefault="00000000">
            <w:pPr>
              <w:spacing w:after="0"/>
            </w:pPr>
            <w:r>
              <w:t>IC Bucks Activity</w:t>
            </w:r>
          </w:p>
        </w:tc>
        <w:tc>
          <w:tcPr>
            <w:tcW w:w="2300" w:type="dxa"/>
            <w:shd w:val="clear" w:color="auto" w:fill="EEF6EA"/>
            <w:tcMar>
              <w:top w:w="120" w:type="dxa"/>
              <w:left w:w="80" w:type="dxa"/>
              <w:bottom w:w="120" w:type="dxa"/>
              <w:right w:w="80" w:type="dxa"/>
            </w:tcMar>
            <w:vAlign w:val="center"/>
          </w:tcPr>
          <w:p w14:paraId="79364590" w14:textId="77777777" w:rsidR="00BA6999" w:rsidRDefault="00000000">
            <w:pPr>
              <w:spacing w:after="0"/>
            </w:pPr>
            <w:r>
              <w:t>Lessons 31-32: Investment careers and the family-strategy capstone</w:t>
            </w:r>
          </w:p>
        </w:tc>
        <w:tc>
          <w:tcPr>
            <w:tcW w:w="3900" w:type="dxa"/>
            <w:shd w:val="clear" w:color="auto" w:fill="EEF6EA"/>
            <w:tcMar>
              <w:top w:w="120" w:type="dxa"/>
              <w:left w:w="80" w:type="dxa"/>
              <w:bottom w:w="120" w:type="dxa"/>
              <w:right w:w="80" w:type="dxa"/>
            </w:tcMar>
            <w:vAlign w:val="center"/>
          </w:tcPr>
          <w:p w14:paraId="3217A8BD" w14:textId="77777777" w:rsidR="00BA6999" w:rsidRDefault="00000000">
            <w:pPr>
              <w:spacing w:after="0"/>
            </w:pPr>
            <w:r>
              <w:t>Students explore investment-related careers and professional responsibilities, then integrate goals, assets, company evidence, portfolio rules and limitations into a final family investment strategy.</w:t>
            </w:r>
          </w:p>
        </w:tc>
        <w:tc>
          <w:tcPr>
            <w:tcW w:w="3900" w:type="dxa"/>
            <w:shd w:val="clear" w:color="auto" w:fill="EEF6EA"/>
            <w:tcMar>
              <w:top w:w="120" w:type="dxa"/>
              <w:left w:w="80" w:type="dxa"/>
              <w:bottom w:w="120" w:type="dxa"/>
              <w:right w:w="80" w:type="dxa"/>
            </w:tcMar>
            <w:vAlign w:val="center"/>
          </w:tcPr>
          <w:p w14:paraId="50B12537" w14:textId="77777777" w:rsidR="00F96CC9" w:rsidRDefault="00000000">
            <w:pPr>
              <w:spacing w:after="0"/>
              <w:rPr>
                <w:lang w:eastAsia="zh-CN"/>
              </w:rPr>
            </w:pPr>
            <w:r>
              <w:rPr>
                <w:rFonts w:eastAsia="微软雅黑"/>
                <w:lang w:eastAsia="zh-CN"/>
              </w:rPr>
              <w:t>学生了解投资相关职业及专业责任，并在最终家庭投资策略中整合目标、资产、公司证据、投资组合规则和局限性。</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career pathway（职业路径）</w:t>
            </w:r>
          </w:p>
          <w:p w14:paraId="3198E3F8" w14:textId="77777777" w:rsidR="00F96CC9" w:rsidRDefault="00000000">
            <w:pPr>
              <w:numPr>
                <w:ilvl w:val="0"/>
                <w:numId w:val="1"/>
              </w:numPr>
              <w:spacing w:after="0"/>
            </w:pPr>
            <w:r>
              <w:rPr>
                <w:rFonts w:eastAsia="微软雅黑"/>
                <w:szCs w:val="17"/>
              </w:rPr>
              <w:t>financial adviser（理财顾问）</w:t>
            </w:r>
          </w:p>
          <w:p w14:paraId="3198E3F8" w14:textId="77777777" w:rsidR="00F96CC9" w:rsidRDefault="00000000">
            <w:pPr>
              <w:numPr>
                <w:ilvl w:val="0"/>
                <w:numId w:val="1"/>
              </w:numPr>
              <w:spacing w:after="0"/>
            </w:pPr>
            <w:r>
              <w:rPr>
                <w:rFonts w:eastAsia="微软雅黑"/>
                <w:szCs w:val="17"/>
              </w:rPr>
              <w:t>investment analyst（投资分析师）</w:t>
            </w:r>
          </w:p>
          <w:p w14:paraId="3198E3F8" w14:textId="77777777" w:rsidR="00F96CC9" w:rsidRDefault="00000000">
            <w:pPr>
              <w:numPr>
                <w:ilvl w:val="0"/>
                <w:numId w:val="1"/>
              </w:numPr>
              <w:spacing w:after="0"/>
            </w:pPr>
            <w:r>
              <w:rPr>
                <w:rFonts w:eastAsia="微软雅黑"/>
                <w:szCs w:val="17"/>
              </w:rPr>
              <w:t>family investment strategy（家庭投资策略）</w:t>
            </w:r>
          </w:p>
          <w:p w14:paraId="3198E3F8" w14:textId="77777777" w:rsidR="00F96CC9" w:rsidRDefault="00000000">
            <w:pPr>
              <w:numPr>
                <w:ilvl w:val="0"/>
                <w:numId w:val="1"/>
              </w:numPr>
              <w:spacing w:after="0"/>
            </w:pPr>
            <w:r>
              <w:rPr>
                <w:rFonts w:eastAsia="微软雅黑"/>
                <w:szCs w:val="17"/>
              </w:rPr>
              <w:t>recommendation（建议）</w:t>
            </w:r>
          </w:p>
        </w:tc>
      </w:tr>
      <w:tr w:rsidR="00BA6999" w14:paraId="4677BDDD" w14:textId="77777777">
        <w:trPr>
          <w:cantSplit/>
        </w:trPr>
        <w:tc>
          <w:tcPr>
            <w:tcW w:w="600" w:type="dxa"/>
            <w:shd w:val="clear" w:color="auto" w:fill="E7EAF0"/>
            <w:tcMar>
              <w:top w:w="120" w:type="dxa"/>
              <w:left w:w="80" w:type="dxa"/>
              <w:bottom w:w="120" w:type="dxa"/>
              <w:right w:w="80" w:type="dxa"/>
            </w:tcMar>
            <w:vAlign w:val="center"/>
          </w:tcPr>
          <w:p w14:paraId="0B8DFA60" w14:textId="77777777" w:rsidR="00BA6999" w:rsidRDefault="00000000">
            <w:pPr>
              <w:spacing w:after="0"/>
              <w:jc w:val="center"/>
            </w:pPr>
            <w:r>
              <w:rPr>
                <w:b/>
                <w:color w:val="5B6B7D"/>
              </w:rPr>
              <w:t>21</w:t>
            </w:r>
          </w:p>
        </w:tc>
        <w:tc>
          <w:tcPr>
            <w:tcW w:w="850" w:type="dxa"/>
            <w:shd w:val="clear" w:color="auto" w:fill="E7EAF0"/>
            <w:tcMar>
              <w:top w:w="120" w:type="dxa"/>
              <w:left w:w="80" w:type="dxa"/>
              <w:bottom w:w="120" w:type="dxa"/>
              <w:right w:w="80" w:type="dxa"/>
            </w:tcMar>
            <w:vAlign w:val="center"/>
          </w:tcPr>
          <w:p w14:paraId="60CADD8F" w14:textId="77777777" w:rsidR="00BA6999" w:rsidRDefault="00000000">
            <w:pPr>
              <w:spacing w:after="0"/>
              <w:jc w:val="center"/>
            </w:pPr>
            <w:r>
              <w:rPr>
                <w:b/>
                <w:color w:val="5B6B7D"/>
              </w:rPr>
              <w:t>Jan 18</w:t>
            </w:r>
          </w:p>
        </w:tc>
        <w:tc>
          <w:tcPr>
            <w:tcW w:w="2600" w:type="dxa"/>
            <w:shd w:val="clear" w:color="auto" w:fill="E7EAF0"/>
            <w:tcMar>
              <w:top w:w="120" w:type="dxa"/>
              <w:left w:w="80" w:type="dxa"/>
              <w:bottom w:w="120" w:type="dxa"/>
              <w:right w:w="80" w:type="dxa"/>
            </w:tcMar>
            <w:vAlign w:val="center"/>
          </w:tcPr>
          <w:p w14:paraId="61A2A8FD" w14:textId="77777777" w:rsidR="00BA6999" w:rsidRDefault="00000000">
            <w:pPr>
              <w:spacing w:after="0"/>
            </w:pPr>
            <w:r>
              <w:rPr>
                <w:b/>
                <w:color w:val="5B6B7D"/>
              </w:rPr>
              <w:t>Third Monthly Examinations</w:t>
            </w:r>
          </w:p>
        </w:tc>
        <w:tc>
          <w:tcPr>
            <w:tcW w:w="2300" w:type="dxa"/>
            <w:shd w:val="clear" w:color="auto" w:fill="E7EAF0"/>
            <w:tcMar>
              <w:top w:w="120" w:type="dxa"/>
              <w:left w:w="80" w:type="dxa"/>
              <w:bottom w:w="120" w:type="dxa"/>
              <w:right w:w="80" w:type="dxa"/>
            </w:tcMar>
            <w:vAlign w:val="center"/>
          </w:tcPr>
          <w:p w14:paraId="3839DD48"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1EEAF829"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73F110A"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097D85CD" w14:textId="77777777" w:rsidR="00F96CC9" w:rsidRDefault="00F96CC9">
            <w:pPr>
              <w:spacing w:after="0"/>
            </w:pPr>
          </w:p>
        </w:tc>
      </w:tr>
      <w:tr w:rsidR="00BA6999" w14:paraId="3FB4124B" w14:textId="77777777">
        <w:trPr>
          <w:cantSplit/>
        </w:trPr>
        <w:tc>
          <w:tcPr>
            <w:tcW w:w="600" w:type="dxa"/>
            <w:shd w:val="clear" w:color="auto" w:fill="E7EAF0"/>
            <w:tcMar>
              <w:top w:w="120" w:type="dxa"/>
              <w:left w:w="80" w:type="dxa"/>
              <w:bottom w:w="120" w:type="dxa"/>
              <w:right w:w="80" w:type="dxa"/>
            </w:tcMar>
            <w:vAlign w:val="center"/>
          </w:tcPr>
          <w:p w14:paraId="7ABB9223" w14:textId="77777777" w:rsidR="00BA6999" w:rsidRDefault="00000000">
            <w:pPr>
              <w:spacing w:after="0"/>
              <w:jc w:val="center"/>
            </w:pPr>
            <w:r>
              <w:rPr>
                <w:b/>
                <w:color w:val="5B6B7D"/>
              </w:rPr>
              <w:t>22</w:t>
            </w:r>
          </w:p>
        </w:tc>
        <w:tc>
          <w:tcPr>
            <w:tcW w:w="850" w:type="dxa"/>
            <w:shd w:val="clear" w:color="auto" w:fill="E7EAF0"/>
            <w:tcMar>
              <w:top w:w="120" w:type="dxa"/>
              <w:left w:w="80" w:type="dxa"/>
              <w:bottom w:w="120" w:type="dxa"/>
              <w:right w:w="80" w:type="dxa"/>
            </w:tcMar>
            <w:vAlign w:val="center"/>
          </w:tcPr>
          <w:p w14:paraId="08E2342A" w14:textId="77777777" w:rsidR="00BA6999" w:rsidRDefault="00000000">
            <w:pPr>
              <w:spacing w:after="0"/>
              <w:jc w:val="center"/>
            </w:pPr>
            <w:r>
              <w:rPr>
                <w:b/>
                <w:color w:val="5B6B7D"/>
              </w:rPr>
              <w:t>Jan 25</w:t>
            </w:r>
          </w:p>
        </w:tc>
        <w:tc>
          <w:tcPr>
            <w:tcW w:w="2600" w:type="dxa"/>
            <w:shd w:val="clear" w:color="auto" w:fill="E7EAF0"/>
            <w:tcMar>
              <w:top w:w="120" w:type="dxa"/>
              <w:left w:w="80" w:type="dxa"/>
              <w:bottom w:w="120" w:type="dxa"/>
              <w:right w:w="80" w:type="dxa"/>
            </w:tcMar>
            <w:vAlign w:val="center"/>
          </w:tcPr>
          <w:p w14:paraId="68F7F504" w14:textId="77777777" w:rsidR="00BA6999" w:rsidRDefault="00000000">
            <w:pPr>
              <w:spacing w:after="0"/>
            </w:pPr>
            <w:r>
              <w:rPr>
                <w:b/>
                <w:color w:val="5B6B7D"/>
              </w:rPr>
              <w:t>End-of-Semester Ceremony; All-Faculty Seminar</w:t>
            </w:r>
          </w:p>
        </w:tc>
        <w:tc>
          <w:tcPr>
            <w:tcW w:w="2300" w:type="dxa"/>
            <w:shd w:val="clear" w:color="auto" w:fill="E7EAF0"/>
            <w:tcMar>
              <w:top w:w="120" w:type="dxa"/>
              <w:left w:w="80" w:type="dxa"/>
              <w:bottom w:w="120" w:type="dxa"/>
              <w:right w:w="80" w:type="dxa"/>
            </w:tcMar>
            <w:vAlign w:val="center"/>
          </w:tcPr>
          <w:p w14:paraId="0B7F786B"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43B4BCE"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61D7FABF"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35BB5438" w14:textId="77777777" w:rsidR="00F96CC9" w:rsidRDefault="00F96CC9">
            <w:pPr>
              <w:spacing w:after="0"/>
            </w:pPr>
          </w:p>
        </w:tc>
      </w:tr>
    </w:tbl>
    <w:sectPr w:rsidR="005A2E9B" w:rsidSect="00034616">
      <w:footerReference w:type="default" r:id="rId10"/>
      <w:pgSz w:w="20160" w:h="12240" w:orient="landscape"/>
      <w:pgMar w:top="605" w:right="691" w:bottom="605" w:left="691"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5CDED" w14:textId="77777777" w:rsidR="005A2E9B" w:rsidRDefault="005A2E9B">
      <w:pPr>
        <w:spacing w:after="0"/>
      </w:pPr>
      <w:r>
        <w:separator/>
      </w:r>
    </w:p>
  </w:endnote>
  <w:endnote w:type="continuationSeparator" w:id="0">
    <w:p w14:paraId="7F964DC8" w14:textId="77777777" w:rsidR="005A2E9B" w:rsidRDefault="005A2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02E"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7978"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1D80"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F3B5" w14:textId="77777777" w:rsidR="005A2E9B" w:rsidRDefault="005A2E9B">
      <w:pPr>
        <w:spacing w:after="0"/>
      </w:pPr>
      <w:r>
        <w:separator/>
      </w:r>
    </w:p>
  </w:footnote>
  <w:footnote w:type="continuationSeparator" w:id="0">
    <w:p w14:paraId="084B0DB7" w14:textId="77777777" w:rsidR="005A2E9B" w:rsidRDefault="005A2E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408358">
    <w:abstractNumId w:val="8"/>
  </w:num>
  <w:num w:numId="2" w16cid:durableId="188032198">
    <w:abstractNumId w:val="6"/>
  </w:num>
  <w:num w:numId="3" w16cid:durableId="208340983">
    <w:abstractNumId w:val="5"/>
  </w:num>
  <w:num w:numId="4" w16cid:durableId="1144809278">
    <w:abstractNumId w:val="4"/>
  </w:num>
  <w:num w:numId="5" w16cid:durableId="744961288">
    <w:abstractNumId w:val="7"/>
  </w:num>
  <w:num w:numId="6" w16cid:durableId="570238894">
    <w:abstractNumId w:val="3"/>
  </w:num>
  <w:num w:numId="7" w16cid:durableId="153302083">
    <w:abstractNumId w:val="2"/>
  </w:num>
  <w:num w:numId="8" w16cid:durableId="1060401378">
    <w:abstractNumId w:val="1"/>
  </w:num>
  <w:num w:numId="9" w16cid:durableId="151900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9DC"/>
    <w:rsid w:val="0015074B"/>
    <w:rsid w:val="0029639D"/>
    <w:rsid w:val="00326F90"/>
    <w:rsid w:val="00375B75"/>
    <w:rsid w:val="003F566D"/>
    <w:rsid w:val="005A2E9B"/>
    <w:rsid w:val="00871915"/>
    <w:rsid w:val="00AA1D8D"/>
    <w:rsid w:val="00AF7F23"/>
    <w:rsid w:val="00B47730"/>
    <w:rsid w:val="00BA6999"/>
    <w:rsid w:val="00CB0664"/>
    <w:rsid w:val="00F96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C45DC"/>
  <w14:defaultImageDpi w14:val="300"/>
  <w15:docId w15:val="{4564341B-B921-4476-9EF1-0253C7BD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color w:val="25364A"/>
      <w:sz w:val="17"/>
    </w:rPr>
  </w:style>
  <w:style w:type="paragraph" w:styleId="Heading1">
    <w:name w:val="heading 1"/>
    <w:basedOn w:val="Normal"/>
    <w:next w:val="Normal"/>
    <w:link w:val="Heading1Char"/>
    <w:uiPriority w:val="9"/>
    <w:qFormat/>
    <w:rsid w:val="00FC693F"/>
    <w:pPr>
      <w:keepNext/>
      <w:keepLines/>
      <w:spacing w:after="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and Financial Decision-Making - 2026/27 Semester 1 Term Outline</dc:title>
  <dc:subject>Six-unit, 32-lesson semester structure</dc:subject>
  <dc:creator>IC Junior High Economics Department</dc:creator>
  <cp:keywords/>
  <dc:description>generated by python-docx</dc:description>
  <cp:lastModifiedBy>Samuel Oehler-Huang</cp:lastModifiedBy>
  <cp:revision>3</cp:revision>
  <dcterms:created xsi:type="dcterms:W3CDTF">2013-12-23T23:15:00Z</dcterms:created>
  <dcterms:modified xsi:type="dcterms:W3CDTF">2026-08-31T02:38:00Z</dcterms:modified>
  <cp:category/>
</cp:coreProperties>
</file>