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Mid-Development Audit Report</w:t>
      </w:r>
    </w:p>
    <w:p>
      <w:pPr>
        <w:jc w:val="center"/>
      </w:pPr>
      <w:r>
        <w:rPr>
          <w:b/>
          <w:sz w:val="28"/>
        </w:rPr>
        <w:t>ASH Inspection App (v0.2.3)</w:t>
      </w:r>
    </w:p>
    <w:p>
      <w:r>
        <w:rPr>
          <w:b/>
        </w:rPr>
        <w:t xml:space="preserve">To: </w:t>
      </w:r>
      <w:r>
        <w:t>ASH Chartered Surveyors Partners / Stakeholders</w:t>
        <w:br/>
      </w:r>
      <w:r>
        <w:rPr>
          <w:b/>
        </w:rPr>
        <w:t xml:space="preserve">From: </w:t>
      </w:r>
      <w:r>
        <w:t>Senior UK Lead Systems Auditor</w:t>
        <w:br/>
      </w:r>
      <w:r>
        <w:rPr>
          <w:b/>
        </w:rPr>
        <w:t xml:space="preserve">Date: </w:t>
      </w:r>
      <w:r>
        <w:t>13 May 2026</w:t>
        <w:br/>
      </w:r>
      <w:r>
        <w:rPr>
          <w:b/>
        </w:rPr>
        <w:t xml:space="preserve">Subject: </w:t>
      </w:r>
      <w:r>
        <w:t>Independent Software Audit &amp; Commercial Readiness Assessment</w:t>
      </w:r>
    </w:p>
    <w:p>
      <w:pPr>
        <w:pStyle w:val="Heading1"/>
      </w:pPr>
      <w:r>
        <w:t>1. Auditor’s Covering Statement: State of Play</w:t>
      </w:r>
    </w:p>
    <w:p>
      <w:r>
        <w:t>The ASH Inspection App is currently at a critical Stage Boundary. While the technical foundation is robust and the 'Offline-First' architecture is a masterclass in pragmatic engineering for the property sector, the system is not yet fit for commercial transition.</w:t>
      </w:r>
    </w:p>
    <w:p>
      <w:r>
        <w:t>The 'State of Play' is a high-functioning pilot with significant Statutory Debt. As of 12 May 2026, the Data Protection Act (Code of Practice on AI and Automated Decision-Making) Regulations 2026 came into force in the UK. This system, which utilizes AI for risk-level classification and report generation, falls directly under this new statutory track. The absence of a formal Data Protection Impact Assessment (DPIA) and signed Data Processing Agreements (DPAs) with US-based processors constitutes a high-priority 'Red Flag'.</w:t>
      </w:r>
    </w:p>
    <w:p>
      <w:r>
        <w:rPr>
          <w:b/>
        </w:rPr>
        <w:t>Readiness Assessment: AMBER</w:t>
      </w:r>
    </w:p>
    <w:p>
      <w:r>
        <w:t>Technical integrity is high, but regulatory compliance is lagging. Commercial launch is prohibited until the verification gaps identified in the system specification are closed.</w:t>
      </w:r>
    </w:p>
    <w:p>
      <w:pPr>
        <w:pStyle w:val="Heading1"/>
      </w:pPr>
      <w:r>
        <w:t>2. Phase &amp; Specification Log (PRINCE2 Framework)</w:t>
      </w:r>
    </w:p>
    <w:p>
      <w:r>
        <w:t>This project has followed a disciplined Management Stage approach, with Phase 6 (Hardening) representing the final technical push before the proposed PropOS merger.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Management 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Product Descriptions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Quality Register Status</w:t>
            </w:r>
          </w:p>
        </w:tc>
      </w:tr>
      <w:tr>
        <w:tc>
          <w:tcPr>
            <w:tcW w:type="dxa" w:w="2880"/>
          </w:tcPr>
          <w:p>
            <w:r>
              <w:t>Stage 1: Foundation</w:t>
            </w:r>
          </w:p>
        </w:tc>
        <w:tc>
          <w:tcPr>
            <w:tcW w:type="dxa" w:w="2880"/>
          </w:tcPr>
          <w:p>
            <w:r>
              <w:t>Supabase Auth, Property Schema, UI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Stage 2: Capture</w:t>
            </w:r>
          </w:p>
        </w:tc>
        <w:tc>
          <w:tcPr>
            <w:tcW w:type="dxa" w:w="2880"/>
          </w:tcPr>
          <w:p>
            <w:r>
              <w:t>SQLite local persistence, Audio/Camera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Stage 3: Intelligence</w:t>
            </w:r>
          </w:p>
        </w:tc>
        <w:tc>
          <w:tcPr>
            <w:tcW w:type="dxa" w:w="2880"/>
          </w:tcPr>
          <w:p>
            <w:r>
              <w:t>Claude Sonnet 4.6 Section Classification</w:t>
            </w:r>
          </w:p>
        </w:tc>
        <w:tc>
          <w:tcPr>
            <w:tcW w:type="dxa" w:w="2880"/>
          </w:tcPr>
          <w:p>
            <w:r>
              <w:t>Passed (Tolerance: High-Confidence)</w:t>
            </w:r>
          </w:p>
        </w:tc>
      </w:tr>
      <w:tr>
        <w:tc>
          <w:tcPr>
            <w:tcW w:type="dxa" w:w="2880"/>
          </w:tcPr>
          <w:p>
            <w:r>
              <w:t>Stage 4: Analysis</w:t>
            </w:r>
          </w:p>
        </w:tc>
        <w:tc>
          <w:tcPr>
            <w:tcW w:type="dxa" w:w="2880"/>
          </w:tcPr>
          <w:p>
            <w:r>
              <w:t>Image understanding via Claude Opus 4.6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Stage 5: Delivery</w:t>
            </w:r>
          </w:p>
        </w:tc>
        <w:tc>
          <w:tcPr>
            <w:tcW w:type="dxa" w:w="2880"/>
          </w:tcPr>
          <w:p>
            <w:r>
              <w:t>Multi-format Report Generation (DOCX/PDF/HTML)</w:t>
            </w:r>
          </w:p>
        </w:tc>
        <w:tc>
          <w:tcPr>
            <w:tcW w:type="dxa" w:w="2880"/>
          </w:tcPr>
          <w:p>
            <w:r>
              <w:t>Passed (Post-Field Test)</w:t>
            </w:r>
          </w:p>
        </w:tc>
      </w:tr>
      <w:tr>
        <w:tc>
          <w:tcPr>
            <w:tcW w:type="dxa" w:w="2880"/>
          </w:tcPr>
          <w:p>
            <w:r>
              <w:t>Stage 6: Hardening</w:t>
            </w:r>
          </w:p>
        </w:tc>
        <w:tc>
          <w:tcPr>
            <w:tcW w:type="dxa" w:w="2880"/>
          </w:tcPr>
          <w:p>
            <w:r>
              <w:t>Security JWT, Rate Limiting, CORS, Signing</w:t>
            </w:r>
          </w:p>
        </w:tc>
        <w:tc>
          <w:tcPr>
            <w:tcW w:type="dxa" w:w="2880"/>
          </w:tcPr>
          <w:p>
            <w:r>
              <w:t>Completed 13 May 2026</w:t>
            </w:r>
          </w:p>
        </w:tc>
      </w:tr>
    </w:tbl>
    <w:p>
      <w:pPr>
        <w:pStyle w:val="Heading1"/>
      </w:pPr>
      <w:r>
        <w:t>3. Process Quality Audit (Six Sigma DMAIC)</w:t>
      </w:r>
    </w:p>
    <w:p>
      <w:pPr>
        <w:pStyle w:val="Heading2"/>
      </w:pPr>
      <w:r>
        <w:t>Analyse Phase</w:t>
      </w:r>
    </w:p>
    <w:p>
      <w:r>
        <w:t>The primary 'Critical to Quality' (CTQ) metric identified is Report Accuracy vs. AI Hallucination.</w:t>
      </w:r>
    </w:p>
    <w:p>
      <w:pPr>
        <w:pStyle w:val="ListBullet"/>
      </w:pPr>
      <w:r>
        <w:t>Defect Detection: The system uses a 'Low-confidence narration' banner to flag potential AI errors for human review.</w:t>
      </w:r>
    </w:p>
    <w:p>
      <w:pPr>
        <w:pStyle w:val="ListBullet"/>
      </w:pPr>
      <w:r>
        <w:t>Process Stability: Moving Deepgram (transcription) server-side in May 2026 eliminated a critical security defect.</w:t>
      </w:r>
    </w:p>
    <w:p>
      <w:pPr>
        <w:pStyle w:val="Heading2"/>
      </w:pPr>
      <w:r>
        <w:t>Improve Phase</w:t>
      </w:r>
    </w:p>
    <w:p>
      <w:r>
        <w:t>The implementation of AI-based duplicate photo grouping in Phase 6 significantly reduces 'Process Waste' (redundant data). However, the Defect Rate for AI-generated summaries remains unmeasured; mitigation relies on fallback strings.</w:t>
      </w:r>
    </w:p>
    <w:p>
      <w:pPr>
        <w:pStyle w:val="Heading1"/>
      </w:pPr>
      <w:r>
        <w:t>4. Technical Architecture Review</w:t>
      </w:r>
    </w:p>
    <w:p>
      <w:pPr>
        <w:pStyle w:val="Heading2"/>
      </w:pPr>
      <w:r>
        <w:t>4.1 Logical Layout &amp; Database Management</w:t>
      </w:r>
    </w:p>
    <w:p>
      <w:r>
        <w:t>The architecture utilizes a Capacitor + React frontend with a Node/Express middleware acting as an AI Gateway.</w:t>
      </w:r>
    </w:p>
    <w:p>
      <w:pPr>
        <w:pStyle w:val="ListBullet"/>
      </w:pPr>
      <w:r>
        <w:t>Data Integrity: Use of Capacitor SQLite ensures atomicity during offline operations.</w:t>
      </w:r>
    </w:p>
    <w:p>
      <w:pPr>
        <w:pStyle w:val="ListBullet"/>
      </w:pPr>
      <w:r>
        <w:t>Scalability: The schema is currently Single-Tenant. Lack of a firm_id prevents multi-tenancy SaaS potential.</w:t>
      </w:r>
    </w:p>
    <w:p>
      <w:pPr>
        <w:pStyle w:val="ListBullet"/>
      </w:pPr>
      <w:r>
        <w:t>Security: Role-checking round-trips should be moved to JWT claims to improve performance at scale.</w:t>
      </w:r>
    </w:p>
    <w:p>
      <w:pPr>
        <w:pStyle w:val="Heading2"/>
      </w:pPr>
      <w:r>
        <w:t>4.2 RAG (Retrieval-Augmented Generation) Audit</w:t>
      </w:r>
    </w:p>
    <w:p>
      <w:r>
        <w:t>The system does NOT employ a technical RAG system (Vector DB/Embeddings). It uses Direct Context Injection, fetching metadata from Postgres and injecting it into prompts at call-time.</w:t>
      </w:r>
    </w:p>
    <w:p>
      <w:r>
        <w:t>Auditor’s Evaluation: This choice is superior for this specific use case. Vector-based retrieval is prone to near-miss hallucinations in structured data. Direct SQL-to-Prompt injection provides 100% grounding accuracy.</w:t>
      </w:r>
    </w:p>
    <w:p>
      <w:pPr>
        <w:pStyle w:val="Heading1"/>
      </w:pPr>
      <w:r>
        <w:t>5. Statutory, Security &amp; GDPR Compliance</w:t>
      </w:r>
    </w:p>
    <w:p>
      <w:pPr>
        <w:pStyle w:val="Heading2"/>
      </w:pPr>
      <w:r>
        <w:t>5.1 UK GDPR &amp; DPA 2026 Alignment</w:t>
      </w:r>
    </w:p>
    <w:p>
      <w:pPr>
        <w:pStyle w:val="ListBullet"/>
      </w:pPr>
      <w:r>
        <w:t>Lawful Basis: Relying on 'Legitimate Interests' without a documented LIA is legally fragile.</w:t>
      </w:r>
    </w:p>
    <w:p>
      <w:pPr>
        <w:pStyle w:val="ListBullet"/>
      </w:pPr>
      <w:r>
        <w:t>Transparency: The app must provide a 'Transparency Notice' on launch regarding AI risk classification.</w:t>
      </w:r>
    </w:p>
    <w:p>
      <w:pPr>
        <w:pStyle w:val="ListBullet"/>
      </w:pPr>
      <w:r>
        <w:t>Minimization: Sharp photo-resize and auto-deletion align with Article 5(1)(c) of the UK GDPR.</w:t>
      </w:r>
    </w:p>
    <w:p>
      <w:pPr>
        <w:pStyle w:val="Heading2"/>
      </w:pPr>
      <w:r>
        <w:t>5.2 Security &amp; Safety Guardrails</w:t>
      </w:r>
    </w:p>
    <w:p>
      <w:pPr>
        <w:pStyle w:val="ListBullet"/>
      </w:pPr>
      <w:r>
        <w:t>Encryption: HTTPS-only via androidScheme.</w:t>
      </w:r>
    </w:p>
    <w:p>
      <w:pPr>
        <w:pStyle w:val="ListBullet"/>
      </w:pPr>
      <w:r>
        <w:t>Auth: JWT verified on every route. MFA is a missing 'Hard Stop' for commercial release.</w:t>
      </w:r>
    </w:p>
    <w:p>
      <w:pPr>
        <w:pStyle w:val="ListBullet"/>
      </w:pPr>
      <w:r>
        <w:t>Safety: Lifts are never auto-marked 'N/A', preventing hallucinations in safety critical areas.</w:t>
      </w:r>
    </w:p>
    <w:p>
      <w:pPr>
        <w:pStyle w:val="Heading1"/>
      </w:pPr>
      <w:r>
        <w:t>6. Commercial Viability Assessment</w:t>
      </w:r>
    </w:p>
    <w:p>
      <w:pPr>
        <w:pStyle w:val="ListBullet"/>
      </w:pPr>
      <w:r>
        <w:t>Red Flag Areas:</w:t>
      </w:r>
    </w:p>
    <w:p>
      <w:pPr>
        <w:pStyle w:val="ListBullet2"/>
      </w:pPr>
      <w:r>
        <w:t>No signed DPAs for US-based processing of UK resident data.</w:t>
      </w:r>
    </w:p>
    <w:p>
      <w:pPr>
        <w:pStyle w:val="ListBullet2"/>
      </w:pPr>
      <w:r>
        <w:t>System on Free Tier with no verified Point-in-Time Recovery.</w:t>
      </w:r>
    </w:p>
    <w:p>
      <w:pPr>
        <w:pStyle w:val="ListBullet2"/>
      </w:pPr>
      <w:r>
        <w:t>Sole-developer responder model lacks institutional maturity.</w:t>
      </w:r>
    </w:p>
    <w:p>
      <w:pPr>
        <w:pStyle w:val="Heading2"/>
      </w:pPr>
      <w:r>
        <w:t>Final Verdict</w:t>
      </w:r>
    </w:p>
    <w:p>
      <w:r>
        <w:t>The ASH Inspection App is a technically brilliant product. To move to a Commercial Management Stage, the developer must upgrade Supabase, execute the DPIA, and implement MFA.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