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Google Sans" w:cs="Google Sans" w:eastAsia="Google Sans" w:hAnsi="Google Sans"/>
        </w:rPr>
      </w:pPr>
      <w:bookmarkStart w:colFirst="0" w:colLast="0" w:name="_goe9xzxx0fid" w:id="0"/>
      <w:bookmarkEnd w:id="0"/>
      <w:r w:rsidDel="00000000" w:rsidR="00000000" w:rsidRPr="00000000">
        <w:rPr>
          <w:rFonts w:ascii="Google Sans" w:cs="Google Sans" w:eastAsia="Google Sans" w:hAnsi="Google Sans"/>
          <w:rtl w:val="0"/>
        </w:rPr>
        <w:t xml:space="preserve">Compliance checklist</w:t>
      </w:r>
    </w:p>
    <w:p w:rsidR="00000000" w:rsidDel="00000000" w:rsidP="00000000" w:rsidRDefault="00000000" w:rsidRPr="00000000" w14:paraId="00000002">
      <w:pPr>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To review compliance regulations and standards, read the </w:t>
      </w:r>
      <w:hyperlink r:id="rId6">
        <w:r w:rsidDel="00000000" w:rsidR="00000000" w:rsidRPr="00000000">
          <w:rPr>
            <w:rFonts w:ascii="Google Sans" w:cs="Google Sans" w:eastAsia="Google Sans" w:hAnsi="Google Sans"/>
            <w:color w:val="1155cc"/>
            <w:sz w:val="24"/>
            <w:szCs w:val="24"/>
            <w:u w:val="single"/>
            <w:rtl w:val="0"/>
          </w:rPr>
          <w:t xml:space="preserve">controls, frameworks, and compliance</w:t>
        </w:r>
      </w:hyperlink>
      <w:r w:rsidDel="00000000" w:rsidR="00000000" w:rsidRPr="00000000">
        <w:rPr>
          <w:rFonts w:ascii="Google Sans" w:cs="Google Sans" w:eastAsia="Google Sans" w:hAnsi="Google Sans"/>
          <w:sz w:val="24"/>
          <w:szCs w:val="24"/>
          <w:rtl w:val="0"/>
        </w:rPr>
        <w:t xml:space="preserve"> document.</w:t>
      </w:r>
    </w:p>
    <w:p w:rsidR="00000000" w:rsidDel="00000000" w:rsidP="00000000" w:rsidRDefault="00000000" w:rsidRPr="00000000" w14:paraId="00000003">
      <w:pPr>
        <w:rPr>
          <w:rFonts w:ascii="Google Sans" w:cs="Google Sans" w:eastAsia="Google Sans" w:hAnsi="Google Sans"/>
          <w:sz w:val="24"/>
          <w:szCs w:val="24"/>
        </w:rPr>
      </w:pPr>
      <w:r w:rsidDel="00000000" w:rsidR="00000000" w:rsidRPr="00000000">
        <w:rPr>
          <w:rtl w:val="0"/>
        </w:rPr>
      </w:r>
    </w:p>
    <w:p w:rsidR="00000000" w:rsidDel="00000000" w:rsidP="00000000" w:rsidRDefault="00000000" w:rsidRPr="00000000" w14:paraId="00000004">
      <w:pPr>
        <w:numPr>
          <w:ilvl w:val="0"/>
          <w:numId w:val="5"/>
        </w:numPr>
        <w:spacing w:after="200" w:line="360" w:lineRule="auto"/>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The Federal Energy Regulatory Commission - North American Electric Reliability Corporation (FERC-NERC)</w:t>
      </w:r>
    </w:p>
    <w:p w:rsidR="00000000" w:rsidDel="00000000" w:rsidP="00000000" w:rsidRDefault="00000000" w:rsidRPr="00000000" w14:paraId="00000005">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rsidR="00000000" w:rsidDel="00000000" w:rsidP="00000000" w:rsidRDefault="00000000" w:rsidRPr="00000000" w14:paraId="00000006">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w:t>
      </w:r>
      <w:r w:rsidDel="00000000" w:rsidR="00000000" w:rsidRPr="00000000">
        <w:rPr>
          <w:rFonts w:ascii="Google Sans" w:cs="Google Sans" w:eastAsia="Google Sans" w:hAnsi="Google Sans"/>
          <w:sz w:val="24"/>
          <w:szCs w:val="24"/>
          <w:rtl w:val="0"/>
        </w:rPr>
        <w:t xml:space="preserve"> </w:t>
      </w:r>
    </w:p>
    <w:p w:rsidR="00000000" w:rsidDel="00000000" w:rsidP="00000000" w:rsidRDefault="00000000" w:rsidRPr="00000000" w14:paraId="00000007">
      <w:pPr>
        <w:numPr>
          <w:ilvl w:val="0"/>
          <w:numId w:val="3"/>
        </w:numPr>
        <w:spacing w:after="200" w:line="360" w:lineRule="auto"/>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General Data Protection Regulation (GDPR)</w:t>
      </w:r>
    </w:p>
    <w:p w:rsidR="00000000" w:rsidDel="00000000" w:rsidP="00000000" w:rsidRDefault="00000000" w:rsidRPr="00000000" w14:paraId="00000008">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rsidR="00000000" w:rsidDel="00000000" w:rsidP="00000000" w:rsidRDefault="00000000" w:rsidRPr="00000000" w14:paraId="00000009">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 </w:t>
      </w:r>
      <w:r w:rsidDel="00000000" w:rsidR="00000000" w:rsidRPr="00000000">
        <w:rPr>
          <w:rFonts w:ascii="Google Sans" w:cs="Google Sans" w:eastAsia="Google Sans" w:hAnsi="Google Sans"/>
          <w:sz w:val="24"/>
          <w:szCs w:val="24"/>
          <w:rtl w:val="0"/>
        </w:rPr>
        <w:t xml:space="preserve">The organization needs to adhere to GDPR guidelines because we conduct and collect personal data from customers abroad, which include the E.U.</w:t>
      </w:r>
      <w:r w:rsidDel="00000000" w:rsidR="00000000" w:rsidRPr="00000000">
        <w:rPr>
          <w:rtl w:val="0"/>
        </w:rPr>
      </w:r>
    </w:p>
    <w:p w:rsidR="00000000" w:rsidDel="00000000" w:rsidP="00000000" w:rsidRDefault="00000000" w:rsidRPr="00000000" w14:paraId="0000000A">
      <w:pPr>
        <w:numPr>
          <w:ilvl w:val="0"/>
          <w:numId w:val="2"/>
        </w:numPr>
        <w:spacing w:after="200" w:line="360" w:lineRule="auto"/>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Payment Card Industry Data Security Standard (PCI DSS)</w:t>
      </w:r>
    </w:p>
    <w:p w:rsidR="00000000" w:rsidDel="00000000" w:rsidP="00000000" w:rsidRDefault="00000000" w:rsidRPr="00000000" w14:paraId="0000000B">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PCI DSS is an international security standard meant to ensure that organizations storing, accepting, processing, and transmitting credit card information do so in a secure environment. </w:t>
      </w:r>
    </w:p>
    <w:p w:rsidR="00000000" w:rsidDel="00000000" w:rsidP="00000000" w:rsidRDefault="00000000" w:rsidRPr="00000000" w14:paraId="0000000C">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 </w:t>
      </w:r>
      <w:r w:rsidDel="00000000" w:rsidR="00000000" w:rsidRPr="00000000">
        <w:rPr>
          <w:rFonts w:ascii="Google Sans" w:cs="Google Sans" w:eastAsia="Google Sans" w:hAnsi="Google Sans"/>
          <w:sz w:val="24"/>
          <w:szCs w:val="24"/>
          <w:rtl w:val="0"/>
        </w:rPr>
        <w:t xml:space="preserve">The organization needs to adhere to PCI DSS because we store, accept,  process, and transmit customer’s credit card information in person, and online.</w:t>
      </w:r>
      <w:r w:rsidDel="00000000" w:rsidR="00000000" w:rsidRPr="00000000">
        <w:rPr>
          <w:rtl w:val="0"/>
        </w:rPr>
      </w:r>
    </w:p>
    <w:p w:rsidR="00000000" w:rsidDel="00000000" w:rsidP="00000000" w:rsidRDefault="00000000" w:rsidRPr="00000000" w14:paraId="0000000D">
      <w:pPr>
        <w:numPr>
          <w:ilvl w:val="0"/>
          <w:numId w:val="1"/>
        </w:numPr>
        <w:spacing w:after="200" w:line="360" w:lineRule="auto"/>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The Health Insurance Portability and Accountability Act (HIPAA)</w:t>
      </w:r>
    </w:p>
    <w:p w:rsidR="00000000" w:rsidDel="00000000" w:rsidP="00000000" w:rsidRDefault="00000000" w:rsidRPr="00000000" w14:paraId="0000000E">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HIPAA is a federal law established in 1996 to protect U.S. patients’ health information. This law prohibits patient information from being shared without their consent. Organizations have a legal obligation to inform patients of a breach. </w:t>
      </w:r>
    </w:p>
    <w:p w:rsidR="00000000" w:rsidDel="00000000" w:rsidP="00000000" w:rsidRDefault="00000000" w:rsidRPr="00000000" w14:paraId="0000000F">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 </w:t>
      </w:r>
      <w:r w:rsidDel="00000000" w:rsidR="00000000" w:rsidRPr="00000000">
        <w:rPr>
          <w:rtl w:val="0"/>
        </w:rPr>
      </w:r>
    </w:p>
    <w:p w:rsidR="00000000" w:rsidDel="00000000" w:rsidP="00000000" w:rsidRDefault="00000000" w:rsidRPr="00000000" w14:paraId="00000010">
      <w:pPr>
        <w:numPr>
          <w:ilvl w:val="0"/>
          <w:numId w:val="4"/>
        </w:numPr>
        <w:spacing w:after="200" w:line="360" w:lineRule="auto"/>
        <w:ind w:left="720" w:hanging="360"/>
        <w:rPr>
          <w:rFonts w:ascii="Google Sans" w:cs="Google Sans" w:eastAsia="Google Sans" w:hAnsi="Google Sans"/>
          <w:b w:val="1"/>
          <w:sz w:val="24"/>
          <w:szCs w:val="24"/>
        </w:rPr>
      </w:pPr>
      <w:r w:rsidDel="00000000" w:rsidR="00000000" w:rsidRPr="00000000">
        <w:rPr>
          <w:rFonts w:ascii="Google Sans" w:cs="Google Sans" w:eastAsia="Google Sans" w:hAnsi="Google Sans"/>
          <w:b w:val="1"/>
          <w:sz w:val="24"/>
          <w:szCs w:val="24"/>
          <w:rtl w:val="0"/>
        </w:rPr>
        <w:t xml:space="preserve">System and Organizations Controls (SOC type 1, SOC type 2)</w:t>
      </w:r>
    </w:p>
    <w:p w:rsidR="00000000" w:rsidDel="00000000" w:rsidP="00000000" w:rsidRDefault="00000000" w:rsidRPr="00000000" w14:paraId="00000011">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sz w:val="24"/>
          <w:szCs w:val="24"/>
          <w:rtl w:val="0"/>
        </w:rPr>
        <w:t xml:space="preserve">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rsidR="00000000" w:rsidDel="00000000" w:rsidP="00000000" w:rsidRDefault="00000000" w:rsidRPr="00000000" w14:paraId="00000012">
      <w:pPr>
        <w:spacing w:after="200" w:line="360" w:lineRule="auto"/>
        <w:ind w:left="720" w:firstLine="0"/>
        <w:rPr>
          <w:rFonts w:ascii="Google Sans" w:cs="Google Sans" w:eastAsia="Google Sans" w:hAnsi="Google Sans"/>
          <w:sz w:val="24"/>
          <w:szCs w:val="24"/>
        </w:rPr>
      </w:pPr>
      <w:r w:rsidDel="00000000" w:rsidR="00000000" w:rsidRPr="00000000">
        <w:rPr>
          <w:rFonts w:ascii="Google Sans" w:cs="Google Sans" w:eastAsia="Google Sans" w:hAnsi="Google Sans"/>
          <w:b w:val="1"/>
          <w:sz w:val="24"/>
          <w:szCs w:val="24"/>
          <w:rtl w:val="0"/>
        </w:rPr>
        <w:t xml:space="preserve">Explanation: </w:t>
      </w:r>
      <w:r w:rsidDel="00000000" w:rsidR="00000000" w:rsidRPr="00000000">
        <w:rPr>
          <w:rFonts w:ascii="Google Sans" w:cs="Google Sans" w:eastAsia="Google Sans" w:hAnsi="Google Sans"/>
          <w:sz w:val="24"/>
          <w:szCs w:val="24"/>
          <w:rtl w:val="0"/>
        </w:rPr>
        <w:t xml:space="preserve">The organization needs to adhere to System and Organizations Controls because we do </w:t>
      </w:r>
      <w:r w:rsidDel="00000000" w:rsidR="00000000" w:rsidRPr="00000000">
        <w:rPr>
          <w:rtl w:val="0"/>
        </w:rPr>
        <w:t xml:space="preserve">not have all of the </w:t>
      </w:r>
      <w:r w:rsidDel="00000000" w:rsidR="00000000" w:rsidRPr="00000000">
        <w:rPr>
          <w:rFonts w:ascii="Google Sans" w:cs="Google Sans" w:eastAsia="Google Sans" w:hAnsi="Google Sans"/>
          <w:sz w:val="24"/>
          <w:szCs w:val="24"/>
          <w:rtl w:val="0"/>
        </w:rPr>
        <w:t xml:space="preserve">necessary controls in place, and needs to establish and enforce appropriate user access for internal and external (third-party vendor) personnel to mitigate risk and ensure data safety.</w:t>
      </w:r>
    </w:p>
    <w:p w:rsidR="00000000" w:rsidDel="00000000" w:rsidP="00000000" w:rsidRDefault="00000000" w:rsidRPr="00000000" w14:paraId="00000013">
      <w:pPr>
        <w:spacing w:after="200" w:line="360" w:lineRule="auto"/>
        <w:ind w:left="720" w:firstLine="0"/>
        <w:rPr>
          <w:rFonts w:ascii="Google Sans" w:cs="Google Sans" w:eastAsia="Google Sans" w:hAnsi="Google San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foundations-of-cybersecurity/supplement/xu4pr/controls-frameworks-and-complia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