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맑은 고딕" w:hAnsi="맑은 고딕" w:eastAsia="맑은 고딕"/>
          <w:b/>
          <w:color w:val="1F497D"/>
          <w:sz w:val="32"/>
        </w:rPr>
        <w:t>연구 방법 (Methods)</w:t>
      </w:r>
    </w:p>
    <w:p>
      <w:pPr>
        <w:spacing w:after="400"/>
        <w:jc w:val="center"/>
      </w:pPr>
      <w:r>
        <w:rPr>
          <w:rFonts w:ascii="맑은 고딕" w:hAnsi="맑은 고딕" w:eastAsia="맑은 고딕"/>
          <w:b w:val="0"/>
          <w:color w:val="595959"/>
          <w:sz w:val="22"/>
        </w:rPr>
        <w:t>Graph Attention Network와 Random Walk with Restart를 결합한 이종 생물학적 네트워크 기반 핵심 노드 중요도 추론 (GAT-RWR)</w:t>
      </w:r>
    </w:p>
    <w:p/>
    <w:p>
      <w:pPr>
        <w:spacing w:before="360" w:after="120"/>
      </w:pPr>
      <w:r>
        <w:rPr>
          <w:rFonts w:ascii="맑은 고딕" w:hAnsi="맑은 고딕" w:eastAsia="맑은 고딕"/>
          <w:b/>
          <w:color w:val="1F497D"/>
          <w:sz w:val="28"/>
        </w:rPr>
        <w:t>1. 연구 개요</w:t>
      </w:r>
    </w:p>
    <w:p>
      <w:pPr>
        <w:spacing w:after="80" w:line="400" w:lineRule="exact"/>
        <w:ind w:firstLine="397"/>
      </w:pPr>
      <w:r>
        <w:rPr>
          <w:rFonts w:ascii="맑은 고딕" w:hAnsi="맑은 고딕" w:eastAsia="맑은 고딕"/>
          <w:b w:val="0"/>
          <w:sz w:val="21"/>
        </w:rPr>
        <w:t>본 연구에서는 이종(heterogeneous) 생물학적 네트워크 위에서 Graph Attention Network(GAT)와 Random Walk with Restart(RWR)를 결합한 GAT-RWR 프레임워크를 제안한다. 기존의 단순 엣지 가중치 기반 RWR은 네트워크의 전역적 구조 맥락(global context)을 반영하지 못하는 한계가 있다. 이를 극복하기 위해 GAT로 학습된 attention weight를 RWR의 전이 확률에 통합함으로써, 구조적 중요도를 반영한 방문 확률 기반 노드 중요도를 추론하였다.</w:t>
      </w:r>
    </w:p>
    <w:p>
      <w:pPr>
        <w:spacing w:after="80" w:line="400" w:lineRule="exact"/>
        <w:ind w:firstLine="397"/>
      </w:pPr>
      <w:r>
        <w:rPr>
          <w:rFonts w:ascii="맑은 고딕" w:hAnsi="맑은 고딕" w:eastAsia="맑은 고딕"/>
          <w:b w:val="0"/>
          <w:sz w:val="21"/>
        </w:rPr>
        <w:t>제안 방법의 전체 파이프라인은 다음과 같이 구성된다: (1) 이종 생물학적 데이터 로드 및 가중 네트워크 구성, (2) 노드 특징 행렬 및 엣지 특징 행렬 구성, (3) Edge-Aware GAT 자기지도 학습(Link Prediction), (4) 학습된 attention weight를 이용한 전이 확률 캐시 구성, (5) 멀티프로세싱 RWR 시뮬레이션, (6) 노드 중요도 산출 및 결과 저장.</w:t>
      </w:r>
    </w:p>
    <w:p>
      <w:pPr>
        <w:spacing w:before="360" w:after="120"/>
      </w:pPr>
      <w:r>
        <w:rPr>
          <w:rFonts w:ascii="맑은 고딕" w:hAnsi="맑은 고딕" w:eastAsia="맑은 고딕"/>
          <w:b/>
          <w:color w:val="1F497D"/>
          <w:sz w:val="28"/>
        </w:rPr>
        <w:t>2. 데이터 수집 및 전처리</w:t>
      </w:r>
    </w:p>
    <w:p>
      <w:pPr>
        <w:spacing w:after="80" w:line="400" w:lineRule="exact"/>
        <w:ind w:firstLine="397"/>
      </w:pPr>
      <w:r>
        <w:rPr>
          <w:rFonts w:ascii="맑은 고딕" w:hAnsi="맑은 고딕" w:eastAsia="맑은 고딕"/>
          <w:b w:val="0"/>
          <w:sz w:val="21"/>
        </w:rPr>
        <w:t>본 연구에서는 세 종류의 이종 생물학적 데이터를 통합하여 활용하였다. 모든 데이터는 TSV 형식으로 저장되어 있으며, GGA(_A_), PPI(_B_), DGT(_C_)의 세 파일로 구성된다.</w:t>
      </w:r>
    </w:p>
    <w:p>
      <w:pPr>
        <w:spacing w:before="200" w:after="120"/>
      </w:pPr>
      <w:r>
        <w:rPr>
          <w:rFonts w:ascii="맑은 고딕" w:hAnsi="맑은 고딕" w:eastAsia="맑은 고딕"/>
          <w:b/>
          <w:color w:val="2E74B5"/>
          <w:sz w:val="24"/>
        </w:rPr>
        <w:t>2.1 유전자-유전자 연관성 (GGA)</w:t>
      </w:r>
    </w:p>
    <w:p>
      <w:pPr>
        <w:spacing w:after="80" w:line="400" w:lineRule="exact"/>
      </w:pPr>
      <w:r>
        <w:rPr>
          <w:rFonts w:ascii="맑은 고딕" w:hAnsi="맑은 고딕" w:eastAsia="맑은 고딕"/>
          <w:b w:val="0"/>
          <w:sz w:val="21"/>
        </w:rPr>
        <w:t>TMPRSS2-ERG 융합 유전자와의 절대 피어슨 상관계수(absPearsonR)를 기반으로 한 유전자-유전자 연관성(gene-gene association, GGA) 데이터를 사용하였다. GGA 데이터에 포함된 유전자 집합(gene_set)을 전체 분석의 기준 집합으로 설정하였으며, ERG를 앵커 노드로 하여 star 구조로 연결된다.</w:t>
      </w:r>
    </w:p>
    <w:p>
      <w:pPr>
        <w:spacing w:before="200" w:after="120"/>
      </w:pPr>
      <w:r>
        <w:rPr>
          <w:rFonts w:ascii="맑은 고딕" w:hAnsi="맑은 고딕" w:eastAsia="맑은 고딕"/>
          <w:b/>
          <w:color w:val="2E74B5"/>
          <w:sz w:val="24"/>
        </w:rPr>
        <w:t>2.2 단백질-단백질 상호작용 (PPI)</w:t>
      </w:r>
    </w:p>
    <w:p>
      <w:pPr>
        <w:spacing w:after="80" w:line="400" w:lineRule="exact"/>
      </w:pPr>
      <w:r>
        <w:rPr>
          <w:rFonts w:ascii="맑은 고딕" w:hAnsi="맑은 고딕" w:eastAsia="맑은 고딕"/>
          <w:b w:val="0"/>
          <w:sz w:val="21"/>
        </w:rPr>
        <w:t>STRING 데이터베이스(v11 이상)로부터 수집된 인간 단백질 간 상호작용 데이터를 사용하였다. gene1 또는 gene2 중 하나 이상이 GGA 기준 집합에 포함된 상호작용만을 필터링하였다.</w:t>
      </w:r>
    </w:p>
    <w:p>
      <w:pPr>
        <w:spacing w:before="200" w:after="120"/>
      </w:pPr>
      <w:r>
        <w:rPr>
          <w:rFonts w:ascii="맑은 고딕" w:hAnsi="맑은 고딕" w:eastAsia="맑은 고딕"/>
          <w:b/>
          <w:color w:val="2E74B5"/>
          <w:sz w:val="24"/>
        </w:rPr>
        <w:t>2.3 약물-유전자 표적 (DGT)</w:t>
      </w:r>
    </w:p>
    <w:p>
      <w:pPr>
        <w:spacing w:after="80" w:line="400" w:lineRule="exact"/>
      </w:pPr>
      <w:r>
        <w:rPr>
          <w:rFonts w:ascii="맑은 고딕" w:hAnsi="맑은 고딕" w:eastAsia="맑은 고딕"/>
          <w:b w:val="0"/>
          <w:sz w:val="21"/>
        </w:rPr>
        <w:t>CIViC 데이터베이스로부터 수집된 약물 감수성 근거 기반 약물-유전자 표적 데이터를 사용하였다. final_target_gene이 존재하는 경우 이를 우선 사용하고, 그렇지 않은 경우 target_gene을 대체 사용하였다.</w:t>
      </w:r>
    </w:p>
    <w:p>
      <w:pPr>
        <w:spacing w:before="200" w:after="120"/>
      </w:pPr>
      <w:r>
        <w:rPr>
          <w:rFonts w:ascii="맑은 고딕" w:hAnsi="맑은 고딕" w:eastAsia="맑은 고딕"/>
          <w:b/>
          <w:color w:val="2E74B5"/>
          <w:sz w:val="24"/>
        </w:rPr>
        <w:t>2.4 엣지 가중치 정규화 (Z-score → Sigmoid)</w:t>
      </w:r>
    </w:p>
    <w:p>
      <w:pPr>
        <w:spacing w:after="80" w:line="400" w:lineRule="exact"/>
      </w:pPr>
      <w:r>
        <w:rPr>
          <w:rFonts w:ascii="맑은 고딕" w:hAnsi="맑은 고딕" w:eastAsia="맑은 고딕"/>
          <w:b w:val="0"/>
          <w:sz w:val="21"/>
        </w:rPr>
        <w:t>이종 데이터 소스 간 측정 척도 차이를 제거하기 위해, 각 데이터 소스 내부에서 독립적으로 Z-score 표준화 후 Sigmoid 변환을 적용하는 2단계 정규화를 수행하였다.</w:t>
      </w:r>
    </w:p>
    <w:p>
      <w:pPr>
        <w:spacing w:before="120" w:after="120"/>
        <w:jc w:val="center"/>
      </w:pPr>
      <w:r>
        <w:rPr>
          <w:rFonts w:ascii="Courier New" w:hAnsi="Courier New" w:eastAsia="Courier New"/>
          <w:b/>
          <w:color w:val="1F497D"/>
          <w:sz w:val="21"/>
        </w:rPr>
        <w:t>z = (x - mu) / sigma,    p = 1 / (1 + exp(-z))</w:t>
      </w:r>
    </w:p>
    <w:p>
      <w:pPr>
        <w:spacing w:after="80" w:line="400" w:lineRule="exact"/>
      </w:pPr>
      <w:r>
        <w:rPr>
          <w:rFonts w:ascii="맑은 고딕" w:hAnsi="맑은 고딕" w:eastAsia="맑은 고딕"/>
          <w:b w:val="0"/>
          <w:sz w:val="21"/>
        </w:rPr>
        <w:t>이를 통해 각 소스 내의 분포 정보를 유지하면서 0~1 범위의 확률값으로 변환하였다. GGA와 PPI 데이터에서 동일한 유전자 쌍이 중복으로 나타나는 경우, 신뢰도 가중 평균(GGA=0.4, PPI=0.6)으로 병합하였다.</w:t>
      </w:r>
    </w:p>
    <w:p>
      <w:pPr>
        <w:spacing w:before="120" w:after="120"/>
        <w:jc w:val="center"/>
      </w:pPr>
      <w:r>
        <w:rPr>
          <w:rFonts w:ascii="Courier New" w:hAnsi="Courier New" w:eastAsia="Courier New"/>
          <w:b/>
          <w:color w:val="1F497D"/>
          <w:sz w:val="21"/>
        </w:rPr>
        <w:t>w_merged = 0.4 * w_GGA  +  0.6 * w_PPI</w:t>
      </w:r>
    </w:p>
    <w:p>
      <w:pPr>
        <w:spacing w:before="360" w:after="120"/>
      </w:pPr>
      <w:r>
        <w:rPr>
          <w:rFonts w:ascii="맑은 고딕" w:hAnsi="맑은 고딕" w:eastAsia="맑은 고딕"/>
          <w:b/>
          <w:color w:val="1F497D"/>
          <w:sz w:val="28"/>
        </w:rPr>
        <w:t>3. 이종 생물학적 네트워크 구성</w:t>
      </w:r>
    </w:p>
    <w:p>
      <w:pPr>
        <w:spacing w:after="80" w:line="400" w:lineRule="exact"/>
        <w:ind w:firstLine="397"/>
      </w:pPr>
      <w:r>
        <w:rPr>
          <w:rFonts w:ascii="맑은 고딕" w:hAnsi="맑은 고딕" w:eastAsia="맑은 고딕"/>
          <w:b w:val="0"/>
          <w:sz w:val="21"/>
        </w:rPr>
        <w:t>세 데이터 소스를 통합하여 무방향 가중 이종 그래프 G = (V, E)를 구성하였다. 노드 집합 V는 유전자 노드(18,001개)와 약물 노드(210개)로 구성되며(|V| = 18,211), 엣지 집합 E는 GGA, PPI, DGT 엣지를 포함한다(|E| = 288,336).</w:t>
      </w:r>
    </w:p>
    <w:p>
      <w:pPr>
        <w:spacing w:after="80" w:line="400" w:lineRule="exact"/>
      </w:pPr>
      <w:r>
        <w:rPr>
          <w:rFonts w:ascii="맑은 고딕" w:hAnsi="맑은 고딕" w:eastAsia="맑은 고딕"/>
          <w:b w:val="0"/>
          <w:sz w:val="21"/>
        </w:rPr>
        <w:t>각 엣지에는 다음의 속성이 저장된다.</w:t>
      </w:r>
    </w:p>
    <w:p>
      <w:pPr>
        <w:pStyle w:val="ListBullet"/>
        <w:spacing w:after="60"/>
        <w:ind w:left="567"/>
      </w:pPr>
      <w:r>
        <w:rPr>
          <w:rFonts w:ascii="맑은 고딕" w:hAnsi="맑은 고딕" w:eastAsia="맑은 고딕"/>
          <w:b w:val="0"/>
          <w:sz w:val="21"/>
        </w:rPr>
        <w:t>weight: Z-score → Sigmoid 정규화된 엣지 가중치</w:t>
      </w:r>
    </w:p>
    <w:p>
      <w:pPr>
        <w:pStyle w:val="ListBullet"/>
        <w:spacing w:after="60"/>
        <w:ind w:left="567"/>
      </w:pPr>
      <w:r>
        <w:rPr>
          <w:rFonts w:ascii="맑은 고딕" w:hAnsi="맑은 고딕" w:eastAsia="맑은 고딕"/>
          <w:b w:val="0"/>
          <w:sz w:val="21"/>
        </w:rPr>
        <w:t>edge_type: 'gga', 'ppi', 'gga+ppi', 'dgt' 중 하나</w:t>
      </w:r>
    </w:p>
    <w:p>
      <w:pPr>
        <w:spacing w:before="360" w:after="120"/>
      </w:pPr>
      <w:r>
        <w:rPr>
          <w:rFonts w:ascii="맑은 고딕" w:hAnsi="맑은 고딕" w:eastAsia="맑은 고딕"/>
          <w:b/>
          <w:color w:val="1F497D"/>
          <w:sz w:val="28"/>
        </w:rPr>
        <w:t>4. 노드 및 엣지 특징 행렬 구성</w:t>
      </w:r>
    </w:p>
    <w:p>
      <w:pPr>
        <w:spacing w:after="80" w:line="400" w:lineRule="exact"/>
        <w:ind w:firstLine="397"/>
      </w:pPr>
      <w:r>
        <w:rPr>
          <w:rFonts w:ascii="맑은 고딕" w:hAnsi="맑은 고딕" w:eastAsia="맑은 고딕"/>
          <w:b w:val="0"/>
          <w:sz w:val="21"/>
        </w:rPr>
        <w:t>GAT 학습을 위해 그래프를 PyTorch Tensor 형태로 변환하였다. 노드 특징 행렬 X ∈ R^(N × 8)과 엣지 특징 행렬 E_feat ∈ R^(M × 5)를 구성하였다.</w:t>
      </w:r>
    </w:p>
    <w:p>
      <w:pPr>
        <w:spacing w:before="200" w:after="120"/>
      </w:pPr>
      <w:r>
        <w:rPr>
          <w:rFonts w:ascii="맑은 고딕" w:hAnsi="맑은 고딕" w:eastAsia="맑은 고딕"/>
          <w:b/>
          <w:color w:val="2E74B5"/>
          <w:sz w:val="24"/>
        </w:rPr>
        <w:t>4.1 노드 특징 행렬 X (N × 8)</w:t>
      </w:r>
    </w:p>
    <w:p>
      <w:pPr>
        <w:spacing w:after="80" w:line="400" w:lineRule="exact"/>
      </w:pPr>
      <w:r>
        <w:rPr>
          <w:rFonts w:ascii="맑은 고딕" w:hAnsi="맑은 고딕" w:eastAsia="맑은 고딕"/>
          <w:b w:val="0"/>
          <w:sz w:val="21"/>
        </w:rPr>
        <w:t>각 노드 v에 대해 다음 8가지 특징을 추출하여 행렬을 구성하였다.</w:t>
      </w:r>
    </w:p>
    <w:p>
      <w:pPr>
        <w:pStyle w:val="ListBullet"/>
        <w:spacing w:after="60"/>
        <w:ind w:left="567"/>
      </w:pPr>
      <w:r>
        <w:rPr>
          <w:rFonts w:ascii="맑은 고딕" w:hAnsi="맑은 고딕" w:eastAsia="맑은 고딕"/>
          <w:b w:val="0"/>
          <w:sz w:val="21"/>
        </w:rPr>
        <w:t>x_0: node_type_gene — 유전자 노드이면 1.0, 아니면 0.0</w:t>
      </w:r>
    </w:p>
    <w:p>
      <w:pPr>
        <w:pStyle w:val="ListBullet"/>
        <w:spacing w:after="60"/>
        <w:ind w:left="567"/>
      </w:pPr>
      <w:r>
        <w:rPr>
          <w:rFonts w:ascii="맑은 고딕" w:hAnsi="맑은 고딕" w:eastAsia="맑은 고딕"/>
          <w:b w:val="0"/>
          <w:sz w:val="21"/>
        </w:rPr>
        <w:t>x_1: node_type_drug — 약물 노드이면 1.0, 아니면 0.0</w:t>
      </w:r>
    </w:p>
    <w:p>
      <w:pPr>
        <w:pStyle w:val="ListBullet"/>
        <w:spacing w:after="60"/>
        <w:ind w:left="567"/>
      </w:pPr>
      <w:r>
        <w:rPr>
          <w:rFonts w:ascii="맑은 고딕" w:hAnsi="맑은 고딕" w:eastAsia="맑은 고딕"/>
          <w:b w:val="0"/>
          <w:sz w:val="21"/>
        </w:rPr>
        <w:t>x_2: log_degree — log(1 + degree(v))</w:t>
      </w:r>
    </w:p>
    <w:p>
      <w:pPr>
        <w:pStyle w:val="ListBullet"/>
        <w:spacing w:after="60"/>
        <w:ind w:left="567"/>
      </w:pPr>
      <w:r>
        <w:rPr>
          <w:rFonts w:ascii="맑은 고딕" w:hAnsi="맑은 고딕" w:eastAsia="맑은 고딕"/>
          <w:b w:val="0"/>
          <w:sz w:val="21"/>
        </w:rPr>
        <w:t>x_3: gga_edge_ratio — GGA 엣지 수 / 전체 엣지 수</w:t>
      </w:r>
    </w:p>
    <w:p>
      <w:pPr>
        <w:pStyle w:val="ListBullet"/>
        <w:spacing w:after="60"/>
        <w:ind w:left="567"/>
      </w:pPr>
      <w:r>
        <w:rPr>
          <w:rFonts w:ascii="맑은 고딕" w:hAnsi="맑은 고딕" w:eastAsia="맑은 고딕"/>
          <w:b w:val="0"/>
          <w:sz w:val="21"/>
        </w:rPr>
        <w:t>x_4: ppi_edge_ratio — PPI 엣지 수 / 전체 엣지 수</w:t>
      </w:r>
    </w:p>
    <w:p>
      <w:pPr>
        <w:pStyle w:val="ListBullet"/>
        <w:spacing w:after="60"/>
        <w:ind w:left="567"/>
      </w:pPr>
      <w:r>
        <w:rPr>
          <w:rFonts w:ascii="맑은 고딕" w:hAnsi="맑은 고딕" w:eastAsia="맑은 고딕"/>
          <w:b w:val="0"/>
          <w:sz w:val="21"/>
        </w:rPr>
        <w:t>x_5: dgt_edge_ratio — DGT 엣지 수 / 전체 엣지 수</w:t>
      </w:r>
    </w:p>
    <w:p>
      <w:pPr>
        <w:pStyle w:val="ListBullet"/>
        <w:spacing w:after="60"/>
        <w:ind w:left="567"/>
      </w:pPr>
      <w:r>
        <w:rPr>
          <w:rFonts w:ascii="맑은 고딕" w:hAnsi="맑은 고딕" w:eastAsia="맑은 고딕"/>
          <w:b w:val="0"/>
          <w:sz w:val="21"/>
        </w:rPr>
        <w:t>x_6: mean_edge_weight — 이웃 엣지 가중치 평균</w:t>
      </w:r>
    </w:p>
    <w:p>
      <w:pPr>
        <w:pStyle w:val="ListBullet"/>
        <w:spacing w:after="60"/>
        <w:ind w:left="567"/>
      </w:pPr>
      <w:r>
        <w:rPr>
          <w:rFonts w:ascii="맑은 고딕" w:hAnsi="맑은 고딕" w:eastAsia="맑은 고딕"/>
          <w:b w:val="0"/>
          <w:sz w:val="21"/>
        </w:rPr>
        <w:t>x_7: max_edge_weight — 이웃 엣지 가중치 최대값</w:t>
      </w:r>
    </w:p>
    <w:p>
      <w:pPr>
        <w:spacing w:before="200" w:after="120"/>
      </w:pPr>
      <w:r>
        <w:rPr>
          <w:rFonts w:ascii="맑은 고딕" w:hAnsi="맑은 고딕" w:eastAsia="맑은 고딕"/>
          <w:b/>
          <w:color w:val="2E74B5"/>
          <w:sz w:val="24"/>
        </w:rPr>
        <w:t>4.2 엣지 특징 행렬 E_feat (M × 5)</w:t>
      </w:r>
    </w:p>
    <w:p>
      <w:pPr>
        <w:spacing w:after="80" w:line="400" w:lineRule="exact"/>
      </w:pPr>
      <w:r>
        <w:rPr>
          <w:rFonts w:ascii="맑은 고딕" w:hAnsi="맑은 고딕" w:eastAsia="맑은 고딕"/>
          <w:b w:val="0"/>
          <w:sz w:val="21"/>
        </w:rPr>
        <w:t>각 엣지 e = (i, j)에 대해 다음 5가지 특징을 추출하였다.</w:t>
      </w:r>
    </w:p>
    <w:p>
      <w:pPr>
        <w:pStyle w:val="ListBullet"/>
        <w:spacing w:after="60"/>
        <w:ind w:left="567"/>
      </w:pPr>
      <w:r>
        <w:rPr>
          <w:rFonts w:ascii="맑은 고딕" w:hAnsi="맑은 고딕" w:eastAsia="맑은 고딕"/>
          <w:b w:val="0"/>
          <w:sz w:val="21"/>
        </w:rPr>
        <w:t>e_0~e_3: 엣지 타입 원-핫 인코딩 [gga, ppi, gga+ppi, dgt]</w:t>
      </w:r>
    </w:p>
    <w:p>
      <w:pPr>
        <w:pStyle w:val="ListBullet"/>
        <w:spacing w:after="60"/>
        <w:ind w:left="567"/>
      </w:pPr>
      <w:r>
        <w:rPr>
          <w:rFonts w:ascii="맑은 고딕" w:hAnsi="맑은 고딕" w:eastAsia="맑은 고딕"/>
          <w:b w:val="0"/>
          <w:sz w:val="21"/>
        </w:rPr>
        <w:t>e_4: 정규화된 엣지 가중치 (Z-score → Sigmoid 변환값)</w:t>
      </w:r>
    </w:p>
    <w:p>
      <w:pPr>
        <w:spacing w:after="80" w:line="400" w:lineRule="exact"/>
      </w:pPr>
      <w:r>
        <w:rPr>
          <w:rFonts w:ascii="맑은 고딕" w:hAnsi="맑은 고딕" w:eastAsia="맑은 고딕"/>
          <w:b w:val="0"/>
          <w:sz w:val="21"/>
        </w:rPr>
        <w:t>엣지 특징은 양방향(i→j, j→i)으로 복제하여 유향 그래프에서의 방향별 attention 학습이 가능하도록 하였다.</w:t>
      </w:r>
    </w:p>
    <w:p>
      <w:pPr>
        <w:spacing w:before="360" w:after="120"/>
      </w:pPr>
      <w:r>
        <w:rPr>
          <w:rFonts w:ascii="맑은 고딕" w:hAnsi="맑은 고딕" w:eastAsia="맑은 고딕"/>
          <w:b/>
          <w:color w:val="1F497D"/>
          <w:sz w:val="28"/>
        </w:rPr>
        <w:t>5. Edge-Aware Graph Attention Network (GAT) 아키텍처</w:t>
      </w:r>
    </w:p>
    <w:p>
      <w:pPr>
        <w:spacing w:after="80" w:line="400" w:lineRule="exact"/>
        <w:ind w:firstLine="397"/>
      </w:pPr>
      <w:r>
        <w:rPr>
          <w:rFonts w:ascii="맑은 고딕" w:hAnsi="맑은 고딕" w:eastAsia="맑은 고딕"/>
          <w:b w:val="0"/>
          <w:sz w:val="21"/>
        </w:rPr>
        <w:t>본 연구에서는 엣지 특징을 직접 attention 계산에 통합하는 Edge-Aware GAT를 설계하였다. PyTorch Geometric이나 DGL과 같은 외부 GNN 라이브러리 없이 순수 PyTorch로 구현하여 환경 의존성을 최소화하였다.</w:t>
      </w:r>
    </w:p>
    <w:p>
      <w:pPr>
        <w:spacing w:before="200" w:after="120"/>
      </w:pPr>
      <w:r>
        <w:rPr>
          <w:rFonts w:ascii="맑은 고딕" w:hAnsi="맑은 고딕" w:eastAsia="맑은 고딕"/>
          <w:b/>
          <w:color w:val="2E74B5"/>
          <w:sz w:val="24"/>
        </w:rPr>
        <w:t>5.1 전체 구조</w:t>
      </w:r>
    </w:p>
    <w:p>
      <w:pPr>
        <w:spacing w:after="80" w:line="400" w:lineRule="exact"/>
      </w:pPr>
      <w:r>
        <w:rPr>
          <w:rFonts w:ascii="맑은 고딕" w:hAnsi="맑은 고딕" w:eastAsia="맑은 고딕"/>
          <w:b w:val="0"/>
          <w:sz w:val="21"/>
        </w:rPr>
        <w:t>2개의 EdgeAwareGATLayer를 순차적으로 적용하는 구조를 채택하였다.</w:t>
      </w:r>
    </w:p>
    <w:p>
      <w:pPr>
        <w:pStyle w:val="ListBullet"/>
        <w:spacing w:after="60"/>
        <w:ind w:left="567"/>
      </w:pPr>
      <w:r>
        <w:rPr>
          <w:rFonts w:ascii="맑은 고딕" w:hAnsi="맑은 고딕" w:eastAsia="맑은 고딕"/>
          <w:b w:val="0"/>
          <w:sz w:val="21"/>
        </w:rPr>
        <w:t>Layer 1: F_in=8, F_out=16, heads=8, concat=True → 출력: (N, 128)</w:t>
      </w:r>
    </w:p>
    <w:p>
      <w:pPr>
        <w:pStyle w:val="ListBullet"/>
        <w:spacing w:after="60"/>
        <w:ind w:left="567"/>
      </w:pPr>
      <w:r>
        <w:rPr>
          <w:rFonts w:ascii="맑은 고딕" w:hAnsi="맑은 고딕" w:eastAsia="맑은 고딕"/>
          <w:b w:val="0"/>
          <w:sz w:val="21"/>
        </w:rPr>
        <w:t>Layer 2: F_in=128, F_out=16, heads=8, concat=False → 출력: (N, 16)</w:t>
      </w:r>
    </w:p>
    <w:p>
      <w:pPr>
        <w:spacing w:after="80" w:line="400" w:lineRule="exact"/>
      </w:pPr>
      <w:r>
        <w:rPr>
          <w:rFonts w:ascii="맑은 고딕" w:hAnsi="맑은 고딕" w:eastAsia="맑은 고딕"/>
          <w:b w:val="0"/>
          <w:sz w:val="21"/>
        </w:rPr>
        <w:t>두 레이어 사이에 ELU 활성화 함수와 Dropout(p=0.3)을 적용하였다. 노드 타입(gene/drug)별 별도의 선형 변환(type-specific projection)을 적용하여 이종 노드 타입의 특징 공간 차이를 명시적으로 처리하였다.</w:t>
      </w:r>
    </w:p>
    <w:p>
      <w:pPr>
        <w:spacing w:before="200" w:after="120"/>
      </w:pPr>
      <w:r>
        <w:rPr>
          <w:rFonts w:ascii="맑은 고딕" w:hAnsi="맑은 고딕" w:eastAsia="맑은 고딕"/>
          <w:b/>
          <w:color w:val="2E74B5"/>
          <w:sz w:val="24"/>
        </w:rPr>
        <w:t>5.2 Attention 메커니즘</w:t>
      </w:r>
    </w:p>
    <w:p>
      <w:pPr>
        <w:spacing w:after="80" w:line="400" w:lineRule="exact"/>
      </w:pPr>
      <w:r>
        <w:rPr>
          <w:rFonts w:ascii="맑은 고딕" w:hAnsi="맑은 고딕" w:eastAsia="맑은 고딕"/>
          <w:b w:val="0"/>
          <w:sz w:val="21"/>
        </w:rPr>
        <w:t>EdgeAwareGATLayer의 attention 계산은 소스 노드 특징, 목적 노드 특징, 엣지 특징을 함께 고려하는 다음의 수식을 따른다.</w:t>
      </w:r>
    </w:p>
    <w:p>
      <w:pPr>
        <w:spacing w:before="120" w:after="120"/>
        <w:jc w:val="center"/>
      </w:pPr>
      <w:r>
        <w:rPr>
          <w:rFonts w:ascii="Courier New" w:hAnsi="Courier New" w:eastAsia="Courier New"/>
          <w:b/>
          <w:color w:val="1F497D"/>
          <w:sz w:val="21"/>
        </w:rPr>
        <w:t>e_ij = LeakyReLU(a^T · [W·h_i || W·h_j || W_e·edge_feat_ij])</w:t>
      </w:r>
    </w:p>
    <w:p>
      <w:pPr>
        <w:spacing w:before="120" w:after="120"/>
        <w:jc w:val="center"/>
      </w:pPr>
      <w:r>
        <w:rPr>
          <w:rFonts w:ascii="Courier New" w:hAnsi="Courier New" w:eastAsia="Courier New"/>
          <w:b/>
          <w:color w:val="1F497D"/>
          <w:sz w:val="21"/>
        </w:rPr>
        <w:t>alpha_ij = exp(e_ij) / SUM_k( exp(e_ik) )</w:t>
      </w:r>
    </w:p>
    <w:p>
      <w:pPr>
        <w:spacing w:before="120" w:after="120"/>
        <w:jc w:val="center"/>
      </w:pPr>
      <w:r>
        <w:rPr>
          <w:rFonts w:ascii="Courier New" w:hAnsi="Courier New" w:eastAsia="Courier New"/>
          <w:b/>
          <w:color w:val="1F497D"/>
          <w:sz w:val="21"/>
        </w:rPr>
        <w:t>h_i' = ELU( SUM_j( alpha_ij · W · h_j ) )</w:t>
      </w:r>
    </w:p>
    <w:p>
      <w:pPr>
        <w:spacing w:after="80" w:line="400" w:lineRule="exact"/>
        <w:ind w:firstLine="397"/>
      </w:pPr>
      <w:r>
        <w:rPr>
          <w:rFonts w:ascii="맑은 고딕" w:hAnsi="맑은 고딕" w:eastAsia="맑은 고딕"/>
          <w:b w:val="0"/>
          <w:sz w:val="21"/>
        </w:rPr>
        <w:t>여기서 W ∈ R^(F_out × F_in)은 노드 변환 행렬, W_e ∈ R^(F_out × 5)는 엣지 특징 투영 행렬, a ∈ R^(3 × F_out)는 attention 벡터이다. softmax는 소스 노드 i의 이웃 집합 N(i)에 대해 국소적으로 적용된다(local softmax).</w:t>
      </w:r>
    </w:p>
    <w:p>
      <w:pPr>
        <w:spacing w:before="200" w:after="120"/>
      </w:pPr>
      <w:r>
        <w:rPr>
          <w:rFonts w:ascii="맑은 고딕" w:hAnsi="맑은 고딕" w:eastAsia="맑은 고딕"/>
          <w:b/>
          <w:color w:val="2E74B5"/>
          <w:sz w:val="24"/>
        </w:rPr>
        <w:t>5.3 허브 노드 Attention 보정</w:t>
      </w:r>
    </w:p>
    <w:p>
      <w:pPr>
        <w:spacing w:after="80" w:line="400" w:lineRule="exact"/>
      </w:pPr>
      <w:r>
        <w:rPr>
          <w:rFonts w:ascii="맑은 고딕" w:hAnsi="맑은 고딕" w:eastAsia="맑은 고딕"/>
          <w:b w:val="0"/>
          <w:sz w:val="21"/>
        </w:rPr>
        <w:t>ERG(degree=4,279)와 같이 연결 차수가 극단적으로 높은 허브(hub) 노드에서는 attention이 다수의 이웃에 희석(diluted)되어 각 이웃과의 변별력이 저하되는 문제가 발생한다. 이를 방지하기 위해 attention 계산 전 degree-aware scaling을 적용하였다.</w:t>
      </w:r>
    </w:p>
    <w:p>
      <w:pPr>
        <w:spacing w:before="120" w:after="120"/>
        <w:jc w:val="center"/>
      </w:pPr>
      <w:r>
        <w:rPr>
          <w:rFonts w:ascii="Courier New" w:hAnsi="Courier New" w:eastAsia="Courier New"/>
          <w:b/>
          <w:color w:val="1F497D"/>
          <w:sz w:val="21"/>
        </w:rPr>
        <w:t>e_ij  &lt;-  e_ij × (1 / sqrt(degree(i)))</w:t>
      </w:r>
    </w:p>
    <w:p>
      <w:pPr>
        <w:spacing w:after="80" w:line="400" w:lineRule="exact"/>
      </w:pPr>
      <w:r>
        <w:rPr>
          <w:rFonts w:ascii="맑은 고딕" w:hAnsi="맑은 고딕" w:eastAsia="맑은 고딕"/>
          <w:b w:val="0"/>
          <w:sz w:val="21"/>
        </w:rPr>
        <w:t>이 보정을 통해 허브 노드의 attention이 인위적으로 희석되지 않고 각 이웃과의 실제 연관성 차이를 더 잘 반영할 수 있도록 하였다.</w:t>
      </w:r>
    </w:p>
    <w:p>
      <w:pPr>
        <w:spacing w:before="360" w:after="120"/>
      </w:pPr>
      <w:r>
        <w:rPr>
          <w:rFonts w:ascii="맑은 고딕" w:hAnsi="맑은 고딕" w:eastAsia="맑은 고딕"/>
          <w:b/>
          <w:color w:val="1F497D"/>
          <w:sz w:val="28"/>
        </w:rPr>
        <w:t>6. 자기지도 학습: Link Prediction</w:t>
      </w:r>
    </w:p>
    <w:p>
      <w:pPr>
        <w:spacing w:after="80" w:line="400" w:lineRule="exact"/>
        <w:ind w:firstLine="397"/>
      </w:pPr>
      <w:r>
        <w:rPr>
          <w:rFonts w:ascii="맑은 고딕" w:hAnsi="맑은 고딕" w:eastAsia="맑은 고딕"/>
          <w:b w:val="0"/>
          <w:sz w:val="21"/>
        </w:rPr>
        <w:t>별도의 레이블이 없는 생물학적 네트워크에서 GAT를 학습하기 위해 자기지도(self-supervised) 방식의 Link Prediction 손실 함수를 사용하였다. 실제로 연결된 엣지(positive sample)와 연결되지 않은 임의의 쌍(negative sample)을 구분하는 이진 분류 문제로 정의하였다.</w:t>
      </w:r>
    </w:p>
    <w:p>
      <w:pPr>
        <w:spacing w:before="200" w:after="120"/>
      </w:pPr>
      <w:r>
        <w:rPr>
          <w:rFonts w:ascii="맑은 고딕" w:hAnsi="맑은 고딕" w:eastAsia="맑은 고딕"/>
          <w:b/>
          <w:color w:val="2E74B5"/>
          <w:sz w:val="24"/>
        </w:rPr>
        <w:t>6.1 손실 함수</w:t>
      </w:r>
    </w:p>
    <w:p>
      <w:pPr>
        <w:spacing w:after="80" w:line="400" w:lineRule="exact"/>
      </w:pPr>
      <w:r>
        <w:rPr>
          <w:rFonts w:ascii="맑은 고딕" w:hAnsi="맑은 고딕" w:eastAsia="맑은 고딕"/>
          <w:b w:val="0"/>
          <w:sz w:val="21"/>
        </w:rPr>
        <w:t>GAT로 학습된 노드 임베딩 h_i, h_j에 대해 내적(dot product)을 이용하여 링크 존재 확률을 추정하고, Binary Cross-Entropy(BCE) 손실을 최소화한다.</w:t>
      </w:r>
    </w:p>
    <w:p>
      <w:pPr>
        <w:spacing w:before="120" w:after="120"/>
        <w:jc w:val="center"/>
      </w:pPr>
      <w:r>
        <w:rPr>
          <w:rFonts w:ascii="Courier New" w:hAnsi="Courier New" w:eastAsia="Courier New"/>
          <w:b/>
          <w:color w:val="1F497D"/>
          <w:sz w:val="21"/>
        </w:rPr>
        <w:t>p_ij = sigmoid( h_i^T · h_j )</w:t>
      </w:r>
    </w:p>
    <w:p>
      <w:pPr>
        <w:spacing w:before="120" w:after="120"/>
        <w:jc w:val="center"/>
      </w:pPr>
      <w:r>
        <w:rPr>
          <w:rFonts w:ascii="Courier New" w:hAnsi="Courier New" w:eastAsia="Courier New"/>
          <w:b/>
          <w:color w:val="1F497D"/>
          <w:sz w:val="21"/>
        </w:rPr>
        <w:t>L_BCE = -[ y_ij · log(p_ij) + (1 - y_ij) · log(1 - p_ij) ]</w:t>
      </w:r>
    </w:p>
    <w:p>
      <w:pPr>
        <w:spacing w:after="80" w:line="400" w:lineRule="exact"/>
      </w:pPr>
      <w:r>
        <w:rPr>
          <w:rFonts w:ascii="맑은 고딕" w:hAnsi="맑은 고딕" w:eastAsia="맑은 고딕"/>
          <w:b w:val="0"/>
          <w:sz w:val="21"/>
        </w:rPr>
        <w:t>여기서 y_ij = 1이면 positive (실제 엣지), y_ij = 0이면 negative (연결 없음)이다. 약물 노드(210개)의 학습 부족을 방지하기 위해 DGT 엣지(약물-유전자 연결)에 대해 손실 가중치를 10배로 증가시켰다.</w:t>
      </w:r>
    </w:p>
    <w:p>
      <w:pPr>
        <w:spacing w:before="200" w:after="120"/>
      </w:pPr>
      <w:r>
        <w:rPr>
          <w:rFonts w:ascii="맑은 고딕" w:hAnsi="맑은 고딕" w:eastAsia="맑은 고딕"/>
          <w:b/>
          <w:color w:val="2E74B5"/>
          <w:sz w:val="24"/>
        </w:rPr>
        <w:t>6.2 Degree 정규화 항</w:t>
      </w:r>
    </w:p>
    <w:p>
      <w:pPr>
        <w:spacing w:after="80" w:line="400" w:lineRule="exact"/>
      </w:pPr>
      <w:r>
        <w:rPr>
          <w:rFonts w:ascii="맑은 고딕" w:hAnsi="맑은 고딕" w:eastAsia="맑은 고딕"/>
          <w:b w:val="0"/>
          <w:sz w:val="21"/>
        </w:rPr>
        <w:t>허브 노드의 임베딩이 과도하게 지배적이 되는 것을 방지하기 위해, 연결 차수에 비례하는 L2 정규화 항을 추가하였다.</w:t>
      </w:r>
    </w:p>
    <w:p>
      <w:pPr>
        <w:spacing w:before="120" w:after="120"/>
        <w:jc w:val="center"/>
      </w:pPr>
      <w:r>
        <w:rPr>
          <w:rFonts w:ascii="Courier New" w:hAnsi="Courier New" w:eastAsia="Courier New"/>
          <w:b/>
          <w:color w:val="1F497D"/>
          <w:sz w:val="21"/>
        </w:rPr>
        <w:t>L = L_BCE + lambda * SUM_v( degree(v) * ||h_v||^2 )</w:t>
      </w:r>
    </w:p>
    <w:p>
      <w:pPr>
        <w:spacing w:after="80" w:line="400" w:lineRule="exact"/>
      </w:pPr>
      <w:r>
        <w:rPr>
          <w:rFonts w:ascii="맑은 고딕" w:hAnsi="맑은 고딕" w:eastAsia="맑은 고딕"/>
          <w:b w:val="0"/>
          <w:sz w:val="21"/>
        </w:rPr>
        <w:t>람다(lambda) = 0.01로 설정하였다.</w:t>
      </w:r>
    </w:p>
    <w:p>
      <w:pPr>
        <w:spacing w:before="200" w:after="120"/>
      </w:pPr>
      <w:r>
        <w:rPr>
          <w:rFonts w:ascii="맑은 고딕" w:hAnsi="맑은 고딕" w:eastAsia="맑은 고딕"/>
          <w:b/>
          <w:color w:val="2E74B5"/>
          <w:sz w:val="24"/>
        </w:rPr>
        <w:t>6.3 학습 설정</w:t>
      </w:r>
    </w:p>
    <w:p>
      <w:pPr>
        <w:spacing w:after="80" w:line="400" w:lineRule="exact"/>
      </w:pPr>
      <w:r>
        <w:rPr>
          <w:rFonts w:ascii="맑은 고딕" w:hAnsi="맑은 고딕" w:eastAsia="맑은 고딕"/>
          <w:b w:val="0"/>
          <w:sz w:val="21"/>
        </w:rPr>
        <w:t>학습에 사용된 주요 하이퍼파라미터는 다음과 같다.</w:t>
      </w:r>
    </w:p>
    <w:p>
      <w:pPr>
        <w:pStyle w:val="ListBullet"/>
        <w:spacing w:after="60"/>
        <w:ind w:left="567"/>
      </w:pPr>
      <w:r>
        <w:rPr>
          <w:rFonts w:ascii="맑은 고딕" w:hAnsi="맑은 고딕" w:eastAsia="맑은 고딕"/>
          <w:b w:val="0"/>
          <w:sz w:val="21"/>
        </w:rPr>
        <w:t>옵티마이저: Adam (learning rate = 0.001)</w:t>
      </w:r>
    </w:p>
    <w:p>
      <w:pPr>
        <w:pStyle w:val="ListBullet"/>
        <w:spacing w:after="60"/>
        <w:ind w:left="567"/>
      </w:pPr>
      <w:r>
        <w:rPr>
          <w:rFonts w:ascii="맑은 고딕" w:hAnsi="맑은 고딕" w:eastAsia="맑은 고딕"/>
          <w:b w:val="0"/>
          <w:sz w:val="21"/>
        </w:rPr>
        <w:t>최대 에폭: 200 (Early Stopping patience = 20)</w:t>
      </w:r>
    </w:p>
    <w:p>
      <w:pPr>
        <w:pStyle w:val="ListBullet"/>
        <w:spacing w:after="60"/>
        <w:ind w:left="567"/>
      </w:pPr>
      <w:r>
        <w:rPr>
          <w:rFonts w:ascii="맑은 고딕" w:hAnsi="맑은 고딕" w:eastAsia="맑은 고딕"/>
          <w:b w:val="0"/>
          <w:sz w:val="21"/>
        </w:rPr>
        <w:t>배치 크기: 4,096 엣지 (양성/음성 1:1 샘플링)</w:t>
      </w:r>
    </w:p>
    <w:p>
      <w:pPr>
        <w:pStyle w:val="ListBullet"/>
        <w:spacing w:after="60"/>
        <w:ind w:left="567"/>
      </w:pPr>
      <w:r>
        <w:rPr>
          <w:rFonts w:ascii="맑은 고딕" w:hAnsi="맑은 고딕" w:eastAsia="맑은 고딕"/>
          <w:b w:val="0"/>
          <w:sz w:val="21"/>
        </w:rPr>
        <w:t>Dropout: 0.3 (GAT 레이어 간 적용)</w:t>
      </w:r>
    </w:p>
    <w:p>
      <w:pPr>
        <w:pStyle w:val="ListBullet"/>
        <w:spacing w:after="60"/>
        <w:ind w:left="567"/>
      </w:pPr>
      <w:r>
        <w:rPr>
          <w:rFonts w:ascii="맑은 고딕" w:hAnsi="맑은 고딕" w:eastAsia="맑은 고딕"/>
          <w:b w:val="0"/>
          <w:sz w:val="21"/>
        </w:rPr>
        <w:t>가중치 초기화: Xavier Uniform</w:t>
      </w:r>
    </w:p>
    <w:p>
      <w:pPr>
        <w:pStyle w:val="ListBullet"/>
        <w:spacing w:after="60"/>
        <w:ind w:left="567"/>
      </w:pPr>
      <w:r>
        <w:rPr>
          <w:rFonts w:ascii="맑은 고딕" w:hAnsi="맑은 고딕" w:eastAsia="맑은 고딕"/>
          <w:b w:val="0"/>
          <w:sz w:val="21"/>
        </w:rPr>
        <w:t>Gradient Clipping: max_norm = 1.0</w:t>
      </w:r>
    </w:p>
    <w:p>
      <w:pPr>
        <w:pStyle w:val="ListBullet"/>
        <w:spacing w:after="60"/>
        <w:ind w:left="567"/>
      </w:pPr>
      <w:r>
        <w:rPr>
          <w:rFonts w:ascii="맑은 고딕" w:hAnsi="맑은 고딕" w:eastAsia="맑은 고딕"/>
          <w:b w:val="0"/>
          <w:sz w:val="21"/>
        </w:rPr>
        <w:t>데이터 분할: Train 80% / Validation 10% / Test 10%</w:t>
      </w:r>
    </w:p>
    <w:p>
      <w:pPr>
        <w:spacing w:before="360" w:after="120"/>
      </w:pPr>
      <w:r>
        <w:rPr>
          <w:rFonts w:ascii="맑은 고딕" w:hAnsi="맑은 고딕" w:eastAsia="맑은 고딕"/>
          <w:b/>
          <w:color w:val="1F497D"/>
          <w:sz w:val="28"/>
        </w:rPr>
        <w:t>7. Attention Weight의 RWR 전이 확률 통합</w:t>
      </w:r>
    </w:p>
    <w:p>
      <w:pPr>
        <w:spacing w:after="80" w:line="400" w:lineRule="exact"/>
        <w:ind w:firstLine="397"/>
      </w:pPr>
      <w:r>
        <w:rPr>
          <w:rFonts w:ascii="맑은 고딕" w:hAnsi="맑은 고딕" w:eastAsia="맑은 고딕"/>
          <w:b w:val="0"/>
          <w:sz w:val="21"/>
        </w:rPr>
        <w:t>GAT 학습 완료 후, 두 번째 레이어(Layer 2)에서 산출된 방향별 attention 계수 alpha_ij를 추출하였다. GAT attention은 방향성(i→j vs j→i)을 구분하므로, 각 유향 엣지에 대해 독립적으로 attention 값을 저장하는 directed_attention 딕셔너리를 구성하였다.</w:t>
      </w:r>
    </w:p>
    <w:p>
      <w:pPr>
        <w:spacing w:before="200" w:after="120"/>
      </w:pPr>
      <w:r>
        <w:rPr>
          <w:rFonts w:ascii="맑은 고딕" w:hAnsi="맑은 고딕" w:eastAsia="맑은 고딕"/>
          <w:b/>
          <w:color w:val="2E74B5"/>
          <w:sz w:val="24"/>
        </w:rPr>
        <w:t>7.1 전이 확률 혼합</w:t>
      </w:r>
    </w:p>
    <w:p>
      <w:pPr>
        <w:spacing w:after="80" w:line="400" w:lineRule="exact"/>
      </w:pPr>
      <w:r>
        <w:rPr>
          <w:rFonts w:ascii="맑은 고딕" w:hAnsi="맑은 고딕" w:eastAsia="맑은 고딕"/>
          <w:b w:val="0"/>
          <w:sz w:val="21"/>
        </w:rPr>
        <w:t>GAT attention만을 전이 확률로 직접 사용할 경우, 학습 초기 수렴 불안정에 의해 원본 엣지 가중치 정보가 완전히 손실될 위험이 있다. 이를 방지하기 위해 GAT attention(alpha)과 원본 정규화 가중치(w_orig)를 α 비율로 선형 혼합하였다.</w:t>
      </w:r>
    </w:p>
    <w:p>
      <w:pPr>
        <w:spacing w:before="120" w:after="120"/>
        <w:jc w:val="center"/>
      </w:pPr>
      <w:r>
        <w:rPr>
          <w:rFonts w:ascii="Courier New" w:hAnsi="Courier New" w:eastAsia="Courier New"/>
          <w:b/>
          <w:color w:val="1F497D"/>
          <w:sz w:val="21"/>
        </w:rPr>
        <w:t>combined_ij = alpha * GAT_attention_ij  +  (1 - alpha) * w_orig_ij_normalized</w:t>
      </w:r>
    </w:p>
    <w:p>
      <w:pPr>
        <w:spacing w:before="120" w:after="120"/>
        <w:jc w:val="center"/>
      </w:pPr>
      <w:r>
        <w:rPr>
          <w:rFonts w:ascii="Courier New" w:hAnsi="Courier New" w:eastAsia="Courier New"/>
          <w:b/>
          <w:color w:val="1F497D"/>
          <w:sz w:val="21"/>
        </w:rPr>
        <w:t>P(j | i) = combined_ij / SUM_k( combined_ij )      (local re-normalization)</w:t>
      </w:r>
    </w:p>
    <w:p>
      <w:pPr>
        <w:spacing w:after="80" w:line="400" w:lineRule="exact"/>
      </w:pPr>
      <w:r>
        <w:rPr>
          <w:rFonts w:ascii="맑은 고딕" w:hAnsi="맑은 고딕" w:eastAsia="맑은 고딕"/>
          <w:b w:val="0"/>
          <w:sz w:val="21"/>
        </w:rPr>
        <w:t>alpha = 0.7로 설정하여 GAT 구조 반영(70%)과 원본 가중치 fallback(30%)을 균형있게 유지하였다. alpha는 외부 파라미터로 조정 가능하다.</w:t>
      </w:r>
    </w:p>
    <w:p>
      <w:pPr>
        <w:spacing w:before="200" w:after="120"/>
      </w:pPr>
      <w:r>
        <w:rPr>
          <w:rFonts w:ascii="맑은 고딕" w:hAnsi="맑은 고딕" w:eastAsia="맑은 고딕"/>
          <w:b/>
          <w:color w:val="2E74B5"/>
          <w:sz w:val="24"/>
        </w:rPr>
        <w:t>7.2 이웃 전이 확률 캐시 구성</w:t>
      </w:r>
    </w:p>
    <w:p>
      <w:pPr>
        <w:spacing w:after="80" w:line="400" w:lineRule="exact"/>
        <w:ind w:firstLine="397"/>
      </w:pPr>
      <w:r>
        <w:rPr>
          <w:rFonts w:ascii="맑은 고딕" w:hAnsi="맑은 고딕" w:eastAsia="맑은 고딕"/>
          <w:b w:val="0"/>
          <w:sz w:val="21"/>
        </w:rPr>
        <w:t>RWR 시뮬레이션의 효율화를 위해, 모든 노드에 대해 이웃 목록(nbrs)과 혼합 전이 확률 벡터(combined)를 사전 계산하여 캐시(attention_neighbor_cache)에 저장하였다. 각 워크 스텝에서 확률 배열을 반복 계산하는 비용을 제거함으로써 RWR 시뮬레이션 속도를 대폭 향상시켰다.</w:t>
      </w:r>
    </w:p>
    <w:p>
      <w:pPr>
        <w:spacing w:before="360" w:after="120"/>
      </w:pPr>
      <w:r>
        <w:rPr>
          <w:rFonts w:ascii="맑은 고딕" w:hAnsi="맑은 고딕" w:eastAsia="맑은 고딕"/>
          <w:b/>
          <w:color w:val="1F497D"/>
          <w:sz w:val="28"/>
        </w:rPr>
        <w:t>8. GAT-RWR 시뮬레이션</w:t>
      </w:r>
    </w:p>
    <w:p>
      <w:pPr>
        <w:spacing w:after="80" w:line="400" w:lineRule="exact"/>
        <w:ind w:firstLine="397"/>
      </w:pPr>
      <w:r>
        <w:rPr>
          <w:rFonts w:ascii="맑은 고딕" w:hAnsi="맑은 고딕" w:eastAsia="맑은 고딕"/>
          <w:b w:val="0"/>
          <w:sz w:val="21"/>
        </w:rPr>
        <w:t>구성된 attention_neighbor_cache를 이용하여 RWR 시뮬레이션을 수행하였다. 시뮬레이션 구조는 ver1 RWR과 동일하나, 전이 확률로 GAT attention 혼합값을 사용하는 점이 핵심적인 차이이다.</w:t>
      </w:r>
    </w:p>
    <w:p>
      <w:pPr>
        <w:spacing w:before="200" w:after="120"/>
      </w:pPr>
      <w:r>
        <w:rPr>
          <w:rFonts w:ascii="맑은 고딕" w:hAnsi="맑은 고딕" w:eastAsia="맑은 고딕"/>
          <w:b/>
          <w:color w:val="2E74B5"/>
          <w:sz w:val="24"/>
        </w:rPr>
        <w:t>8.1 이동 규칙</w:t>
      </w:r>
    </w:p>
    <w:p>
      <w:pPr>
        <w:spacing w:after="80" w:line="400" w:lineRule="exact"/>
      </w:pPr>
      <w:r>
        <w:rPr>
          <w:rFonts w:ascii="맑은 고딕" w:hAnsi="맑은 고딕" w:eastAsia="맑은 고딕"/>
          <w:b w:val="0"/>
          <w:sz w:val="21"/>
        </w:rPr>
        <w:t>매 스텝 t에서 보행자는 다음의 규칙을 따른다.</w:t>
      </w:r>
    </w:p>
    <w:p>
      <w:pPr>
        <w:pStyle w:val="ListBullet"/>
        <w:spacing w:after="60"/>
        <w:ind w:left="567"/>
      </w:pPr>
      <w:r>
        <w:rPr>
          <w:rFonts w:ascii="맑은 고딕" w:hAnsi="맑은 고딕" w:eastAsia="맑은 고딕"/>
          <w:b w:val="0"/>
          <w:sz w:val="21"/>
        </w:rPr>
        <w:t>Teleport (확률 r = 0.15): 시작 노드로 복귀한다. 전역적 탐색 능력을 유지하기 위한 재시작 메커니즘이다.</w:t>
      </w:r>
    </w:p>
    <w:p>
      <w:pPr>
        <w:pStyle w:val="ListBullet"/>
        <w:spacing w:after="60"/>
        <w:ind w:left="567"/>
      </w:pPr>
      <w:r>
        <w:rPr>
          <w:rFonts w:ascii="맑은 고딕" w:hAnsi="맑은 고딕" w:eastAsia="맑은 고딕"/>
          <w:b w:val="0"/>
          <w:sz w:val="21"/>
        </w:rPr>
        <w:t>이동 (확률 1 - r = 0.85): 전이 확률 캐시의 GAT-혼합 확률에 따라 이웃 노드 중 하나로 이동한다.</w:t>
      </w:r>
    </w:p>
    <w:p>
      <w:pPr>
        <w:spacing w:before="200" w:after="120"/>
      </w:pPr>
      <w:r>
        <w:rPr>
          <w:rFonts w:ascii="맑은 고딕" w:hAnsi="맑은 고딕" w:eastAsia="맑은 고딕"/>
          <w:b/>
          <w:color w:val="2E74B5"/>
          <w:sz w:val="24"/>
        </w:rPr>
        <w:t>8.2 시뮬레이션 설정</w:t>
      </w:r>
    </w:p>
    <w:p>
      <w:pPr>
        <w:pStyle w:val="ListBullet"/>
        <w:spacing w:after="60"/>
        <w:ind w:left="567"/>
      </w:pPr>
      <w:r>
        <w:rPr>
          <w:rFonts w:ascii="맑은 고딕" w:hAnsi="맑은 고딕" w:eastAsia="맑은 고딕"/>
          <w:b w:val="0"/>
          <w:sz w:val="21"/>
        </w:rPr>
        <w:t>시작 노드: 전체 노드 대상 (|V| = 18,211개)</w:t>
      </w:r>
    </w:p>
    <w:p>
      <w:pPr>
        <w:pStyle w:val="ListBullet"/>
        <w:spacing w:after="60"/>
        <w:ind w:left="567"/>
      </w:pPr>
      <w:r>
        <w:rPr>
          <w:rFonts w:ascii="맑은 고딕" w:hAnsi="맑은 고딕" w:eastAsia="맑은 고딕"/>
          <w:b w:val="0"/>
          <w:sz w:val="21"/>
        </w:rPr>
        <w:t>워크 횟수(n_walks): 시작 노드당 1,000회</w:t>
      </w:r>
    </w:p>
    <w:p>
      <w:pPr>
        <w:pStyle w:val="ListBullet"/>
        <w:spacing w:after="60"/>
        <w:ind w:left="567"/>
      </w:pPr>
      <w:r>
        <w:rPr>
          <w:rFonts w:ascii="맑은 고딕" w:hAnsi="맑은 고딕" w:eastAsia="맑은 고딕"/>
          <w:b w:val="0"/>
          <w:sz w:val="21"/>
        </w:rPr>
        <w:t>워크 길이(walk_length): 워크당 최대 100 스텝</w:t>
      </w:r>
    </w:p>
    <w:p>
      <w:pPr>
        <w:pStyle w:val="ListBullet"/>
        <w:spacing w:after="60"/>
        <w:ind w:left="567"/>
      </w:pPr>
      <w:r>
        <w:rPr>
          <w:rFonts w:ascii="맑은 고딕" w:hAnsi="맑은 고딕" w:eastAsia="맑은 고딕"/>
          <w:b w:val="0"/>
          <w:sz w:val="21"/>
        </w:rPr>
        <w:t>Restart 확률(r): 0.15</w:t>
      </w:r>
    </w:p>
    <w:p>
      <w:pPr>
        <w:pStyle w:val="ListBullet"/>
        <w:spacing w:after="60"/>
        <w:ind w:left="567"/>
      </w:pPr>
      <w:r>
        <w:rPr>
          <w:rFonts w:ascii="맑은 고딕" w:hAnsi="맑은 고딕" w:eastAsia="맑은 고딕"/>
          <w:b w:val="0"/>
          <w:sz w:val="21"/>
        </w:rPr>
        <w:t>병렬 워커 수: 12 (Python multiprocessing.Pool)</w:t>
      </w:r>
    </w:p>
    <w:p>
      <w:pPr>
        <w:pStyle w:val="ListBullet"/>
        <w:spacing w:after="60"/>
        <w:ind w:left="567"/>
      </w:pPr>
      <w:r>
        <w:rPr>
          <w:rFonts w:ascii="맑은 고딕" w:hAnsi="맑은 고딕" w:eastAsia="맑은 고딕"/>
          <w:b w:val="0"/>
          <w:sz w:val="21"/>
        </w:rPr>
        <w:t>난수 시드: 42 (재현성 확보)</w:t>
      </w:r>
    </w:p>
    <w:p>
      <w:pPr>
        <w:spacing w:before="200" w:after="120"/>
      </w:pPr>
      <w:r>
        <w:rPr>
          <w:rFonts w:ascii="맑은 고딕" w:hAnsi="맑은 고딕" w:eastAsia="맑은 고딕"/>
          <w:b/>
          <w:color w:val="2E74B5"/>
          <w:sz w:val="24"/>
        </w:rPr>
        <w:t>8.3 노드 중요도 정의</w:t>
      </w:r>
    </w:p>
    <w:p>
      <w:pPr>
        <w:spacing w:after="80" w:line="400" w:lineRule="exact"/>
      </w:pPr>
      <w:r>
        <w:rPr>
          <w:rFonts w:ascii="맑은 고딕" w:hAnsi="맑은 고딕" w:eastAsia="맑은 고딕"/>
          <w:b w:val="0"/>
          <w:sz w:val="21"/>
        </w:rPr>
        <w:t>GAT-RWR 시뮬레이션 결과 각 노드의 방문 횟수(visit_count)를 집계하고, 전체 방문 횟수의 합으로 나누어 방문 확률(visit_prob)을 산출한다.</w:t>
      </w:r>
    </w:p>
    <w:p>
      <w:pPr>
        <w:spacing w:before="120" w:after="120"/>
        <w:jc w:val="center"/>
      </w:pPr>
      <w:r>
        <w:rPr>
          <w:rFonts w:ascii="Courier New" w:hAnsi="Courier New" w:eastAsia="Courier New"/>
          <w:b/>
          <w:color w:val="1F497D"/>
          <w:sz w:val="21"/>
        </w:rPr>
        <w:t>Importance_GAT-RWR(v) = visit_count(v) / SUM_u( visit_count(u) )</w:t>
      </w:r>
    </w:p>
    <w:p>
      <w:pPr>
        <w:spacing w:after="80" w:line="400" w:lineRule="exact"/>
      </w:pPr>
      <w:r>
        <w:rPr>
          <w:rFonts w:ascii="맑은 고딕" w:hAnsi="맑은 고딕" w:eastAsia="맑은 고딕"/>
          <w:b w:val="0"/>
          <w:sz w:val="21"/>
        </w:rPr>
        <w:t>방문 확률이 높은 노드는 GAT가 학습한 네트워크 구조적 관점에서도 다수의 이웃과 강한 attention 연결을 가지며, 여러 경로에서 빈번히 경유되는 구조적 허브이다.</w:t>
      </w:r>
    </w:p>
    <w:p>
      <w:pPr>
        <w:spacing w:before="360" w:after="120"/>
      </w:pPr>
      <w:r>
        <w:rPr>
          <w:rFonts w:ascii="맑은 고딕" w:hAnsi="맑은 고딕" w:eastAsia="맑은 고딕"/>
          <w:b/>
          <w:color w:val="1F497D"/>
          <w:sz w:val="28"/>
        </w:rPr>
        <w:t>9. GAT Hub Score 산출</w:t>
      </w:r>
    </w:p>
    <w:p>
      <w:pPr>
        <w:spacing w:after="80" w:line="400" w:lineRule="exact"/>
      </w:pPr>
      <w:r>
        <w:rPr>
          <w:rFonts w:ascii="맑은 고딕" w:hAnsi="맑은 고딕" w:eastAsia="맑은 고딕"/>
          <w:b w:val="0"/>
          <w:sz w:val="21"/>
        </w:rPr>
        <w:t>노드 v에 대한 GAT Hub Score는 해당 노드를 목적지(destination)로 하는 모든 incoming attention 계수의 평균으로 정의한다.</w:t>
      </w:r>
    </w:p>
    <w:p>
      <w:pPr>
        <w:spacing w:before="120" w:after="120"/>
        <w:jc w:val="center"/>
      </w:pPr>
      <w:r>
        <w:rPr>
          <w:rFonts w:ascii="Courier New" w:hAnsi="Courier New" w:eastAsia="Courier New"/>
          <w:b/>
          <w:color w:val="1F497D"/>
          <w:sz w:val="21"/>
        </w:rPr>
        <w:t>gat_hub_score(v) = (1 / |IN(v)|) * SUM_{u in IN(v)}( alpha_uv )</w:t>
      </w:r>
    </w:p>
    <w:p>
      <w:pPr>
        <w:spacing w:after="80" w:line="400" w:lineRule="exact"/>
        <w:ind w:firstLine="397"/>
      </w:pPr>
      <w:r>
        <w:rPr>
          <w:rFonts w:ascii="맑은 고딕" w:hAnsi="맑은 고딕" w:eastAsia="맑은 고딕"/>
          <w:b w:val="0"/>
          <w:sz w:val="21"/>
        </w:rPr>
        <w:t>여기서 IN(v)는 v로 incoming 엣지를 갖는 이웃 집합이다. gat_hub_score는 단순 방문 확률 기반 중요도(visit_prob)와 상보적인 정보를 제공하며, 다른 노드들이 v를 얼마나 중요하게 '주목(attend)'하는지를 나타낸다.</w:t>
      </w:r>
    </w:p>
    <w:p>
      <w:pPr>
        <w:spacing w:before="360" w:after="120"/>
      </w:pPr>
      <w:r>
        <w:rPr>
          <w:rFonts w:ascii="맑은 고딕" w:hAnsi="맑은 고딕" w:eastAsia="맑은 고딕"/>
          <w:b/>
          <w:color w:val="1F497D"/>
          <w:sz w:val="28"/>
        </w:rPr>
        <w:t>10. 결과 저장 및 분석</w:t>
      </w:r>
    </w:p>
    <w:p>
      <w:pPr>
        <w:spacing w:after="80" w:line="400" w:lineRule="exact"/>
        <w:ind w:firstLine="397"/>
      </w:pPr>
      <w:r>
        <w:rPr>
          <w:rFonts w:ascii="맑은 고딕" w:hAnsi="맑은 고딕" w:eastAsia="맑은 고딕"/>
          <w:b w:val="0"/>
          <w:sz w:val="21"/>
        </w:rPr>
        <w:t>GAT-RWR 시뮬레이션 결과는 node_importance_v2.tsv 파일에 저장된다. 출력 파일은 다음의 컬럼을 포함한다.</w:t>
      </w:r>
    </w:p>
    <w:p>
      <w:pPr>
        <w:pStyle w:val="ListBullet"/>
        <w:spacing w:after="60"/>
        <w:ind w:left="567"/>
      </w:pPr>
      <w:r>
        <w:rPr>
          <w:rFonts w:ascii="맑은 고딕" w:hAnsi="맑은 고딕" w:eastAsia="맑은 고딕"/>
          <w:b w:val="0"/>
          <w:sz w:val="21"/>
        </w:rPr>
        <w:t>rank: 방문 확률 기준 전체 순위</w:t>
      </w:r>
    </w:p>
    <w:p>
      <w:pPr>
        <w:pStyle w:val="ListBullet"/>
        <w:spacing w:after="60"/>
        <w:ind w:left="567"/>
      </w:pPr>
      <w:r>
        <w:rPr>
          <w:rFonts w:ascii="맑은 고딕" w:hAnsi="맑은 고딕" w:eastAsia="맑은 고딕"/>
          <w:b w:val="0"/>
          <w:sz w:val="21"/>
        </w:rPr>
        <w:t>node: 노드명 (유전자 심볼 또는 약물명)</w:t>
      </w:r>
    </w:p>
    <w:p>
      <w:pPr>
        <w:pStyle w:val="ListBullet"/>
        <w:spacing w:after="60"/>
        <w:ind w:left="567"/>
      </w:pPr>
      <w:r>
        <w:rPr>
          <w:rFonts w:ascii="맑은 고딕" w:hAnsi="맑은 고딕" w:eastAsia="맑은 고딕"/>
          <w:b w:val="0"/>
          <w:sz w:val="21"/>
        </w:rPr>
        <w:t>node_type: gene / drug</w:t>
      </w:r>
    </w:p>
    <w:p>
      <w:pPr>
        <w:pStyle w:val="ListBullet"/>
        <w:spacing w:after="60"/>
        <w:ind w:left="567"/>
      </w:pPr>
      <w:r>
        <w:rPr>
          <w:rFonts w:ascii="맑은 고딕" w:hAnsi="맑은 고딕" w:eastAsia="맑은 고딕"/>
          <w:b w:val="0"/>
          <w:sz w:val="21"/>
        </w:rPr>
        <w:t>visit_count: RWR 시뮬레이션 총 방문 횟수</w:t>
      </w:r>
    </w:p>
    <w:p>
      <w:pPr>
        <w:pStyle w:val="ListBullet"/>
        <w:spacing w:after="60"/>
        <w:ind w:left="567"/>
      </w:pPr>
      <w:r>
        <w:rPr>
          <w:rFonts w:ascii="맑은 고딕" w:hAnsi="맑은 고딕" w:eastAsia="맑은 고딕"/>
          <w:b w:val="0"/>
          <w:sz w:val="21"/>
        </w:rPr>
        <w:t>visit_prob: 방문 확률 (전체 방문 중 해당 노드 비율)</w:t>
      </w:r>
    </w:p>
    <w:p>
      <w:pPr>
        <w:pStyle w:val="ListBullet"/>
        <w:spacing w:after="60"/>
        <w:ind w:left="567"/>
      </w:pPr>
      <w:r>
        <w:rPr>
          <w:rFonts w:ascii="맑은 고딕" w:hAnsi="맑은 고딕" w:eastAsia="맑은 고딕"/>
          <w:b w:val="0"/>
          <w:sz w:val="21"/>
        </w:rPr>
        <w:t>degree: 연결 차수</w:t>
      </w:r>
    </w:p>
    <w:p>
      <w:pPr>
        <w:pStyle w:val="ListBullet"/>
        <w:spacing w:after="60"/>
        <w:ind w:left="567"/>
      </w:pPr>
      <w:r>
        <w:rPr>
          <w:rFonts w:ascii="맑은 고딕" w:hAnsi="맑은 고딕" w:eastAsia="맑은 고딕"/>
          <w:b w:val="0"/>
          <w:sz w:val="21"/>
        </w:rPr>
        <w:t>gat_hub_score: 해당 노드로 향하는 incoming attention 평균</w:t>
      </w:r>
    </w:p>
    <w:p>
      <w:pPr>
        <w:spacing w:after="80" w:line="400" w:lineRule="exact"/>
        <w:ind w:firstLine="397"/>
      </w:pPr>
      <w:r>
        <w:rPr>
          <w:rFonts w:ascii="맑은 고딕" w:hAnsi="맑은 고딕" w:eastAsia="맑은 고딕"/>
          <w:b w:val="0"/>
          <w:sz w:val="21"/>
        </w:rPr>
        <w:t>ver1 RWR 결과(node_importance.tsv)와 ver2 GAT-RWR 결과(node_importance_v2.tsv)를 비교함으로써, GAT attention 통합이 핵심 노드 순위에 미치는 영향을 분석하였다. 특히 약물 노드의 순위 변화는 GAT가 약물-유전자 표적 관계의 네트워크 맥락을 추가적으로 반영함으로써 치료 후보 발굴에 기여하는 정도를 나타낸다.</w:t>
      </w:r>
    </w:p>
    <w:p>
      <w:pPr>
        <w:spacing w:before="360" w:after="120"/>
      </w:pPr>
      <w:r>
        <w:rPr>
          <w:rFonts w:ascii="맑은 고딕" w:hAnsi="맑은 고딕" w:eastAsia="맑은 고딕"/>
          <w:b/>
          <w:color w:val="1F497D"/>
          <w:sz w:val="28"/>
        </w:rPr>
        <w:t>11. 구현 세부사항 및 수치 안정화</w:t>
      </w:r>
    </w:p>
    <w:p>
      <w:pPr>
        <w:spacing w:after="80" w:line="400" w:lineRule="exact"/>
        <w:ind w:firstLine="397"/>
      </w:pPr>
      <w:r>
        <w:rPr>
          <w:rFonts w:ascii="맑은 고딕" w:hAnsi="맑은 고딕" w:eastAsia="맑은 고딕"/>
          <w:b w:val="0"/>
          <w:sz w:val="21"/>
        </w:rPr>
        <w:t>대규모 그래프(18,211 노드, 288,336 엣지) 환경에서의 수치 안정성과 연산 효율을 위해 다음의 기법들을 적용하였다.</w:t>
      </w:r>
    </w:p>
    <w:p>
      <w:pPr>
        <w:pStyle w:val="ListBullet"/>
        <w:spacing w:after="60"/>
        <w:ind w:left="567"/>
      </w:pPr>
      <w:r>
        <w:rPr>
          <w:rFonts w:ascii="맑은 고딕" w:hAnsi="맑은 고딕" w:eastAsia="맑은 고딕"/>
          <w:b w:val="0"/>
          <w:sz w:val="21"/>
        </w:rPr>
        <w:t>Softmax 수치 안정화: e_ij에서 max(e_ij)를 차감한 후 softmax를 적용하여 overflow 방지 (numerically stable softmax)</w:t>
      </w:r>
    </w:p>
    <w:p>
      <w:pPr>
        <w:pStyle w:val="ListBullet"/>
        <w:spacing w:after="60"/>
        <w:ind w:left="567"/>
      </w:pPr>
      <w:r>
        <w:rPr>
          <w:rFonts w:ascii="맑은 고딕" w:hAnsi="맑은 고딕" w:eastAsia="맑은 고딕"/>
          <w:b w:val="0"/>
          <w:sz w:val="21"/>
        </w:rPr>
        <w:t>Attention 하한값: alpha &lt; 1e-8인 경우 1e-8로 클리핑하여 zero-division 방지</w:t>
      </w:r>
    </w:p>
    <w:p>
      <w:pPr>
        <w:pStyle w:val="ListBullet"/>
        <w:spacing w:after="60"/>
        <w:ind w:left="567"/>
      </w:pPr>
      <w:r>
        <w:rPr>
          <w:rFonts w:ascii="맑은 고딕" w:hAnsi="맑은 고딕" w:eastAsia="맑은 고딕"/>
          <w:b w:val="0"/>
          <w:sz w:val="21"/>
        </w:rPr>
        <w:t>scatter_add 구현: PyG 없이 PyTorch의 Tensor.scatter_add_()로 이웃 aggregation 직접 구현</w:t>
      </w:r>
    </w:p>
    <w:p>
      <w:pPr>
        <w:pStyle w:val="ListBullet"/>
        <w:spacing w:after="60"/>
        <w:ind w:left="567"/>
      </w:pPr>
      <w:r>
        <w:rPr>
          <w:rFonts w:ascii="맑은 고딕" w:hAnsi="맑은 고딕" w:eastAsia="맑은 고딕"/>
          <w:b w:val="0"/>
          <w:sz w:val="21"/>
        </w:rPr>
        <w:t>멀티프로세싱: multiprocessing.Pool + initializer 패턴을 이용하여 공유 진행률 카운터를 워커에 전달 (Windows pickle 문제 해결)</w:t>
      </w:r>
    </w:p>
    <w:p>
      <w:pPr>
        <w:pStyle w:val="ListBullet"/>
        <w:spacing w:after="60"/>
        <w:ind w:left="567"/>
      </w:pPr>
      <w:r>
        <w:rPr>
          <w:rFonts w:ascii="맑은 고딕" w:hAnsi="맑은 고딕" w:eastAsia="맑은 고딕"/>
          <w:b w:val="0"/>
          <w:sz w:val="21"/>
        </w:rPr>
        <w:t>Progress bar: ASCII 문자(#/-)를 사용하여 Windows cp949 인코딩 환경에서의 Unicode 오류 방지</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