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1F497D"/>
          <w:sz w:val="32"/>
        </w:rPr>
        <w:t>연구 방법 (Methods)</w:t>
      </w:r>
    </w:p>
    <w:p>
      <w:pPr>
        <w:spacing w:after="400"/>
        <w:jc w:val="center"/>
      </w:pPr>
      <w:r>
        <w:rPr>
          <w:rFonts w:ascii="맑은 고딕" w:hAnsi="맑은 고딕" w:eastAsia="맑은 고딕"/>
          <w:b w:val="0"/>
          <w:color w:val="595959"/>
          <w:sz w:val="22"/>
        </w:rPr>
        <w:t>이종 생물학적 네트워크 기반 Random Walk with Restart를 활용한 핵심 유전자·약물 노드 중요도 추론</w:t>
      </w:r>
    </w:p>
    <w:p/>
    <w:p>
      <w:pPr>
        <w:spacing w:before="360" w:after="120"/>
      </w:pPr>
      <w:r>
        <w:rPr>
          <w:rFonts w:ascii="맑은 고딕" w:hAnsi="맑은 고딕" w:eastAsia="맑은 고딕"/>
          <w:b/>
          <w:color w:val="1F497D"/>
          <w:sz w:val="28"/>
        </w:rPr>
        <w:t>1. 데이터 수집 및 전처리</w:t>
      </w:r>
    </w:p>
    <w:p>
      <w:pPr>
        <w:spacing w:after="80" w:line="400" w:lineRule="exact"/>
        <w:ind w:firstLine="397"/>
      </w:pPr>
      <w:r>
        <w:rPr>
          <w:rFonts w:ascii="맑은 고딕" w:hAnsi="맑은 고딕" w:eastAsia="맑은 고딕"/>
          <w:b w:val="0"/>
          <w:sz w:val="21"/>
        </w:rPr>
        <w:t>본 연구에서는 세 종류의 이종(heterogeneous) 생물학적 데이터를 수집하여 통합 네트워크 분석에 활용하였다. 각 데이터 소스는 유전자 간 연관성, 단백질 간 물리적 상호작용, 그리고 약물-유전자 표적 관계를 포함하며, 아래와 같이 구성된다.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24"/>
        </w:rPr>
        <w:t>1.1 유전자-유전자 연관성 데이터 (GGA, _A_)</w:t>
      </w:r>
    </w:p>
    <w:p>
      <w:pPr>
        <w:spacing w:after="80" w:line="400" w:lineRule="exact"/>
        <w:ind w:firstLine="397"/>
      </w:pPr>
      <w:r>
        <w:rPr>
          <w:rFonts w:ascii="맑은 고딕" w:hAnsi="맑은 고딕" w:eastAsia="맑은 고딕"/>
          <w:b w:val="0"/>
          <w:sz w:val="21"/>
        </w:rPr>
        <w:t>TMPRSS2-ERG 융합 유전자와의 공발현 관계를 기반으로 한 유전자-유전자 연관성(gene-gene association, GGA) 데이터를 사용하였다. 각 유전자의 TMPRSS2-ERG 발현 패턴과의 절대 피어슨 상관계수(absolute Pearson correlation coefficient, absPearsonR)를 연관성 강도 지표로 활용하였으며, 데이터 형식은 gene | absPearsonR 의 두 열로 구성된다.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24"/>
        </w:rPr>
        <w:t>1.2 단백질-단백질 상호작용 데이터 (PPI, _B_)</w:t>
      </w:r>
    </w:p>
    <w:p>
      <w:pPr>
        <w:spacing w:after="80" w:line="400" w:lineRule="exact"/>
        <w:ind w:firstLine="397"/>
      </w:pPr>
      <w:r>
        <w:rPr>
          <w:rFonts w:ascii="맑은 고딕" w:hAnsi="맑은 고딕" w:eastAsia="맑은 고딕"/>
          <w:b w:val="0"/>
          <w:sz w:val="21"/>
        </w:rPr>
        <w:t>STRING 데이터베이스(v11 이상)로부터 인간(taxon ID: 9606) 단백질 간 물리적 상호작용(physical PPI) 데이터를 수집하였다. 각 상호작용 쌍(gene1, gene2)에 대해 STRING이 제공하는 통합 신뢰도 점수(combined score)를 0~1 범위로 사전 정규화하여 사용하였으며, 데이터 형식은 gene1 | gene2 | score 로 구성된다.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24"/>
        </w:rPr>
        <w:t>1.3 약물-유전자 표적 데이터 (DGT, _C_)</w:t>
      </w:r>
    </w:p>
    <w:p>
      <w:pPr>
        <w:spacing w:after="80" w:line="400" w:lineRule="exact"/>
        <w:ind w:firstLine="397"/>
      </w:pPr>
      <w:r>
        <w:rPr>
          <w:rFonts w:ascii="맑은 고딕" w:hAnsi="맑은 고딕" w:eastAsia="맑은 고딕"/>
          <w:b w:val="0"/>
          <w:sz w:val="21"/>
        </w:rPr>
        <w:t>임상 유전체 데이터베이스 CIViC(Clinical Interpretation of Variants in Cancer)로부터 약물 감수성(sensitivity) 근거를 기반으로 한 약물-유전자 표적 데이터를 수집하였다. 각 항목은 약물명(drug), 표적 유전자(target_gene), 최종 표적 유전자(final_target_gene), 그리고 근거 점수(score)로 구성되며, final_target_gene 이 존재하는 경우를 우선적으로 사용하고 그렇지 않은 경우 target_gene 을 대체 사용하였다.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24"/>
        </w:rPr>
        <w:t>1.4 데이터 필터링</w:t>
      </w:r>
    </w:p>
    <w:p>
      <w:pPr>
        <w:spacing w:after="80" w:line="400" w:lineRule="exact"/>
        <w:ind w:firstLine="397"/>
      </w:pPr>
      <w:r>
        <w:rPr>
          <w:rFonts w:ascii="맑은 고딕" w:hAnsi="맑은 고딕" w:eastAsia="맑은 고딕"/>
          <w:b w:val="0"/>
          <w:sz w:val="21"/>
        </w:rPr>
        <w:t>이종 데이터 간 노드 집합의 일관성을 유지하기 위해, GGA 데이터(_A_)에 포함된 유전자 집합(gene_set)을 기준 집합으로 설정하였다. PPI 데이터는 gene1 또는 gene2 중 하나 이상이 기준 집합에 포함된 상호작용만을 선택하였으며, DGT 데이터는 final_target_gene(또는 target_gene)이 기준 집합에 포함된 항목만을 필터링하여 사용하였다.</w:t>
      </w:r>
    </w:p>
    <w:p>
      <w:pPr>
        <w:spacing w:before="360" w:after="120"/>
      </w:pPr>
      <w:r>
        <w:rPr>
          <w:rFonts w:ascii="맑은 고딕" w:hAnsi="맑은 고딕" w:eastAsia="맑은 고딕"/>
          <w:b/>
          <w:color w:val="1F497D"/>
          <w:sz w:val="28"/>
        </w:rPr>
        <w:t>2. 엣지 가중치 정규화: Z-score → Sigmoid 변환</w:t>
      </w:r>
    </w:p>
    <w:p>
      <w:pPr>
        <w:spacing w:after="80" w:line="400" w:lineRule="exact"/>
        <w:ind w:firstLine="397"/>
      </w:pPr>
      <w:r>
        <w:rPr>
          <w:rFonts w:ascii="맑은 고딕" w:hAnsi="맑은 고딕" w:eastAsia="맑은 고딕"/>
          <w:b w:val="0"/>
          <w:sz w:val="21"/>
        </w:rPr>
        <w:t>세 데이터 소스는 측정 방식과 값의 분포가 서로 상이한 이종 데이터이므로, 단순 Min-Max 정규화를 적용할 경우 극단값(outlier) 하나가 전체 스케일을 왜곡하고 분포 정보가 손실되는 문제가 발생한다. 이를 극복하기 위해 본 연구에서는 Z-score 표준화 이후 Sigmoid 함수를 적용하는 2단계 확률적 정규화 방법을 채택하였다.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24"/>
        </w:rPr>
        <w:t>2.1 1단계: Z-score 표준화</w:t>
      </w:r>
    </w:p>
    <w:p>
      <w:pPr>
        <w:spacing w:after="80" w:line="400" w:lineRule="exact"/>
      </w:pPr>
      <w:r>
        <w:rPr>
          <w:rFonts w:ascii="맑은 고딕" w:hAnsi="맑은 고딕" w:eastAsia="맑은 고딕"/>
          <w:b w:val="0"/>
          <w:sz w:val="21"/>
        </w:rPr>
        <w:t>각 데이터 소스 내의 엣지 가중치 x에 대해 해당 소스 내 평균(μ)과 표준편차(σ)를 이용하여 Z-score를 산출함으로써, 소스 간 분포 편향 및 스케일 차이를 제거한다.</w:t>
      </w:r>
    </w:p>
    <w:p>
      <w:pPr>
        <w:spacing w:before="120" w:after="120"/>
        <w:jc w:val="center"/>
      </w:pPr>
      <w:r>
        <w:rPr>
          <w:rFonts w:ascii="Courier New" w:hAnsi="Courier New" w:eastAsia="Courier New"/>
          <w:b/>
          <w:color w:val="1F497D"/>
          <w:sz w:val="21"/>
        </w:rPr>
        <w:t>z = (x − μ) / σ</w:t>
      </w:r>
    </w:p>
    <w:p>
      <w:pPr>
        <w:spacing w:after="80" w:line="400" w:lineRule="exact"/>
      </w:pPr>
      <w:r>
        <w:rPr>
          <w:rFonts w:ascii="맑은 고딕" w:hAnsi="맑은 고딕" w:eastAsia="맑은 고딕"/>
          <w:b w:val="0"/>
          <w:sz w:val="21"/>
        </w:rPr>
        <w:t>단, σ = 0인 경우(모든 값이 동일) z = 0으로 처리하여 이후 Sigmoid 변환 시 0.5를 반환하도록 하였다.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24"/>
        </w:rPr>
        <w:t>2.2 2단계: Sigmoid 변환</w:t>
      </w:r>
    </w:p>
    <w:p>
      <w:pPr>
        <w:spacing w:after="80" w:line="400" w:lineRule="exact"/>
      </w:pPr>
      <w:r>
        <w:rPr>
          <w:rFonts w:ascii="맑은 고딕" w:hAnsi="맑은 고딕" w:eastAsia="맑은 고딕"/>
          <w:b w:val="0"/>
          <w:sz w:val="21"/>
        </w:rPr>
        <w:t>Z-score 변환된 값 z에 표준 로지스틱 시그모이드 함수를 적용하여 0~1 범위의 확률값 p로 변환한다.</w:t>
      </w:r>
    </w:p>
    <w:p>
      <w:pPr>
        <w:spacing w:before="120" w:after="120"/>
        <w:jc w:val="center"/>
      </w:pPr>
      <w:r>
        <w:rPr>
          <w:rFonts w:ascii="Courier New" w:hAnsi="Courier New" w:eastAsia="Courier New"/>
          <w:b/>
          <w:color w:val="1F497D"/>
          <w:sz w:val="21"/>
        </w:rPr>
        <w:t>p = 1 / (1 + exp(−z))</w:t>
      </w:r>
    </w:p>
    <w:p>
      <w:pPr>
        <w:spacing w:after="80" w:line="400" w:lineRule="exact"/>
        <w:ind w:firstLine="397"/>
      </w:pPr>
      <w:r>
        <w:rPr>
          <w:rFonts w:ascii="맑은 고딕" w:hAnsi="맑은 고딕" w:eastAsia="맑은 고딕"/>
          <w:b w:val="0"/>
          <w:sz w:val="21"/>
        </w:rPr>
        <w:t>이 변환을 통해 평균에 가까운 값은 0.5 부근에서 높은 분별력을 가지며, 극단값은 0 또는 1에 점진적으로 수렴하여 outlier의 영향이 자연스럽게 압축된다. 또한 변환된 값은 로지스틱 확률 분포의 관점에서 해석 가능하므로, 이종 데이터 간의 확률론적으로 공정한 비교가 가능하다.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24"/>
        </w:rPr>
        <w:t>2.3 중복 엣지 병합</w:t>
      </w:r>
    </w:p>
    <w:p>
      <w:pPr>
        <w:spacing w:after="80" w:line="400" w:lineRule="exact"/>
      </w:pPr>
      <w:r>
        <w:rPr>
          <w:rFonts w:ascii="맑은 고딕" w:hAnsi="맑은 고딕" w:eastAsia="맑은 고딕"/>
          <w:b w:val="0"/>
          <w:sz w:val="21"/>
        </w:rPr>
        <w:t>GGA 데이터와 PPI 데이터 사이에 동일한 유전자 쌍이 중복으로 존재하는 경우, 두 소스의 정규화된 가중치를 신뢰도 가중 평균으로 병합하였다. PPI(STRING 물리적 상호작용)가 GGA(전사체 상관관계) 대비 실험적 근거가 더 강하다는 점을 반영하여 가중치를 각각 0.4, 0.6으로 설정하였다.</w:t>
      </w:r>
    </w:p>
    <w:p>
      <w:pPr>
        <w:spacing w:before="120" w:after="120"/>
        <w:jc w:val="center"/>
      </w:pPr>
      <w:r>
        <w:rPr>
          <w:rFonts w:ascii="Courier New" w:hAnsi="Courier New" w:eastAsia="Courier New"/>
          <w:b/>
          <w:color w:val="1F497D"/>
          <w:sz w:val="21"/>
        </w:rPr>
        <w:t>w_merged = 0.4 × w_GGA + 0.6 × w_PPI</w:t>
      </w:r>
    </w:p>
    <w:p>
      <w:pPr>
        <w:spacing w:after="80" w:line="400" w:lineRule="exact"/>
      </w:pPr>
      <w:r>
        <w:rPr>
          <w:rFonts w:ascii="맑은 고딕" w:hAnsi="맑은 고딕" w:eastAsia="맑은 고딕"/>
          <w:b w:val="0"/>
          <w:sz w:val="21"/>
        </w:rPr>
        <w:t>DGT 데이터에서 동일한 약물-유전자 쌍이 중복으로 나타나는 경우에는 정규화된 값이 더 큰 항목을 최종 가중치로 채택하였다.</w:t>
      </w:r>
    </w:p>
    <w:p>
      <w:pPr>
        <w:spacing w:before="360" w:after="120"/>
      </w:pPr>
      <w:r>
        <w:rPr>
          <w:rFonts w:ascii="맑은 고딕" w:hAnsi="맑은 고딕" w:eastAsia="맑은 고딕"/>
          <w:b/>
          <w:color w:val="1F497D"/>
          <w:sz w:val="28"/>
        </w:rPr>
        <w:t>3. 이종 생물학적 네트워크 구성</w:t>
      </w:r>
    </w:p>
    <w:p>
      <w:pPr>
        <w:spacing w:after="80" w:line="400" w:lineRule="exact"/>
        <w:ind w:firstLine="397"/>
      </w:pPr>
      <w:r>
        <w:rPr>
          <w:rFonts w:ascii="맑은 고딕" w:hAnsi="맑은 고딕" w:eastAsia="맑은 고딕"/>
          <w:b w:val="0"/>
          <w:sz w:val="21"/>
        </w:rPr>
        <w:t>세 데이터 소스를 통합하여 하나의 무방향 가중 이종 그래프 G = (V, E)를 구성하였다. 노드 집합 V는 유전자 노드(gene)와 약물 노드(drug)로 구성되며, 엣지 집합 E는 각 데이터 소스로부터 유래한 세 종류의 엣지로 이루어진다.</w:t>
      </w:r>
    </w:p>
    <w:p>
      <w:pPr>
        <w:spacing w:after="80" w:line="400" w:lineRule="exact"/>
      </w:pPr>
      <w:r>
        <w:rPr>
          <w:rFonts w:ascii="맑은 고딕" w:hAnsi="맑은 고딕" w:eastAsia="맑은 고딕"/>
          <w:b w:val="0"/>
          <w:sz w:val="21"/>
        </w:rPr>
        <w:t>네트워크의 노드 및 엣지 구성은 다음과 같다.</w:t>
      </w:r>
    </w:p>
    <w:p>
      <w:pPr>
        <w:pStyle w:val="ListBullet"/>
        <w:spacing w:after="60"/>
        <w:ind w:left="567"/>
      </w:pPr>
      <w:r>
        <w:rPr>
          <w:rFonts w:ascii="맑은 고딕" w:hAnsi="맑은 고딕" w:eastAsia="맑은 고딕"/>
          <w:b w:val="0"/>
          <w:sz w:val="21"/>
        </w:rPr>
        <w:t>GGA 엣지: ERG 유전자를 앵커(anchor)로 하여 absPearsonR 기반 공발현 유전자들을 star 형태로 연결 (weight: Z-score→Sigmoid 변환값)</w:t>
      </w:r>
    </w:p>
    <w:p>
      <w:pPr>
        <w:pStyle w:val="ListBullet"/>
        <w:spacing w:after="60"/>
        <w:ind w:left="567"/>
      </w:pPr>
      <w:r>
        <w:rPr>
          <w:rFonts w:ascii="맑은 고딕" w:hAnsi="맑은 고딕" w:eastAsia="맑은 고딕"/>
          <w:b w:val="0"/>
          <w:sz w:val="21"/>
        </w:rPr>
        <w:t>PPI 엣지: STRING 물리적 상호작용 기반 유전자 쌍 연결 (weight: Z-score→Sigmoid 변환값)</w:t>
      </w:r>
    </w:p>
    <w:p>
      <w:pPr>
        <w:pStyle w:val="ListBullet"/>
        <w:spacing w:after="60"/>
        <w:ind w:left="567"/>
      </w:pPr>
      <w:r>
        <w:rPr>
          <w:rFonts w:ascii="맑은 고딕" w:hAnsi="맑은 고딕" w:eastAsia="맑은 고딕"/>
          <w:b w:val="0"/>
          <w:sz w:val="21"/>
        </w:rPr>
        <w:t>DGT 엣지: CIViC 근거 기반 약물-유전자 표적 관계 연결 (weight: Z-score→Sigmoid 변환값)</w:t>
      </w:r>
    </w:p>
    <w:p>
      <w:pPr>
        <w:pStyle w:val="ListBullet"/>
        <w:spacing w:after="60"/>
        <w:ind w:left="567"/>
      </w:pPr>
      <w:r>
        <w:rPr>
          <w:rFonts w:ascii="맑은 고딕" w:hAnsi="맑은 고딕" w:eastAsia="맑은 고딕"/>
          <w:b w:val="0"/>
          <w:sz w:val="21"/>
        </w:rPr>
        <w:t>GGA+PPI 중복 엣지: 신뢰도 가중 평균으로 병합 (GGA=0.4, PPI=0.6)</w:t>
      </w:r>
    </w:p>
    <w:p>
      <w:pPr>
        <w:spacing w:after="80" w:line="400" w:lineRule="exact"/>
        <w:ind w:firstLine="397"/>
      </w:pPr>
      <w:r>
        <w:rPr>
          <w:rFonts w:ascii="맑은 고딕" w:hAnsi="맑은 고딕" w:eastAsia="맑은 고딕"/>
          <w:b w:val="0"/>
          <w:sz w:val="21"/>
        </w:rPr>
        <w:t>모든 엣지 가중치는 Z-score → Sigmoid 정규화를 통해 동일한 0~1 척도로 통일되었으므로, 이종 소스 간 편향 없이 Random Walk의 이동 확률에 반영될 수 있다.</w:t>
      </w:r>
    </w:p>
    <w:p>
      <w:pPr>
        <w:spacing w:before="360" w:after="120"/>
      </w:pPr>
      <w:r>
        <w:rPr>
          <w:rFonts w:ascii="맑은 고딕" w:hAnsi="맑은 고딕" w:eastAsia="맑은 고딕"/>
          <w:b/>
          <w:color w:val="1F497D"/>
          <w:sz w:val="28"/>
        </w:rPr>
        <w:t>4. Random Walk with Restart (RWR) 시뮬레이션</w:t>
      </w:r>
    </w:p>
    <w:p>
      <w:pPr>
        <w:spacing w:after="80" w:line="400" w:lineRule="exact"/>
        <w:ind w:firstLine="397"/>
      </w:pPr>
      <w:r>
        <w:rPr>
          <w:rFonts w:ascii="맑은 고딕" w:hAnsi="맑은 고딕" w:eastAsia="맑은 고딕"/>
          <w:b w:val="0"/>
          <w:sz w:val="21"/>
        </w:rPr>
        <w:t>구성된 이종 네트워크에서 각 노드의 중요도를 추론하기 위해 Random Walk with Restart(RWR) 알고리즘을 확률적 시뮬레이션 방식으로 구현하였다. RWR은 네트워크 상에서 임의 보행자(random walker)가 확률적으로 이동하면서 각 노드를 방문하는 빈도를 측정하는 방법으로, 방문 빈도가 높은 노드일수록 네트워크 내에서 구조적·기능적으로 중요한 위치를 점한다고 해석한다.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24"/>
        </w:rPr>
        <w:t>4.1 이동 규칙</w:t>
      </w:r>
    </w:p>
    <w:p>
      <w:pPr>
        <w:spacing w:after="80" w:line="400" w:lineRule="exact"/>
      </w:pPr>
      <w:r>
        <w:rPr>
          <w:rFonts w:ascii="맑은 고딕" w:hAnsi="맑은 고딕" w:eastAsia="맑은 고딕"/>
          <w:b w:val="0"/>
          <w:sz w:val="21"/>
        </w:rPr>
        <w:t>매 스텝 t에서 보행자는 다음의 두 가지 규칙 중 하나를 확률적으로 수행한다.</w:t>
      </w:r>
    </w:p>
    <w:p>
      <w:pPr>
        <w:pStyle w:val="ListBullet"/>
        <w:spacing w:after="60"/>
        <w:ind w:left="567"/>
      </w:pPr>
      <w:r>
        <w:rPr>
          <w:rFonts w:ascii="맑은 고딕" w:hAnsi="맑은 고딕" w:eastAsia="맑은 고딕"/>
          <w:b w:val="0"/>
          <w:sz w:val="21"/>
        </w:rPr>
        <w:t>Teleport (확률 r = 0.15): 시작 노드(start node)로 즉시 복귀한다. 이를 통해 보행자가 네트워크의 특정 지역에 갇히는 현상(local trapping)을 방지하고, 전역적 탐색이 가능하도록 한다.</w:t>
      </w:r>
    </w:p>
    <w:p>
      <w:pPr>
        <w:pStyle w:val="ListBullet"/>
        <w:spacing w:after="60"/>
        <w:ind w:left="567"/>
      </w:pPr>
      <w:r>
        <w:rPr>
          <w:rFonts w:ascii="맑은 고딕" w:hAnsi="맑은 고딕" w:eastAsia="맑은 고딕"/>
          <w:b w:val="0"/>
          <w:sz w:val="21"/>
        </w:rPr>
        <w:t>이동 (확률 1 − r = 0.85): 현재 노드의 이웃 노드 중 하나로 이동한다. 이동 확률은 엣지 가중치에 비례하는 local-softmax 방식으로 산출된다.</w:t>
      </w:r>
    </w:p>
    <w:p>
      <w:pPr>
        <w:spacing w:after="80" w:line="400" w:lineRule="exact"/>
      </w:pPr>
      <w:r>
        <w:rPr>
          <w:rFonts w:ascii="맑은 고딕" w:hAnsi="맑은 고딕" w:eastAsia="맑은 고딕"/>
          <w:b w:val="0"/>
          <w:sz w:val="21"/>
        </w:rPr>
        <w:t>이웃 노드 j로의 이동 확률은 다음과 같이 정의된다.</w:t>
      </w:r>
    </w:p>
    <w:p>
      <w:pPr>
        <w:spacing w:before="120" w:after="120"/>
        <w:jc w:val="center"/>
      </w:pPr>
      <w:r>
        <w:rPr>
          <w:rFonts w:ascii="Courier New" w:hAnsi="Courier New" w:eastAsia="Courier New"/>
          <w:b/>
          <w:color w:val="1F497D"/>
          <w:sz w:val="21"/>
        </w:rPr>
        <w:t>P(j | i) = (w_ij + ε) / Σ_k (w_ik + ε)</w:t>
      </w:r>
    </w:p>
    <w:p>
      <w:pPr>
        <w:spacing w:after="80" w:line="400" w:lineRule="exact"/>
      </w:pPr>
      <w:r>
        <w:rPr>
          <w:rFonts w:ascii="맑은 고딕" w:hAnsi="맑은 고딕" w:eastAsia="맑은 고딕"/>
          <w:b w:val="0"/>
          <w:sz w:val="21"/>
        </w:rPr>
        <w:t>여기서 w_ij는 노드 i와 j 사이의 정규화된 엣지 가중치이며, ε = 1×10⁻⁸은 가중치가 0인 엣지에도 최소한의 이동 확률을 보장하기 위한 수치 안정화 항(numerical stability term)이다.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24"/>
        </w:rPr>
        <w:t>4.2 시뮬레이션 설정</w:t>
      </w:r>
    </w:p>
    <w:p>
      <w:pPr>
        <w:spacing w:after="80" w:line="400" w:lineRule="exact"/>
      </w:pPr>
      <w:r>
        <w:rPr>
          <w:rFonts w:ascii="맑은 고딕" w:hAnsi="맑은 고딕" w:eastAsia="맑은 고딕"/>
          <w:b w:val="0"/>
          <w:sz w:val="21"/>
        </w:rPr>
        <w:t>본 연구의 RWR 시뮬레이션은 다음의 하이퍼파라미터를 사용하였다.</w:t>
      </w:r>
    </w:p>
    <w:p>
      <w:pPr>
        <w:pStyle w:val="ListBullet"/>
        <w:spacing w:after="60"/>
        <w:ind w:left="567"/>
      </w:pPr>
      <w:r>
        <w:rPr>
          <w:rFonts w:ascii="맑은 고딕" w:hAnsi="맑은 고딕" w:eastAsia="맑은 고딕"/>
          <w:b w:val="0"/>
          <w:sz w:val="21"/>
        </w:rPr>
        <w:t>시작 노드: 네트워크 내 모든 노드를 각각 시작점으로 설정</w:t>
      </w:r>
    </w:p>
    <w:p>
      <w:pPr>
        <w:pStyle w:val="ListBullet"/>
        <w:spacing w:after="60"/>
        <w:ind w:left="567"/>
      </w:pPr>
      <w:r>
        <w:rPr>
          <w:rFonts w:ascii="맑은 고딕" w:hAnsi="맑은 고딕" w:eastAsia="맑은 고딕"/>
          <w:b w:val="0"/>
          <w:sz w:val="21"/>
        </w:rPr>
        <w:t>워크 횟수(n_walks): 시작 노드당 1,000회</w:t>
      </w:r>
    </w:p>
    <w:p>
      <w:pPr>
        <w:pStyle w:val="ListBullet"/>
        <w:spacing w:after="60"/>
        <w:ind w:left="567"/>
      </w:pPr>
      <w:r>
        <w:rPr>
          <w:rFonts w:ascii="맑은 고딕" w:hAnsi="맑은 고딕" w:eastAsia="맑은 고딕"/>
          <w:b w:val="0"/>
          <w:sz w:val="21"/>
        </w:rPr>
        <w:t>스텝 수(walk_length): 워크당 최대 100 스텝</w:t>
      </w:r>
    </w:p>
    <w:p>
      <w:pPr>
        <w:pStyle w:val="ListBullet"/>
        <w:spacing w:after="60"/>
        <w:ind w:left="567"/>
      </w:pPr>
      <w:r>
        <w:rPr>
          <w:rFonts w:ascii="맑은 고딕" w:hAnsi="맑은 고딕" w:eastAsia="맑은 고딕"/>
          <w:b w:val="0"/>
          <w:sz w:val="21"/>
        </w:rPr>
        <w:t>Restart 확률(r): 0.15</w:t>
      </w:r>
    </w:p>
    <w:p>
      <w:pPr>
        <w:pStyle w:val="ListBullet"/>
        <w:spacing w:after="60"/>
        <w:ind w:left="567"/>
      </w:pPr>
      <w:r>
        <w:rPr>
          <w:rFonts w:ascii="맑은 고딕" w:hAnsi="맑은 고딕" w:eastAsia="맑은 고딕"/>
          <w:b w:val="0"/>
          <w:sz w:val="21"/>
        </w:rPr>
        <w:t>난수 시드(seed): 42 (재현성 확보)</w:t>
      </w:r>
    </w:p>
    <w:p>
      <w:pPr>
        <w:spacing w:after="80" w:line="400" w:lineRule="exact"/>
        <w:ind w:firstLine="397"/>
      </w:pPr>
      <w:r>
        <w:rPr>
          <w:rFonts w:ascii="맑은 고딕" w:hAnsi="맑은 고딕" w:eastAsia="맑은 고딕"/>
          <w:b w:val="0"/>
          <w:sz w:val="21"/>
        </w:rPr>
        <w:t>총 시뮬레이션 횟수는 |V| × 1,000 회이며, 각 워크에서 방문한 모든 노드의 방문 횟수를 누적 집계하였다. 최종 방문 횟수를 전체 방문 횟수의 합으로 나누어 각 노드의 방문 확률(visit probability)을 산출하였다.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2E74B5"/>
          <w:sz w:val="24"/>
        </w:rPr>
        <w:t>4.3 노드 중요도 정의</w:t>
      </w:r>
    </w:p>
    <w:p>
      <w:pPr>
        <w:spacing w:after="80" w:line="400" w:lineRule="exact"/>
      </w:pPr>
      <w:r>
        <w:rPr>
          <w:rFonts w:ascii="맑은 고딕" w:hAnsi="맑은 고딕" w:eastAsia="맑은 고딕"/>
          <w:b w:val="0"/>
          <w:sz w:val="21"/>
        </w:rPr>
        <w:t>RWR 시뮬레이션 종료 후, 각 노드 v의 중요도 점수는 해당 노드의 방문 확률로 정의한다.</w:t>
      </w:r>
    </w:p>
    <w:p>
      <w:pPr>
        <w:spacing w:before="120" w:after="120"/>
        <w:jc w:val="center"/>
      </w:pPr>
      <w:r>
        <w:rPr>
          <w:rFonts w:ascii="Courier New" w:hAnsi="Courier New" w:eastAsia="Courier New"/>
          <w:b/>
          <w:color w:val="1F497D"/>
          <w:sz w:val="21"/>
        </w:rPr>
        <w:t>Importance(v) = visit_count(v) / Σ_u visit_count(u)</w:t>
      </w:r>
    </w:p>
    <w:p>
      <w:pPr>
        <w:spacing w:after="80" w:line="400" w:lineRule="exact"/>
        <w:ind w:firstLine="397"/>
      </w:pPr>
      <w:r>
        <w:rPr>
          <w:rFonts w:ascii="맑은 고딕" w:hAnsi="맑은 고딕" w:eastAsia="맑은 고딕"/>
          <w:b w:val="0"/>
          <w:sz w:val="21"/>
        </w:rPr>
        <w:t>방문 확률이 높은 노드는 네트워크 내에서 다수의 이웃과 강한 연결 관계를 가지며, 여러 경로에서 빈번히 경유되는 허브(hub) 노드임을 의미한다. 유전자 노드의 경우 생물학적 핵심 조절 인자로, 약물 노드의 경우 네트워크 내 핵심 유전자를 표적으로 하는 중요 치료 후보로 해석할 수 있다.</w:t>
      </w:r>
    </w:p>
    <w:p>
      <w:pPr>
        <w:spacing w:before="360" w:after="120"/>
      </w:pPr>
      <w:r>
        <w:rPr>
          <w:rFonts w:ascii="맑은 고딕" w:hAnsi="맑은 고딕" w:eastAsia="맑은 고딕"/>
          <w:b/>
          <w:color w:val="1F497D"/>
          <w:sz w:val="28"/>
        </w:rPr>
        <w:t>5. 결과 분석 및 출력</w:t>
      </w:r>
    </w:p>
    <w:p>
      <w:pPr>
        <w:spacing w:after="80" w:line="400" w:lineRule="exact"/>
        <w:ind w:firstLine="397"/>
      </w:pPr>
      <w:r>
        <w:rPr>
          <w:rFonts w:ascii="맑은 고딕" w:hAnsi="맑은 고딕" w:eastAsia="맑은 고딕"/>
          <w:b w:val="0"/>
          <w:sz w:val="21"/>
        </w:rPr>
        <w:t>RWR 시뮬레이션 결과는 노드 타입별(유전자/약물)로 구분하여 분석하였다. 전체 노드 중요도 Top-20을 방문 횟수 기준으로 정렬하여 출력하며, 유전자 노드 Top-10과 약물 노드 Top-10을 각각 별도로 제시하였다. 최종 결과는 노드명, 노드 타입, 방문 횟수, 방문 확률, 연결 차수(degree)를 포함하는 TSV 파일(node_importance.tsv)로 저장하였다.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