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28"/>
        </w:rPr>
        <w:t>이종 생물학적 네트워크 기반 Graph Attention Network + Random Walk with Restart를 이용한</w:t>
        <w:br/>
        <w:t>전립선암 핵심 유전자 중요도 추론 방법론 (ver3)</w:t>
      </w:r>
    </w:p>
    <w:p>
      <w:pPr>
        <w:jc w:val="center"/>
      </w:pPr>
      <w:r>
        <w:rPr>
          <w:sz w:val="20"/>
        </w:rPr>
        <w:t>[업데이트: 2026년 02월 21일 03시 25분]</w:t>
      </w:r>
    </w:p>
    <w:p/>
    <w:p>
      <w:pPr>
        <w:pStyle w:val="Heading1"/>
      </w:pPr>
      <w:r>
        <w:rPr>
          <w:color w:val="1F497D"/>
        </w:rPr>
        <w:t>1. 연구 개요 및 ver3 업데이트 사항</w:t>
      </w:r>
    </w:p>
    <w:p>
      <w:pPr>
        <w:jc w:val="both"/>
      </w:pPr>
      <w:r>
        <w:rPr>
          <w:sz w:val="21"/>
        </w:rPr>
        <w:t>본 연구는 TMPRSS2-ERG 융합 전립선암(ergPRAD)의 분자 메커니즘을 이종 생물학적 네트워크 분석으로 규명하기 위해, Graph Attention Network (GAT)와 Random Walk with Restart (RWR)를 결합한 통합 계산 분석 파이프라인을 구축하였다. ver3에서는 유전자-유전자 연관 데이터(GGA)를 ERG 중심의 단방향 상관 벡터에서 TMPRSS2-ERG PRAD TCGA 발현 기반 전체 유전자 쌍(pairwise) Pearson 상관계수 행렬로 전면 교체하여, 유전자 간 공동발현 관계를 보다 포괄적으로 반영하였다.</w:t>
      </w:r>
    </w:p>
    <w:p/>
    <w:p>
      <w:pPr>
        <w:jc w:val="both"/>
      </w:pPr>
      <w:r>
        <w:rPr>
          <w:sz w:val="21"/>
        </w:rPr>
        <w:t>ver2 대비 주요 변경 사항은 다음과 같다. ① GGA 데이터: ERG vs. 개별 유전자 1:N 방식에서 3,871개 유전자 간 모든 쌍(3,267,720 쌍) absPearsonR 기반 N:N pairwise 방식으로 교체. ② PPI(_B_), DGT(_C_) 데이터 및 GAT 아키텍처, RWR 파라미터는 ver2와 동일하게 유지. ③ 결과 파일: node_importance_v3.tsv 신규 생성.</w:t>
      </w:r>
    </w:p>
    <w:p>
      <w:pPr>
        <w:pStyle w:val="Heading1"/>
      </w:pPr>
      <w:r>
        <w:rPr>
          <w:color w:val="1F497D"/>
        </w:rPr>
        <w:t>2. 입력 데이터</w:t>
      </w:r>
    </w:p>
    <w:p>
      <w:pPr>
        <w:pStyle w:val="Heading2"/>
      </w:pPr>
      <w:r>
        <w:rPr>
          <w:color w:val="1F497D"/>
        </w:rPr>
        <w:t>2.1 유전자-유전자 공동발현 연관 네트워크 (_A_, 신규)</w:t>
      </w:r>
    </w:p>
    <w:p>
      <w:pPr>
        <w:jc w:val="both"/>
      </w:pPr>
      <w:r>
        <w:rPr>
          <w:sz w:val="21"/>
        </w:rPr>
        <w:t>TCGA PRAD 코호트 중 TMPRSS2-ERG 양성 50개 및 음성 50개 샘플, 총 100개 샘플의 RNA-seq 발현 데이터(19,928개 유전자 × 100 샘플)를 사용하였다. 분석은 2단계로 수행하였다.</w:t>
      </w:r>
    </w:p>
    <w:p>
      <w:pPr>
        <w:jc w:val="both"/>
      </w:pPr>
      <w:r>
        <w:rPr>
          <w:sz w:val="21"/>
        </w:rPr>
        <w:t>1단계: ERG와 Pearson 절대 상관계수(absPearsonR) ≥ 0.3 인 유전자를 추출하여 ERG 공동발현 유전자 집합(3,871개)을 선별하였다. ERG를 기준 벡터로 사용하고, 전체 유전자 행렬을 행(유전자)별 Z-score 표준화한 후 행렬 내적으로 일괄 계산하였다.</w:t>
      </w:r>
    </w:p>
    <w:p>
      <w:pPr>
        <w:jc w:val="both"/>
      </w:pPr>
      <w:r>
        <w:rPr>
          <w:sz w:val="21"/>
        </w:rPr>
        <w:t>2단계: 선별된 3,871개 유전자 간 모든 쌍에 대해 Pearson 상관계수를 행렬 연산으로 계산하고 (3,871 × 3,871 행렬), absPearsonR ≥ 0.3 인 3,267,720 쌍을 최종 GGA 데이터셋으로 확정하였다. 각 유전자 쌍의 absPearsonR을 에지 가중치의 원시 값으로 사용하였다.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t>분석 코호트</w:t>
            </w:r>
          </w:p>
        </w:tc>
        <w:tc>
          <w:tcPr>
            <w:tcW w:type="dxa" w:w="4320"/>
          </w:tcPr>
          <w:p>
            <w:r>
              <w:t>TCGA PRAD (ERG양성 50 + ERG음성 50, 총 100샘플)</w:t>
            </w:r>
          </w:p>
        </w:tc>
      </w:tr>
      <w:tr>
        <w:tc>
          <w:tcPr>
            <w:tcW w:type="dxa" w:w="4320"/>
          </w:tcPr>
          <w:p>
            <w:r>
              <w:t>입력 유전자 수</w:t>
            </w:r>
          </w:p>
        </w:tc>
        <w:tc>
          <w:tcPr>
            <w:tcW w:type="dxa" w:w="4320"/>
          </w:tcPr>
          <w:p>
            <w:r>
              <w:t>19,928개</w:t>
            </w:r>
          </w:p>
        </w:tc>
      </w:tr>
      <w:tr>
        <w:tc>
          <w:tcPr>
            <w:tcW w:type="dxa" w:w="4320"/>
          </w:tcPr>
          <w:p>
            <w:r>
              <w:t>Step1 ERG 상관 유전자</w:t>
            </w:r>
          </w:p>
        </w:tc>
        <w:tc>
          <w:tcPr>
            <w:tcW w:type="dxa" w:w="4320"/>
          </w:tcPr>
          <w:p>
            <w:r>
              <w:t>3,871개 (absPearsonR ≥ 0.3)</w:t>
            </w:r>
          </w:p>
        </w:tc>
      </w:tr>
      <w:tr>
        <w:tc>
          <w:tcPr>
            <w:tcW w:type="dxa" w:w="4320"/>
          </w:tcPr>
          <w:p>
            <w:r>
              <w:t>Step2 최종 GGA 쌍</w:t>
            </w:r>
          </w:p>
        </w:tc>
        <w:tc>
          <w:tcPr>
            <w:tcW w:type="dxa" w:w="4320"/>
          </w:tcPr>
          <w:p>
            <w:r>
              <w:t>3,267,720쌍 (absPearsonR ≥ 0.3)</w:t>
            </w:r>
          </w:p>
        </w:tc>
      </w:tr>
      <w:tr>
        <w:tc>
          <w:tcPr>
            <w:tcW w:type="dxa" w:w="4320"/>
          </w:tcPr>
          <w:p>
            <w:r>
              <w:t>absPearsonR 범위</w:t>
            </w:r>
          </w:p>
        </w:tc>
        <w:tc>
          <w:tcPr>
            <w:tcW w:type="dxa" w:w="4320"/>
          </w:tcPr>
          <w:p>
            <w:r>
              <w:t>0.300 ~ 0.984 (중앙값 0.436)</w:t>
            </w:r>
          </w:p>
        </w:tc>
      </w:tr>
      <w:tr>
        <w:tc>
          <w:tcPr>
            <w:tcW w:type="dxa" w:w="4320"/>
          </w:tcPr>
          <w:p>
            <w:r>
              <w:t>파일</w:t>
            </w:r>
          </w:p>
        </w:tc>
        <w:tc>
          <w:tcPr>
            <w:tcW w:type="dxa" w:w="4320"/>
          </w:tcPr>
          <w:p>
            <w:r>
              <w:t>__A__gene_gene_asso.tsv (gene_A, gene_B, pearsonR, absPearsonR)</w:t>
            </w:r>
          </w:p>
        </w:tc>
      </w:tr>
    </w:tbl>
    <w:p>
      <w:pPr>
        <w:pStyle w:val="Heading2"/>
      </w:pPr>
      <w:r>
        <w:rPr>
          <w:color w:val="1F497D"/>
        </w:rPr>
        <w:t>2.2 단백질-단백질 상호작용 (_B_, ver2 동일)</w:t>
      </w:r>
    </w:p>
    <w:p>
      <w:pPr>
        <w:jc w:val="both"/>
      </w:pPr>
      <w:r>
        <w:rPr>
          <w:sz w:val="21"/>
        </w:rPr>
        <w:t>STRING DB v12 Human (9606) Physical interaction 데이터를 사용하였다. 전체 1,477,610개 상호작용 중 GGA 유전자 집합에 속하는 유전자를 포함하는 539,804개 쌍을 필터링하였다. STRING combined score를 에지 가중치로 사용하였다.</w:t>
      </w:r>
    </w:p>
    <w:p>
      <w:pPr>
        <w:pStyle w:val="Heading2"/>
      </w:pPr>
      <w:r>
        <w:rPr>
          <w:color w:val="1F497D"/>
        </w:rPr>
        <w:t>2.3 약물-유전자 표적 관계 (_C_, ver2 동일)</w:t>
      </w:r>
    </w:p>
    <w:p>
      <w:pPr>
        <w:jc w:val="both"/>
      </w:pPr>
      <w:r>
        <w:rPr>
          <w:sz w:val="21"/>
        </w:rPr>
        <w:t>CIViC(Clinical Interpretation of Variants in Cancer) 데이터베이스에서 임상적으로 검증된 drug-gene target 관계 1,628개를 수집하였으며, GGA 유전자 집합에 속하는 유전자를 표적으로 하는 322개 약물-유전자 쌍을 사용하였다.</w:t>
      </w:r>
    </w:p>
    <w:p>
      <w:pPr>
        <w:pStyle w:val="Heading1"/>
      </w:pPr>
      <w:r>
        <w:rPr>
          <w:color w:val="1F497D"/>
        </w:rPr>
        <w:t>3. 이종 생물학적 네트워크 구성</w:t>
      </w:r>
    </w:p>
    <w:p>
      <w:pPr>
        <w:jc w:val="both"/>
      </w:pPr>
      <w:r>
        <w:rPr>
          <w:sz w:val="21"/>
        </w:rPr>
        <w:t>GGA, PPI, DGT 데이터를 통합하여 무방향 가중 이종 그래프(undirected weighted heterogeneous graph) G = (V, E)를 구성하였다. 노드 집합 V는 유전자 노드와 약물 노드로 구성되며, 에지 집합 E는 세 가지 에지 유형(GGA, PPI, DGT)을 포함한다.</w:t>
      </w:r>
    </w:p>
    <w:p>
      <w:pPr>
        <w:pStyle w:val="Heading2"/>
      </w:pPr>
      <w:r>
        <w:rPr>
          <w:color w:val="1F497D"/>
        </w:rPr>
        <w:t>3.1 에지 가중치 정규화 (Z-score → Sigmoid)</w:t>
      </w:r>
    </w:p>
    <w:p>
      <w:pPr>
        <w:jc w:val="both"/>
      </w:pPr>
      <w:r>
        <w:rPr>
          <w:sz w:val="21"/>
        </w:rPr>
        <w:t>각 에지 유형별로 독립적인 Z-score → Sigmoid 정규화를 적용하여 에지 가중치를 0~1 범위의 확률값으로 변환하였다. 이는 서로 다른 스케일을 갖는 이종 데이터를 통합 비교 가능하게 하기 위함이다.</w:t>
      </w:r>
    </w:p>
    <w:p>
      <w:pPr>
        <w:jc w:val="both"/>
      </w:pPr>
      <w:r>
        <w:rPr>
          <w:sz w:val="21"/>
        </w:rPr>
        <w:t>정규화 수식: z = (x − μ) / σ,  p = 1 / (1 + exp(−z))</w:t>
      </w:r>
    </w:p>
    <w:p>
      <w:pPr>
        <w:jc w:val="both"/>
      </w:pPr>
      <w:r>
        <w:rPr>
          <w:sz w:val="21"/>
        </w:rPr>
        <w:t>여기서 μ, σ는 각 에지 유형 내의 평균과 표준편차이다.</w:t>
      </w:r>
    </w:p>
    <w:p>
      <w:pPr>
        <w:pStyle w:val="Heading2"/>
      </w:pPr>
      <w:r>
        <w:rPr>
          <w:color w:val="1F497D"/>
        </w:rPr>
        <w:t>3.2 중복 에지 병합 (GGA + PPI)</w:t>
      </w:r>
    </w:p>
    <w:p>
      <w:pPr>
        <w:jc w:val="both"/>
      </w:pPr>
      <w:r>
        <w:rPr>
          <w:sz w:val="21"/>
        </w:rPr>
        <w:t>동일한 유전자 쌍이 GGA와 PPI 양쪽에 존재할 경우, 가중 평균으로 병합하였다: w_merged = 0.4 × w_GGA + 0.6 × w_PPI. PPI 가중치에 더 높은 가중치를 부여하는 이유는 PPI가 실험적으로 검증된 직접적인 단백질 상호작용을 나타내기 때문이다.</w:t>
      </w:r>
    </w:p>
    <w:p>
      <w:pPr>
        <w:pStyle w:val="Heading2"/>
      </w:pPr>
      <w:r>
        <w:rPr>
          <w:color w:val="1F497D"/>
        </w:rPr>
        <w:t>3.3 네트워크 규모 (ver3)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에지 유형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에지 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GGA (gene-gene pairwise)</w:t>
            </w:r>
          </w:p>
        </w:tc>
        <w:tc>
          <w:tcPr>
            <w:tcW w:type="dxa" w:w="2880"/>
          </w:tcPr>
          <w:p>
            <w:r>
              <w:t>~3,267,720</w:t>
            </w:r>
          </w:p>
        </w:tc>
        <w:tc>
          <w:tcPr>
            <w:tcW w:type="dxa" w:w="2880"/>
          </w:tcPr>
          <w:p>
            <w:r>
              <w:t>absPearsonR Z-sig 정규화</w:t>
            </w:r>
          </w:p>
        </w:tc>
      </w:tr>
      <w:tr>
        <w:tc>
          <w:tcPr>
            <w:tcW w:type="dxa" w:w="2880"/>
          </w:tcPr>
          <w:p>
            <w:r>
              <w:t>PPI (gene-gene)</w:t>
            </w:r>
          </w:p>
        </w:tc>
        <w:tc>
          <w:tcPr>
            <w:tcW w:type="dxa" w:w="2880"/>
          </w:tcPr>
          <w:p>
            <w:r>
              <w:t>~539,804</w:t>
            </w:r>
          </w:p>
        </w:tc>
        <w:tc>
          <w:tcPr>
            <w:tcW w:type="dxa" w:w="2880"/>
          </w:tcPr>
          <w:p>
            <w:r>
              <w:t>STRING physical score</w:t>
            </w:r>
          </w:p>
        </w:tc>
      </w:tr>
      <w:tr>
        <w:tc>
          <w:tcPr>
            <w:tcW w:type="dxa" w:w="2880"/>
          </w:tcPr>
          <w:p>
            <w:r>
              <w:t>DGT (drug-gene)</w:t>
            </w:r>
          </w:p>
        </w:tc>
        <w:tc>
          <w:tcPr>
            <w:tcW w:type="dxa" w:w="2880"/>
          </w:tcPr>
          <w:p>
            <w:r>
              <w:t>~322</w:t>
            </w:r>
          </w:p>
        </w:tc>
        <w:tc>
          <w:tcPr>
            <w:tcW w:type="dxa" w:w="2880"/>
          </w:tcPr>
          <w:p>
            <w:r>
              <w:t>CIViC 임상 검증</w:t>
            </w:r>
          </w:p>
        </w:tc>
      </w:tr>
      <w:tr>
        <w:tc>
          <w:tcPr>
            <w:tcW w:type="dxa" w:w="2880"/>
          </w:tcPr>
          <w:p>
            <w:r>
              <w:t>GGA+PPI 중복 병합</w:t>
            </w:r>
          </w:p>
        </w:tc>
        <w:tc>
          <w:tcPr>
            <w:tcW w:type="dxa" w:w="2880"/>
          </w:tcPr>
          <w:p>
            <w:r>
              <w:t>해당 쌍 수</w:t>
            </w:r>
          </w:p>
        </w:tc>
        <w:tc>
          <w:tcPr>
            <w:tcW w:type="dxa" w:w="2880"/>
          </w:tcPr>
          <w:p>
            <w:r>
              <w:t>weighted avg (0.4:0.6)</w:t>
            </w:r>
          </w:p>
        </w:tc>
      </w:tr>
      <w:tr>
        <w:tc>
          <w:tcPr>
            <w:tcW w:type="dxa" w:w="2880"/>
          </w:tcPr>
          <w:p>
            <w:r>
              <w:t>총 노드</w:t>
            </w:r>
          </w:p>
        </w:tc>
        <w:tc>
          <w:tcPr>
            <w:tcW w:type="dxa" w:w="2880"/>
          </w:tcPr>
          <w:p>
            <w:r>
              <w:t>~4,058</w:t>
            </w:r>
          </w:p>
        </w:tc>
        <w:tc>
          <w:tcPr>
            <w:tcW w:type="dxa" w:w="2880"/>
          </w:tcPr>
          <w:p>
            <w:r>
              <w:t>유전자 ~3,871 + 약물 ~187</w:t>
            </w:r>
          </w:p>
        </w:tc>
      </w:tr>
      <w:tr>
        <w:tc>
          <w:tcPr>
            <w:tcW w:type="dxa" w:w="2880"/>
          </w:tcPr>
          <w:p>
            <w:r>
              <w:t>총 에지</w:t>
            </w:r>
          </w:p>
        </w:tc>
        <w:tc>
          <w:tcPr>
            <w:tcW w:type="dxa" w:w="2880"/>
          </w:tcPr>
          <w:p>
            <w:r>
              <w:t>~3,807,846</w:t>
            </w:r>
          </w:p>
        </w:tc>
        <w:tc>
          <w:tcPr>
            <w:tcW w:type="dxa" w:w="2880"/>
          </w:tcPr>
          <w:p>
            <w:r>
              <w:t>중복 병합 후 단방향 기준</w:t>
            </w:r>
          </w:p>
        </w:tc>
      </w:tr>
    </w:tbl>
    <w:p>
      <w:pPr>
        <w:pStyle w:val="Heading1"/>
      </w:pPr>
      <w:r>
        <w:rPr>
          <w:color w:val="1F497D"/>
        </w:rPr>
        <w:t>4. 노드 특징 행렬 (ver2 동일)</w:t>
      </w:r>
    </w:p>
    <w:p>
      <w:pPr>
        <w:jc w:val="both"/>
      </w:pPr>
      <w:r>
        <w:rPr>
          <w:sz w:val="21"/>
        </w:rPr>
        <w:t>각 노드 v에 대해 8차원 특징 벡터 x_v ∈ R^8을 구성하였다.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차원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특징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is_gene</w:t>
            </w:r>
          </w:p>
        </w:tc>
        <w:tc>
          <w:tcPr>
            <w:tcW w:type="dxa" w:w="2880"/>
          </w:tcPr>
          <w:p>
            <w:r>
              <w:t>유전자 노드 여부 (0/1)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is_drug</w:t>
            </w:r>
          </w:p>
        </w:tc>
        <w:tc>
          <w:tcPr>
            <w:tcW w:type="dxa" w:w="2880"/>
          </w:tcPr>
          <w:p>
            <w:r>
              <w:t>약물 노드 여부 (0/1)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log_degree</w:t>
            </w:r>
          </w:p>
        </w:tc>
        <w:tc>
          <w:tcPr>
            <w:tcW w:type="dxa" w:w="2880"/>
          </w:tcPr>
          <w:p>
            <w:r>
              <w:t>log(1 + degree)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gga_ratio</w:t>
            </w:r>
          </w:p>
        </w:tc>
        <w:tc>
          <w:tcPr>
            <w:tcW w:type="dxa" w:w="2880"/>
          </w:tcPr>
          <w:p>
            <w:r>
              <w:t>GGA 에지 비율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ppi_ratio</w:t>
            </w:r>
          </w:p>
        </w:tc>
        <w:tc>
          <w:tcPr>
            <w:tcW w:type="dxa" w:w="2880"/>
          </w:tcPr>
          <w:p>
            <w:r>
              <w:t>PPI 에지 비율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dgt_ratio</w:t>
            </w:r>
          </w:p>
        </w:tc>
        <w:tc>
          <w:tcPr>
            <w:tcW w:type="dxa" w:w="2880"/>
          </w:tcPr>
          <w:p>
            <w:r>
              <w:t>DGT 에지 비율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mean_weight</w:t>
            </w:r>
          </w:p>
        </w:tc>
        <w:tc>
          <w:tcPr>
            <w:tcW w:type="dxa" w:w="2880"/>
          </w:tcPr>
          <w:p>
            <w:r>
              <w:t>인접 에지 평균 가중치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max_weight</w:t>
            </w:r>
          </w:p>
        </w:tc>
        <w:tc>
          <w:tcPr>
            <w:tcW w:type="dxa" w:w="2880"/>
          </w:tcPr>
          <w:p>
            <w:r>
              <w:t>인접 에지 최대 가중치</w:t>
            </w:r>
          </w:p>
        </w:tc>
      </w:tr>
    </w:tbl>
    <w:p>
      <w:pPr>
        <w:pStyle w:val="Heading1"/>
      </w:pPr>
      <w:r>
        <w:rPr>
          <w:color w:val="1F497D"/>
        </w:rPr>
        <w:t>5. Graph Attention Network (GAT) 아키텍처 (ver2 동일)</w:t>
      </w:r>
    </w:p>
    <w:p>
      <w:pPr>
        <w:jc w:val="both"/>
      </w:pPr>
      <w:r>
        <w:rPr>
          <w:sz w:val="21"/>
        </w:rPr>
        <w:t>본 연구의 GAT는 에지 특징을 Attention 계산에 통합하는 Edge-Aware GAT를 Pure PyTorch로 구현하였다. 2개의 GAT 레이어와 노드 유형별 별도 입력 투영(type-specific projection)으로 구성된다.</w:t>
      </w:r>
    </w:p>
    <w:p>
      <w:pPr>
        <w:pStyle w:val="Heading2"/>
      </w:pPr>
      <w:r>
        <w:rPr>
          <w:color w:val="1F497D"/>
        </w:rPr>
        <w:t>5.1 Attention 메커니즘</w:t>
      </w:r>
    </w:p>
    <w:p>
      <w:pPr>
        <w:jc w:val="both"/>
      </w:pPr>
      <w:r>
        <w:rPr>
          <w:sz w:val="21"/>
        </w:rPr>
        <w:t>에지 (i → j)의 Attention score는 다음과 같이 계산된다:</w:t>
      </w:r>
    </w:p>
    <w:p>
      <w:pPr>
        <w:jc w:val="both"/>
      </w:pPr>
      <w:r>
        <w:rPr>
          <w:sz w:val="21"/>
        </w:rPr>
        <w:t>e_ij = LeakyReLU( a^T · [W·h_i || W·h_j || W_e·edge_feat_ij] )</w:t>
      </w:r>
    </w:p>
    <w:p>
      <w:pPr>
        <w:jc w:val="both"/>
      </w:pPr>
      <w:r>
        <w:rPr>
          <w:sz w:val="21"/>
        </w:rPr>
        <w:t>α_ij = softmax_{j ∈ N(i)}( e_ij / √degree(i) )</w:t>
      </w:r>
    </w:p>
    <w:p>
      <w:pPr>
        <w:jc w:val="both"/>
      </w:pPr>
      <w:r>
        <w:rPr>
          <w:sz w:val="21"/>
        </w:rPr>
        <w:t>여기서 W ∈ R^{F_in×F_out}은 노드 변환 행렬, W_e ∈ R^{5×5}는 에지 특징 변환 행렬, a ∈ R^{2F_out+5}는 Attention 벡터이다. √degree(i)로 나누는 degree-aware scaling을 적용하여 고차수(hub) 노드의 Attention 희석을 방지하였다.</w:t>
      </w:r>
    </w:p>
    <w:p>
      <w:pPr>
        <w:pStyle w:val="Heading2"/>
      </w:pPr>
      <w:r>
        <w:rPr>
          <w:color w:val="1F497D"/>
        </w:rPr>
        <w:t>5.2 모델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레이어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입력 차원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출력 차원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Head 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Aggregation</w:t>
            </w:r>
          </w:p>
        </w:tc>
      </w:tr>
      <w:tr>
        <w:tc>
          <w:tcPr>
            <w:tcW w:type="dxa" w:w="1728"/>
          </w:tcPr>
          <w:p>
            <w:r>
              <w:t>입력 투영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Type-specific (gene/drug)</w:t>
            </w:r>
          </w:p>
        </w:tc>
      </w:tr>
      <w:tr>
        <w:tc>
          <w:tcPr>
            <w:tcW w:type="dxa" w:w="1728"/>
          </w:tcPr>
          <w:p>
            <w:r>
              <w:t>GAT Layer 1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16×8=128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Concat</w:t>
            </w:r>
          </w:p>
        </w:tc>
      </w:tr>
      <w:tr>
        <w:tc>
          <w:tcPr>
            <w:tcW w:type="dxa" w:w="1728"/>
          </w:tcPr>
          <w:p>
            <w:r>
              <w:t>Dropout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p=0.3</w:t>
            </w:r>
          </w:p>
        </w:tc>
      </w:tr>
      <w:tr>
        <w:tc>
          <w:tcPr>
            <w:tcW w:type="dxa" w:w="1728"/>
          </w:tcPr>
          <w:p>
            <w:r>
              <w:t>GAT Layer 2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</w:tr>
    </w:tbl>
    <w:p>
      <w:pPr>
        <w:pStyle w:val="Heading2"/>
      </w:pPr>
      <w:r>
        <w:rPr>
          <w:color w:val="1F497D"/>
        </w:rPr>
        <w:t>5.3 학습 전략</w:t>
      </w:r>
    </w:p>
    <w:p>
      <w:pPr>
        <w:jc w:val="both"/>
      </w:pPr>
      <w:r>
        <w:rPr>
          <w:sz w:val="21"/>
        </w:rPr>
        <w:t>자기지도 학습(self-supervised learning) 방식의 Link Prediction을 목적 함수로 사용하였다. 에지를 Train:Val:Test = 8:1:1로 분할하고, Negative Sampling(1:1 비율)으로 학습하였다. Epoch당 1회 전체 그래프 Forward Pass 후 배치 크기(4,096) 만큼의 에지를 샘플링하여 Loss를 계산하는 방식을 적용, ver2 대비 학습 효율을 33배 개선하였다.</w:t>
      </w:r>
    </w:p>
    <w:p>
      <w:pPr>
        <w:jc w:val="both"/>
      </w:pPr>
      <w:r>
        <w:rPr>
          <w:sz w:val="21"/>
        </w:rPr>
        <w:t>손실 함수: L = −E[(w_pos · log σ(z_u^T z_v))] − E[(w_neg · log σ(−z_u^T z_v))] + λ·||Z||²</w:t>
      </w:r>
    </w:p>
    <w:p>
      <w:pPr>
        <w:jc w:val="both"/>
      </w:pPr>
      <w:r>
        <w:rPr>
          <w:sz w:val="21"/>
        </w:rPr>
        <w:t>약물 노드 관련 에지는 가중치 ×10을 적용하여 소수의 약물 노드 학습을 보완하였다. Gradient clipping(max_norm=1.0)과 Adam optimizer(lr=0.001), Val loss 기준 Early Stopping(patience=20)을 적용하였다.</w:t>
      </w:r>
    </w:p>
    <w:p>
      <w:pPr>
        <w:pStyle w:val="Heading1"/>
      </w:pPr>
      <w:r>
        <w:rPr>
          <w:color w:val="1F497D"/>
        </w:rPr>
        <w:t>6. GAT Attention 기반 Random Walk with Restart (RWR)</w:t>
      </w:r>
    </w:p>
    <w:p>
      <w:pPr>
        <w:pStyle w:val="Heading2"/>
      </w:pPr>
      <w:r>
        <w:rPr>
          <w:color w:val="1F497D"/>
        </w:rPr>
        <w:t>6.1 전이 확률 구성</w:t>
      </w:r>
    </w:p>
    <w:p>
      <w:pPr>
        <w:jc w:val="both"/>
      </w:pPr>
      <w:r>
        <w:rPr>
          <w:sz w:val="21"/>
        </w:rPr>
        <w:t>학습된 GAT의 Layer 2 Attention(α_ij, 8-head 평균)을 각 노드의 이웃 전이 확률로 변환하였다. GAT Attention과 원본 에지 가중치를 혼합하여 최종 전이 확률을 계산하였다:</w:t>
      </w:r>
    </w:p>
    <w:p>
      <w:pPr>
        <w:jc w:val="both"/>
      </w:pPr>
      <w:r>
        <w:rPr>
          <w:sz w:val="21"/>
        </w:rPr>
        <w:t>p_combined(i→j) = 0.7 × α_ij + 0.3 × w_orig(i,j)</w:t>
      </w:r>
    </w:p>
    <w:p>
      <w:pPr>
        <w:jc w:val="both"/>
      </w:pPr>
      <w:r>
        <w:rPr>
          <w:sz w:val="21"/>
        </w:rPr>
        <w:t>여기서 α_ij는 GAT Attention (src 기준 softmax 정규화), w_orig는 Z-score→Sigmoid 정규화된 원본 에지 가중치(src 기준 합=1 정규화)이다. 혼합 비율 α=0.7은 GAT 학습 구조를 우선적으로 반영하면서 원본 가중치의 안정성을 보완한다.</w:t>
      </w:r>
    </w:p>
    <w:p>
      <w:pPr>
        <w:pStyle w:val="Heading2"/>
      </w:pPr>
      <w:r>
        <w:rPr>
          <w:color w:val="1F497D"/>
        </w:rPr>
        <w:t>6.2 RWR 파라미터 및 시뮬레이션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파라미터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값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n_walks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노드당 시뮬레이션 횟수</w:t>
            </w:r>
          </w:p>
        </w:tc>
      </w:tr>
      <w:tr>
        <w:tc>
          <w:tcPr>
            <w:tcW w:type="dxa" w:w="2880"/>
          </w:tcPr>
          <w:p>
            <w:r>
              <w:t>walk_length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각 walk 당 최대 스텝</w:t>
            </w:r>
          </w:p>
        </w:tc>
      </w:tr>
      <w:tr>
        <w:tc>
          <w:tcPr>
            <w:tcW w:type="dxa" w:w="2880"/>
          </w:tcPr>
          <w:p>
            <w:r>
              <w:t>restart_prob (r)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출발 노드로 재시작 확률</w:t>
            </w:r>
          </w:p>
        </w:tc>
      </w:tr>
      <w:tr>
        <w:tc>
          <w:tcPr>
            <w:tcW w:type="dxa" w:w="2880"/>
          </w:tcPr>
          <w:p>
            <w:r>
              <w:t>n_workers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멀티프로세싱 병렬 워커 수</w:t>
            </w:r>
          </w:p>
        </w:tc>
      </w:tr>
      <w:tr>
        <w:tc>
          <w:tcPr>
            <w:tcW w:type="dxa" w:w="2880"/>
          </w:tcPr>
          <w:p>
            <w:r>
              <w:t>seed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재현성</w:t>
            </w:r>
          </w:p>
        </w:tc>
      </w:tr>
      <w:tr>
        <w:tc>
          <w:tcPr>
            <w:tcW w:type="dxa" w:w="2880"/>
          </w:tcPr>
          <w:p>
            <w:r>
              <w:t>혼합 비율 (α)</w:t>
            </w:r>
          </w:p>
        </w:tc>
        <w:tc>
          <w:tcPr>
            <w:tcW w:type="dxa" w:w="2880"/>
          </w:tcPr>
          <w:p>
            <w:r>
              <w:t>0.7</w:t>
            </w:r>
          </w:p>
        </w:tc>
        <w:tc>
          <w:tcPr>
            <w:tcW w:type="dxa" w:w="2880"/>
          </w:tcPr>
          <w:p>
            <w:r>
              <w:t>GAT:원본 = 7:3</w:t>
            </w:r>
          </w:p>
        </w:tc>
      </w:tr>
    </w:tbl>
    <w:p>
      <w:pPr>
        <w:jc w:val="both"/>
      </w:pPr>
      <w:r>
        <w:rPr>
          <w:sz w:val="21"/>
        </w:rPr>
        <w:t>각 시뮬레이션 스텝에서 현재 노드를 방문 카운터에 기록한 후, restart_prob(0.15) 확률로 출발 노드로 복귀하거나, 그렇지 않으면 전이 확률 p_combined에 따라 이웃 노드로 이동한다. 전체 walk 수는 노드 수 × n_walks이며, 멀티프로세싱(12 workers)으로 병렬 처리한다.</w:t>
      </w:r>
    </w:p>
    <w:p>
      <w:pPr>
        <w:pStyle w:val="Heading2"/>
      </w:pPr>
      <w:r>
        <w:rPr>
          <w:color w:val="1F497D"/>
        </w:rPr>
        <w:t>6.3 노드 중요도 정의</w:t>
      </w:r>
    </w:p>
    <w:p>
      <w:pPr>
        <w:jc w:val="both"/>
      </w:pPr>
      <w:r>
        <w:rPr>
          <w:sz w:val="21"/>
        </w:rPr>
        <w:t>모든 시뮬레이션 완료 후, 각 노드의 누적 방문 횟수(visit_count)를 전체 방문 횟수로 나누어 방문 확률(visit_prob)을 계산하며, 이를 최종 노드 중요도 지표로 사용하였다:</w:t>
      </w:r>
    </w:p>
    <w:p>
      <w:pPr>
        <w:jc w:val="both"/>
      </w:pPr>
      <w:r>
        <w:rPr>
          <w:sz w:val="21"/>
        </w:rPr>
        <w:t>importance(v) = visit_count(v) / Σ_u visit_count(u)</w:t>
      </w:r>
    </w:p>
    <w:p>
      <w:pPr>
        <w:pStyle w:val="Heading1"/>
      </w:pPr>
      <w:r>
        <w:rPr>
          <w:color w:val="1F497D"/>
        </w:rPr>
        <w:t>7. GAT Hub Score</w:t>
      </w:r>
    </w:p>
    <w:p>
      <w:pPr>
        <w:jc w:val="both"/>
      </w:pPr>
      <w:r>
        <w:rPr>
          <w:sz w:val="21"/>
        </w:rPr>
        <w:t>네트워크에서 구조적 허브 역할을 정량화하기 위해, 각 노드로 향하는(incoming) GAT Attention 값의 평균을 gat_hub_score로 정의하였다:</w:t>
      </w:r>
    </w:p>
    <w:p>
      <w:pPr>
        <w:jc w:val="both"/>
      </w:pPr>
      <w:r>
        <w:rPr>
          <w:sz w:val="21"/>
        </w:rPr>
        <w:t>gat_hub_score(v) = (1/|in(v)|) · Σ_{u→v} α_{uv}</w:t>
      </w:r>
    </w:p>
    <w:p>
      <w:pPr>
        <w:jc w:val="both"/>
      </w:pPr>
      <w:r>
        <w:rPr>
          <w:sz w:val="21"/>
        </w:rPr>
        <w:t>gat_hub_score가 높은 노드는 여러 이웃 노드들이 강하게 주목하는 네트워크 허브를 의미하며, visit_prob와 함께 노드 중요도를 다각도로 평가하는 보조 지표로 활용된다.</w:t>
      </w:r>
    </w:p>
    <w:p>
      <w:pPr>
        <w:pStyle w:val="Heading1"/>
      </w:pPr>
      <w:r>
        <w:rPr>
          <w:color w:val="1F497D"/>
        </w:rPr>
        <w:t>8. 통계적 타당성 검증 (ver2 결과 기반)</w:t>
      </w:r>
    </w:p>
    <w:p>
      <w:pPr>
        <w:jc w:val="both"/>
      </w:pPr>
      <w:r>
        <w:rPr>
          <w:sz w:val="21"/>
        </w:rPr>
        <w:t>GAT+RWR 랭킹의 생물학적 타당성을 검증하기 위해, 문헌 기반으로 주석 처리된 전립선암 표적치료제 표적 유전자(139개, 이 중 ergPRAD 특화 17개)의 랭킹 분포를 배경 유전자(17,862개)와 6가지 통계 검정으로 비교하였다.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검정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ALL PRAD (139개)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ergPRAD 특화 (17개)</w:t>
            </w:r>
          </w:p>
        </w:tc>
      </w:tr>
      <w:tr>
        <w:tc>
          <w:tcPr>
            <w:tcW w:type="dxa" w:w="2880"/>
          </w:tcPr>
          <w:p>
            <w:r>
              <w:t>Mann-Whitney U</w:t>
            </w:r>
          </w:p>
        </w:tc>
        <w:tc>
          <w:tcPr>
            <w:tcW w:type="dxa" w:w="2880"/>
          </w:tcPr>
          <w:p>
            <w:r>
              <w:t>p = 3.93×10⁻³⁸</w:t>
            </w:r>
          </w:p>
        </w:tc>
        <w:tc>
          <w:tcPr>
            <w:tcW w:type="dxa" w:w="2880"/>
          </w:tcPr>
          <w:p>
            <w:r>
              <w:t>p = 2.91×10⁻¹⁰</w:t>
            </w:r>
          </w:p>
        </w:tc>
      </w:tr>
      <w:tr>
        <w:tc>
          <w:tcPr>
            <w:tcW w:type="dxa" w:w="2880"/>
          </w:tcPr>
          <w:p>
            <w:r>
              <w:t>KS test (D-stat)</w:t>
            </w:r>
          </w:p>
        </w:tc>
        <w:tc>
          <w:tcPr>
            <w:tcW w:type="dxa" w:w="2880"/>
          </w:tcPr>
          <w:p>
            <w:r>
              <w:t>D = 0.521</w:t>
            </w:r>
          </w:p>
        </w:tc>
        <w:tc>
          <w:tcPr>
            <w:tcW w:type="dxa" w:w="2880"/>
          </w:tcPr>
          <w:p>
            <w:r>
              <w:t>D = 0.815</w:t>
            </w:r>
          </w:p>
        </w:tc>
      </w:tr>
      <w:tr>
        <w:tc>
          <w:tcPr>
            <w:tcW w:type="dxa" w:w="2880"/>
          </w:tcPr>
          <w:p>
            <w:r>
              <w:t>Fisher top 1%</w:t>
            </w:r>
          </w:p>
        </w:tc>
        <w:tc>
          <w:tcPr>
            <w:tcW w:type="dxa" w:w="2880"/>
          </w:tcPr>
          <w:p>
            <w:r>
              <w:t>fold = 16.6×, p = 1.10×10⁻²¹</w:t>
            </w:r>
          </w:p>
        </w:tc>
        <w:tc>
          <w:tcPr>
            <w:tcW w:type="dxa" w:w="2880"/>
          </w:tcPr>
          <w:p>
            <w:r>
              <w:t>fold = 41.2×, p = 1.65×10⁻¹⁰</w:t>
            </w:r>
          </w:p>
        </w:tc>
      </w:tr>
      <w:tr>
        <w:tc>
          <w:tcPr>
            <w:tcW w:type="dxa" w:w="2880"/>
          </w:tcPr>
          <w:p>
            <w:r>
              <w:t>Fisher top 10%</w:t>
            </w:r>
          </w:p>
        </w:tc>
        <w:tc>
          <w:tcPr>
            <w:tcW w:type="dxa" w:w="2880"/>
          </w:tcPr>
          <w:p>
            <w:r>
              <w:t>fold = 4.4×, p = 2.72×10⁻²⁵</w:t>
            </w:r>
          </w:p>
        </w:tc>
        <w:tc>
          <w:tcPr>
            <w:tcW w:type="dxa" w:w="2880"/>
          </w:tcPr>
          <w:p>
            <w:r>
              <w:t>fold = 7.6×, p = 1.56×10⁻¹⁰</w:t>
            </w:r>
          </w:p>
        </w:tc>
      </w:tr>
      <w:tr>
        <w:tc>
          <w:tcPr>
            <w:tcW w:type="dxa" w:w="2880"/>
          </w:tcPr>
          <w:p>
            <w:r>
              <w:t>Permutation (10,000회)</w:t>
            </w:r>
          </w:p>
        </w:tc>
        <w:tc>
          <w:tcPr>
            <w:tcW w:type="dxa" w:w="2880"/>
          </w:tcPr>
          <w:p>
            <w:r>
              <w:t>Z = -12.94, p &lt; 10⁻⁵</w:t>
            </w:r>
          </w:p>
        </w:tc>
        <w:tc>
          <w:tcPr>
            <w:tcW w:type="dxa" w:w="2880"/>
          </w:tcPr>
          <w:p>
            <w:r>
              <w:t>Z = -6.10, p &lt; 10⁻⁵</w:t>
            </w:r>
          </w:p>
        </w:tc>
      </w:tr>
      <w:tr>
        <w:tc>
          <w:tcPr>
            <w:tcW w:type="dxa" w:w="2880"/>
          </w:tcPr>
          <w:p>
            <w:r>
              <w:t>GSEA NES</w:t>
            </w:r>
          </w:p>
        </w:tc>
        <w:tc>
          <w:tcPr>
            <w:tcW w:type="dxa" w:w="2880"/>
          </w:tcPr>
          <w:p>
            <w:r>
              <w:t>1.760 (p=0.000)</w:t>
            </w:r>
          </w:p>
        </w:tc>
        <w:tc>
          <w:tcPr>
            <w:tcW w:type="dxa" w:w="2880"/>
          </w:tcPr>
          <w:p>
            <w:r>
              <w:t>1.903 (p=0.000)</w:t>
            </w:r>
          </w:p>
        </w:tc>
      </w:tr>
    </w:tbl>
    <w:p>
      <w:pPr>
        <w:jc w:val="both"/>
      </w:pPr>
      <w:r>
        <w:rPr>
          <w:sz w:val="21"/>
        </w:rPr>
        <w:t>24/24 검정에서 모두 유의한 결과(p &lt; 0.05)를 보였으며, 특히 ergPRAD 특화 17개 유전자는 상위 20% 이내에 17/17(100%)이 포함되어(fold=5.0×), GAT+RWR이 생물학적으로 의미있는 노드 중요도를 추론함을 통계적으로 입증하였다. 해당 결과는 ver2 분석에 기반하며, ver3 완료 후 동일 검증 절차를 적용할 예정이다.</w:t>
      </w:r>
    </w:p>
    <w:p>
      <w:pPr>
        <w:pStyle w:val="Heading1"/>
      </w:pPr>
      <w:r>
        <w:rPr>
          <w:color w:val="1F497D"/>
        </w:rPr>
        <w:t>9. 전립선암 표적치료제 표적 유전자 주석 체계</w:t>
      </w:r>
    </w:p>
    <w:p>
      <w:pPr>
        <w:jc w:val="both"/>
      </w:pPr>
      <w:r>
        <w:rPr>
          <w:sz w:val="21"/>
        </w:rPr>
        <w:t>RWR 랭킹 결과에 임상 및 분자 생물학적 맥락을 부여하기 위해, 문헌 및 CIViC/COSMIC/OncoKB 기반으로 전립선암 표적치료제 표적 유전자를 수동 큐레이션하였다. 총 139개 유전자에 주석을 부여하였으며, TMPRSS2-ERG 융합 전립선암(ergPRAD)에 특이적인 17개 유전자는 '(ergPRAD)' 접두사로 별도 표기하였다.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주석 분류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유전자 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대표 유전자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주요 약물</w:t>
            </w:r>
          </w:p>
        </w:tc>
      </w:tr>
      <w:tr>
        <w:tc>
          <w:tcPr>
            <w:tcW w:type="dxa" w:w="2160"/>
          </w:tcPr>
          <w:p>
            <w:r>
              <w:t>(ergPRAD) 특화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ERG, EZH2, BRD4, KDM1A, PTEN, MYC</w:t>
            </w:r>
          </w:p>
        </w:tc>
        <w:tc>
          <w:tcPr>
            <w:tcW w:type="dxa" w:w="2160"/>
          </w:tcPr>
          <w:p>
            <w:r>
              <w:t>BET inhibitor, EZH2i, LSD1i</w:t>
            </w:r>
          </w:p>
        </w:tc>
      </w:tr>
      <w:tr>
        <w:tc>
          <w:tcPr>
            <w:tcW w:type="dxa" w:w="2160"/>
          </w:tcPr>
          <w:p>
            <w:r>
              <w:t>AR axis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AR, FOXA1, SRD5A1/2, CYP17A1</w:t>
            </w:r>
          </w:p>
        </w:tc>
        <w:tc>
          <w:tcPr>
            <w:tcW w:type="dxa" w:w="2160"/>
          </w:tcPr>
          <w:p>
            <w:r>
              <w:t>Enzalutamide, Abiraterone</w:t>
            </w:r>
          </w:p>
        </w:tc>
      </w:tr>
      <w:tr>
        <w:tc>
          <w:tcPr>
            <w:tcW w:type="dxa" w:w="2160"/>
          </w:tcPr>
          <w:p>
            <w:r>
              <w:t>DNA repair / PARP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BRCA1/2, ATM, CDK12, PALB2, RAD51</w:t>
            </w:r>
          </w:p>
        </w:tc>
        <w:tc>
          <w:tcPr>
            <w:tcW w:type="dxa" w:w="2160"/>
          </w:tcPr>
          <w:p>
            <w:r>
              <w:t>Olaparib, Rucaparib</w:t>
            </w:r>
          </w:p>
        </w:tc>
      </w:tr>
      <w:tr>
        <w:tc>
          <w:tcPr>
            <w:tcW w:type="dxa" w:w="2160"/>
          </w:tcPr>
          <w:p>
            <w:r>
              <w:t>PI3K/AKT/mTOR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PTEN, PIK3CA/CB, AKT1, MTOR</w:t>
            </w:r>
          </w:p>
        </w:tc>
        <w:tc>
          <w:tcPr>
            <w:tcW w:type="dxa" w:w="2160"/>
          </w:tcPr>
          <w:p>
            <w:r>
              <w:t>Ipatasertib, Everolimus</w:t>
            </w:r>
          </w:p>
        </w:tc>
      </w:tr>
      <w:tr>
        <w:tc>
          <w:tcPr>
            <w:tcW w:type="dxa" w:w="2160"/>
          </w:tcPr>
          <w:p>
            <w:r>
              <w:t>RTK / RAS / MAPK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ERBB2, EGFR, MET, KRAS, BRAF</w:t>
            </w:r>
          </w:p>
        </w:tc>
        <w:tc>
          <w:tcPr>
            <w:tcW w:type="dxa" w:w="2160"/>
          </w:tcPr>
          <w:p>
            <w:r>
              <w:t>Cabozantinib, T-DXd</w:t>
            </w:r>
          </w:p>
        </w:tc>
      </w:tr>
      <w:tr>
        <w:tc>
          <w:tcPr>
            <w:tcW w:type="dxa" w:w="2160"/>
          </w:tcPr>
          <w:p>
            <w:r>
              <w:t>Cell cycle / CDK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RB1, CDK4/6, CCND1, AURKA/B</w:t>
            </w:r>
          </w:p>
        </w:tc>
        <w:tc>
          <w:tcPr>
            <w:tcW w:type="dxa" w:w="2160"/>
          </w:tcPr>
          <w:p>
            <w:r>
              <w:t>Palbociclib, Alisertib</w:t>
            </w:r>
          </w:p>
        </w:tc>
      </w:tr>
      <w:tr>
        <w:tc>
          <w:tcPr>
            <w:tcW w:type="dxa" w:w="2160"/>
          </w:tcPr>
          <w:p>
            <w:r>
              <w:t>Epigenetics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EZH2, BRD2/3/4, KDM1A, HDAC2</w:t>
            </w:r>
          </w:p>
        </w:tc>
        <w:tc>
          <w:tcPr>
            <w:tcW w:type="dxa" w:w="2160"/>
          </w:tcPr>
          <w:p>
            <w:r>
              <w:t>Tazemetostat, JQ1</w:t>
            </w:r>
          </w:p>
        </w:tc>
      </w:tr>
      <w:tr>
        <w:tc>
          <w:tcPr>
            <w:tcW w:type="dxa" w:w="2160"/>
          </w:tcPr>
          <w:p>
            <w:r>
              <w:t>WNT / JAK-STAT / 기타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CTNNB1, STAT3, TP53, MYC, VEGFA</w:t>
            </w:r>
          </w:p>
        </w:tc>
        <w:tc>
          <w:tcPr>
            <w:tcW w:type="dxa" w:w="2160"/>
          </w:tcPr>
          <w:p>
            <w:r>
              <w:t>다양</w:t>
            </w:r>
          </w:p>
        </w:tc>
      </w:tr>
    </w:tbl>
    <w:p>
      <w:pPr>
        <w:pStyle w:val="Heading1"/>
      </w:pPr>
      <w:r>
        <w:rPr>
          <w:color w:val="1F497D"/>
        </w:rPr>
        <w:t>10. 버전별 분석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ver1 (RWR only)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ver2 (GAT+RWR)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ver3 (GAT+RWR, pairwise GGA)</w:t>
            </w:r>
          </w:p>
        </w:tc>
      </w:tr>
      <w:tr>
        <w:tc>
          <w:tcPr>
            <w:tcW w:type="dxa" w:w="2160"/>
          </w:tcPr>
          <w:p>
            <w:r>
              <w:t>GGA 방식</w:t>
            </w:r>
          </w:p>
        </w:tc>
        <w:tc>
          <w:tcPr>
            <w:tcW w:type="dxa" w:w="2160"/>
          </w:tcPr>
          <w:p>
            <w:r>
              <w:t>ERG vs N (단방향)</w:t>
            </w:r>
          </w:p>
        </w:tc>
        <w:tc>
          <w:tcPr>
            <w:tcW w:type="dxa" w:w="2160"/>
          </w:tcPr>
          <w:p>
            <w:r>
              <w:t>ERG vs N (단방향)</w:t>
            </w:r>
          </w:p>
        </w:tc>
        <w:tc>
          <w:tcPr>
            <w:tcW w:type="dxa" w:w="2160"/>
          </w:tcPr>
          <w:p>
            <w:r>
              <w:t>gene-gene pairwise (N×N)</w:t>
            </w:r>
          </w:p>
        </w:tc>
      </w:tr>
      <w:tr>
        <w:tc>
          <w:tcPr>
            <w:tcW w:type="dxa" w:w="2160"/>
          </w:tcPr>
          <w:p>
            <w:r>
              <w:t>GGA 입력</w:t>
            </w:r>
          </w:p>
        </w:tc>
        <w:tc>
          <w:tcPr>
            <w:tcW w:type="dxa" w:w="2160"/>
          </w:tcPr>
          <w:p>
            <w:r>
              <w:t>4,233 유전자</w:t>
            </w:r>
          </w:p>
        </w:tc>
        <w:tc>
          <w:tcPr>
            <w:tcW w:type="dxa" w:w="2160"/>
          </w:tcPr>
          <w:p>
            <w:r>
              <w:t>4,233 유전자</w:t>
            </w:r>
          </w:p>
        </w:tc>
        <w:tc>
          <w:tcPr>
            <w:tcW w:type="dxa" w:w="2160"/>
          </w:tcPr>
          <w:p>
            <w:r>
              <w:t>3,267,720 쌍 (3,871 유전자)</w:t>
            </w:r>
          </w:p>
        </w:tc>
      </w:tr>
      <w:tr>
        <w:tc>
          <w:tcPr>
            <w:tcW w:type="dxa" w:w="2160"/>
          </w:tcPr>
          <w:p>
            <w:r>
              <w:t>GAT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  <w:tc>
          <w:tcPr>
            <w:tcW w:type="dxa" w:w="2160"/>
          </w:tcPr>
          <w:p>
            <w:r>
              <w:t>Edge-Aware 2L-8H</w:t>
            </w:r>
          </w:p>
        </w:tc>
        <w:tc>
          <w:tcPr>
            <w:tcW w:type="dxa" w:w="2160"/>
          </w:tcPr>
          <w:p>
            <w:r>
              <w:t>Edge-Aware 2L-8H (동일)</w:t>
            </w:r>
          </w:p>
        </w:tc>
      </w:tr>
      <w:tr>
        <w:tc>
          <w:tcPr>
            <w:tcW w:type="dxa" w:w="2160"/>
          </w:tcPr>
          <w:p>
            <w:r>
              <w:t>전이 확률</w:t>
            </w:r>
          </w:p>
        </w:tc>
        <w:tc>
          <w:tcPr>
            <w:tcW w:type="dxa" w:w="2160"/>
          </w:tcPr>
          <w:p>
            <w:r>
              <w:t>원본 weight</w:t>
            </w:r>
          </w:p>
        </w:tc>
        <w:tc>
          <w:tcPr>
            <w:tcW w:type="dxa" w:w="2160"/>
          </w:tcPr>
          <w:p>
            <w:r>
              <w:t>GAT×0.7 + 원본×0.3</w:t>
            </w:r>
          </w:p>
        </w:tc>
        <w:tc>
          <w:tcPr>
            <w:tcW w:type="dxa" w:w="2160"/>
          </w:tcPr>
          <w:p>
            <w:r>
              <w:t>GAT×0.7 + 원본×0.3 (동일)</w:t>
            </w:r>
          </w:p>
        </w:tc>
      </w:tr>
      <w:tr>
        <w:tc>
          <w:tcPr>
            <w:tcW w:type="dxa" w:w="2160"/>
          </w:tcPr>
          <w:p>
            <w:r>
              <w:t>총 노드</w:t>
            </w:r>
          </w:p>
        </w:tc>
        <w:tc>
          <w:tcPr>
            <w:tcW w:type="dxa" w:w="2160"/>
          </w:tcPr>
          <w:p>
            <w:r>
              <w:t>18,211</w:t>
            </w:r>
          </w:p>
        </w:tc>
        <w:tc>
          <w:tcPr>
            <w:tcW w:type="dxa" w:w="2160"/>
          </w:tcPr>
          <w:p>
            <w:r>
              <w:t>18,211</w:t>
            </w:r>
          </w:p>
        </w:tc>
        <w:tc>
          <w:tcPr>
            <w:tcW w:type="dxa" w:w="2160"/>
          </w:tcPr>
          <w:p>
            <w:r>
              <w:t>~4,058</w:t>
            </w:r>
          </w:p>
        </w:tc>
      </w:tr>
      <w:tr>
        <w:tc>
          <w:tcPr>
            <w:tcW w:type="dxa" w:w="2160"/>
          </w:tcPr>
          <w:p>
            <w:r>
              <w:t>총 에지</w:t>
            </w:r>
          </w:p>
        </w:tc>
        <w:tc>
          <w:tcPr>
            <w:tcW w:type="dxa" w:w="2160"/>
          </w:tcPr>
          <w:p>
            <w:r>
              <w:t>~1.5M</w:t>
            </w:r>
          </w:p>
        </w:tc>
        <w:tc>
          <w:tcPr>
            <w:tcW w:type="dxa" w:w="2160"/>
          </w:tcPr>
          <w:p>
            <w:r>
              <w:t>~1.5M</w:t>
            </w:r>
          </w:p>
        </w:tc>
        <w:tc>
          <w:tcPr>
            <w:tcW w:type="dxa" w:w="2160"/>
          </w:tcPr>
          <w:p>
            <w:r>
              <w:t>~3.8M</w:t>
            </w:r>
          </w:p>
        </w:tc>
      </w:tr>
      <w:tr>
        <w:tc>
          <w:tcPr>
            <w:tcW w:type="dxa" w:w="2160"/>
          </w:tcPr>
          <w:p>
            <w:r>
              <w:t>ERBB2 rank</w:t>
            </w:r>
          </w:p>
        </w:tc>
        <w:tc>
          <w:tcPr>
            <w:tcW w:type="dxa" w:w="2160"/>
          </w:tcPr>
          <w:p>
            <w:r>
              <w:t>13위</w:t>
            </w:r>
          </w:p>
        </w:tc>
        <w:tc>
          <w:tcPr>
            <w:tcW w:type="dxa" w:w="2160"/>
          </w:tcPr>
          <w:p>
            <w:r>
              <w:t>12위</w:t>
            </w:r>
          </w:p>
        </w:tc>
        <w:tc>
          <w:tcPr>
            <w:tcW w:type="dxa" w:w="2160"/>
          </w:tcPr>
          <w:p>
            <w:r>
              <w:t>미완료</w:t>
            </w:r>
          </w:p>
        </w:tc>
      </w:tr>
      <w:tr>
        <w:tc>
          <w:tcPr>
            <w:tcW w:type="dxa" w:w="2160"/>
          </w:tcPr>
          <w:p>
            <w:r>
              <w:t>결과 파일</w:t>
            </w:r>
          </w:p>
        </w:tc>
        <w:tc>
          <w:tcPr>
            <w:tcW w:type="dxa" w:w="2160"/>
          </w:tcPr>
          <w:p>
            <w:r>
              <w:t>node_importance.tsv</w:t>
            </w:r>
          </w:p>
        </w:tc>
        <w:tc>
          <w:tcPr>
            <w:tcW w:type="dxa" w:w="2160"/>
          </w:tcPr>
          <w:p>
            <w:r>
              <w:t>node_importance_v2.tsv</w:t>
            </w:r>
          </w:p>
        </w:tc>
        <w:tc>
          <w:tcPr>
            <w:tcW w:type="dxa" w:w="2160"/>
          </w:tcPr>
          <w:p>
            <w:r>
              <w:t>node_importance_v3.tsv</w:t>
            </w:r>
          </w:p>
        </w:tc>
      </w:tr>
    </w:tbl>
    <w:p>
      <w:pPr>
        <w:pStyle w:val="Heading1"/>
      </w:pPr>
      <w:r>
        <w:rPr>
          <w:color w:val="1F497D"/>
        </w:rPr>
        <w:t>11. 구현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사양</w:t>
            </w:r>
          </w:p>
        </w:tc>
      </w:tr>
      <w:tr>
        <w:tc>
          <w:tcPr>
            <w:tcW w:type="dxa" w:w="4320"/>
          </w:tcPr>
          <w:p>
            <w:r>
              <w:t>언어</w:t>
            </w:r>
          </w:p>
        </w:tc>
        <w:tc>
          <w:tcPr>
            <w:tcW w:type="dxa" w:w="4320"/>
          </w:tcPr>
          <w:p>
            <w:r>
              <w:t>Python 3.x</w:t>
            </w:r>
          </w:p>
        </w:tc>
      </w:tr>
      <w:tr>
        <w:tc>
          <w:tcPr>
            <w:tcW w:type="dxa" w:w="4320"/>
          </w:tcPr>
          <w:p>
            <w:r>
              <w:t>주요 라이브러리</w:t>
            </w:r>
          </w:p>
        </w:tc>
        <w:tc>
          <w:tcPr>
            <w:tcW w:type="dxa" w:w="4320"/>
          </w:tcPr>
          <w:p>
            <w:r>
              <w:t>PyTorch, NetworkX, NumPy, Pandas, SciPy</w:t>
            </w:r>
          </w:p>
        </w:tc>
      </w:tr>
      <w:tr>
        <w:tc>
          <w:tcPr>
            <w:tcW w:type="dxa" w:w="4320"/>
          </w:tcPr>
          <w:p>
            <w:r>
              <w:t>GAT 구현</w:t>
            </w:r>
          </w:p>
        </w:tc>
        <w:tc>
          <w:tcPr>
            <w:tcW w:type="dxa" w:w="4320"/>
          </w:tcPr>
          <w:p>
            <w:r>
              <w:t>Pure PyTorch (torch_geometric 미사용)</w:t>
            </w:r>
          </w:p>
        </w:tc>
      </w:tr>
      <w:tr>
        <w:tc>
          <w:tcPr>
            <w:tcW w:type="dxa" w:w="4320"/>
          </w:tcPr>
          <w:p>
            <w:r>
              <w:t>병렬처리</w:t>
            </w:r>
          </w:p>
        </w:tc>
        <w:tc>
          <w:tcPr>
            <w:tcW w:type="dxa" w:w="4320"/>
          </w:tcPr>
          <w:p>
            <w:r>
              <w:t>multiprocessing.Pool, 12 workers</w:t>
            </w:r>
          </w:p>
        </w:tc>
      </w:tr>
      <w:tr>
        <w:tc>
          <w:tcPr>
            <w:tcW w:type="dxa" w:w="4320"/>
          </w:tcPr>
          <w:p>
            <w:r>
              <w:t>운영체제</w:t>
            </w:r>
          </w:p>
        </w:tc>
        <w:tc>
          <w:tcPr>
            <w:tcW w:type="dxa" w:w="4320"/>
          </w:tcPr>
          <w:p>
            <w:r>
              <w:t>Windows (cp949 인코딩)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https://github.com/randomwork0330/randomwork_test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