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1B：台灣六大封閉淡水體非繁殖期大口黑鱸棲地動態與風驅流體力學模型深度評估報告</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核心生理與毒理學邊界條件之理論建構</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在探討大口黑鱸（Micropterus salmoides）於非繁殖期間的微棲地選擇與空間分佈動態前，必須首先確立其生理學與毒理學的絕對邊界條件。這些邊界條件構成了評估台灣六大水體中極端物理與化學事件如何壓迫魚類生存空間的基礎。</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關於溶解氧（DO）之耐受度，大口黑鱸的基礎代謝率對水層溶氧濃度具備高度的敏感性。文獻與實驗數據明確指出，當水體溶解氧濃度降至 3.0 mg/L 時，大口黑鱸會開始經歷輕微的生理緊迫，其呼吸頻率與鰓蓋運動顯著增加；而當環境溶解氧進一步跌至 2.0 mg/L 時，將觸發絕對的行為迴避（Behavioral avoidance）機制，迫使魚群放棄原有的深層掩蔽物，啟動強制性的垂直遷徙以尋求富氧水層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。若水體缺氧狀態持續惡化，其急性致死閾值（Lethal threshold）則落在 1.5 mg/L 以下，此時將引發廣泛的急性窒息與大規模魚類死亡事件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。這種行為迴避閾值與致死閾值之間的狹窄緩衝區，在夏季高溫的水體中極易被迅速突破。</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在底棲微環境毒理學方面，硫化氫（H₂S）展現出極端且致命的毒理特徵。硫化氫分子為脂溶性，能毫無阻礙地直接穿透魚類的鰓部上皮細胞進入微血管。進入血液後，H₂S 會以不可逆的方式與細胞粒線體中的細胞色素 c 氧化酶（Cytochrome c oxidase，亦即 Cytochrome a3）結合，徹底阻斷細胞層級的電子傳遞鏈，導致組織即便在有氧狀態下亦無法進行有氧呼吸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。對於大口黑鱸等淡水魚類而言，硫化氫的亞致死與行為迴避閾值極低，僅為 0.002 mg/L（2 μg/L）；而其 96 小時半致死濃度（LC50）則精確落在 0.02 至 0.05 mg/L 之間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。這種極低的毒性閾值意味著，一旦底質的氧化還原電位崩塌，底棲生物圈將瞬間化為死亡陷阱。</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另一方面，亞鐵離子（Fe²⁺）的毒性機制則與硫化氫的細胞層級毒性截然不同，主要表現為物理性的窒息與氧化壓力。在北部微酸性水體中，缺氧底泥大量釋放可溶性的二價鐵離子，當這些離子向上擴散並接觸到含有微量氧氣的水層或大口黑鱸的鰓表面時，會迅速氧化並水解成三價的氫氧化鐵（Fe(OH)₃）膠體絮凝物。這些絮凝物會附著並堵塞鰓絲的次級結構，導致氣體交換表面積銳減。文獻指出，Fe²⁺ 對淡水魚類的慢性或亞致死迴避閾值設定為 0.37 mg/L，而引發急性死亡的 96 小時 LC50 閾值則約為 7.5 mg/L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針對高溫環境的熱耐受度（Thermal tolerance），大口黑鱸雖為廣溫性魚類，其最佳生長與覓食溫度區間介於 23 至 28.6°C 之間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。然而，當水溫突破 30°C 的臨界點時，其體內的消化酵素活性開始受抑，基礎代謝負擔呈指數上升，此時魚體會展現出明顯的活動抑制溫度（Activity suppression temperature）特徵，索餌意願大幅衰退，轉而尋求陰影或深水冷水區庇護。若遭遇 32°C 以上的極端高溫，將引發嚴重的熱緊迫並誘發熱休克蛋白的合成，其絕對的臨界最高溫度（Critical Thermal Maximum, CTM）約為 38.5°C，超過此溫度將導致失去平衡與神經肌肉痙攣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在非繁殖期間，大口黑鱸依然保有強烈的底質偏好性。依據棲地選擇生態學，其偏好排序嚴格遵循：礫石（Gravel）大於粗砂（Sand），大於沉積淤泥（Silt），最後才是高有機質軟泥（Mud）</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此種偏好的生態學理據在於，硬質的礫石與砂底能夠維持底面邊界層的流體力學穩定性，在鱸魚進行瞬間爆發性的掠食突擊時，不會揚起大片濁水而遮蔽其作為視覺掠食者的視線；同時，硬底質所提供的三維孔隙結構，是底棲甲殼類（如小龍蝦）與小型底棲餌料魚最佳的繁衍與躲藏微棲地，從最佳覓食理論的角度來看，礫石底質區域即等同於高能量回報的索餌場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。相反地，高有機質的淤泥與軟泥不僅無法提供穩固的掩蔽，其強烈的異營耗氧特性更易引發微環境缺氧與有毒硫化物的積累，成為大口黑鱸極力避開的劣質棲地。</w:t>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六大水體微棲地深度矩陣與夏季極端熱力學強迫</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基於上游大氣強迫、成土母質地球化學基底 以及前述之生理毒理閾值，本研究建構了台灣六大水體之四季節棲地深度預測矩陣。該矩陣不僅反映了溫度與溶氧的垂直分佈，更深刻整合了人為管理強度對微棲地的重塑作用。</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春季棲地深度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夏季棲地深度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秋季棲地深度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冬季棲地深度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 迴避觸發閾值 (mg/L)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1.0 - 1.5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1.2 - 2.0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0.8 - 1.5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1.5 - 2.5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2.0 - 5.0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3.0 - 5.0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2.0 - 4.0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4.0 - 8.0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0.8 - 1.2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0.5 - 1.0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0.5 - 1.2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1.0 - 1.8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0.8 - 1.2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0.5 - 1.2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1.0 - 1.5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1.2 - 1.8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2.0 - 4.0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3.0 - 6.0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2.0 - 5.0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3.0 - 6.0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0.5 - 1.0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0.3 - 0.8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0.5 - 1.2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1.0 - 1.5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w:t>
            </w:r>
          </w:p>
        </w:tc>
      </w:tr>
    </w:tbl>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在深入解析這些棲地深度分佈時，必須聚焦於幾項極端動力學機制，特別是管理池中曝氣設備（水車）的運轉狀態對溶氧均質化與棲地迫遷的決定性影響。</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在北部管理池（水體 3）中，夏季高溫通常使表層水溫攀升至 33°C 左右。依據物理化學氣體溶解度定律，此溫度下純水的飽和溶氧上限受限於約 7.1 mg/L（依據 之 30°C 與 35°C 數據插值推算）。當水車處於運轉狀態時，機械動能克服了水體的密度梯度，強迫對流將富含氧氣的表層水捲入底層，使得全水層的溶氧達到動態均質化（Homogenization）。然而，一旦在夏季無風的正午時段關閉水車，流體湍流將迅速耗散。依據 的實證數據，表層水體僅需 4 至 6 小時便能重新建立穩固的熱分層（Thermal stratification）。同時，基於 [Open_Assumptions] 中對系統處於絕對異營生態系（GPP &lt; R）的保守假定，底泥與水體微生物的強烈呼吸耗氧將主導局部微環境。推算在水車停機後，底層溶氧從 7.1 mg/L 衰退至大口黑鱸 2.0 mg/L 迴避閾值的降解速率高達 0.85 mg/L/hr。這意味著在停機約 6.0 小時後，底棲層的溶氧即宣告失守，迫使原本隱蔽於 1.5 m 深處的大口黑鱸必須放棄底層，向上層水體進行 1.0 m 的強制垂直迫遷（Habitat depth shift），停留在 0.5 m 的淺水層，承受極大的高溫與掠食風險。</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相同的水車停機風險在南部管理池（水體 6）中則展現出更加暴烈的軌跡。南部的夏季極端高溫可使淺水池表溫飆升至 35.5°C。在此極端高溫下，微生物的耗氧代謝速率受到 Q10 溫度係數（2.08）的強烈放大，呈現非線性倍增。此時，水體的初始飽和溶氧上限已被壓縮至僅 6.94 mg/L 以下。水車停機後，底泥的高溫異營代謝使 DO 崩潰速率激增至 1.41 mg/L/hr。僅需短暫的 3.5 小時，近底層水體不僅跌破 2.0 mg/L 的行為迴避閾值，甚至會逼近絕對無氧狀態。這迫使南部管理池的大口黑鱸產生高達 0.8 m 至 1.2 m 的極端垂直迫遷，甚至在夜間或清晨時段被觀察到在水面進行浮頭（Surface piping）的危急求生行為。</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除了短期的溶氧波動，長期的氣候水文強迫同樣重塑了棲地幾何。南部深水庫（水體 5）在春末夏初之際，面臨著長達數月的絕對乾旱。依據，乾燥的背風下沉氣流配合強烈日照，使南部水系每月承受高達 80 mm 的淨水分虧損。經過四個多月的枯水期累積，加上鄰近農業需水導致的放水，估算深水庫在乾旱巔峰期的水位消落深度（Drawdown depth）將達到 0.7 m。這一物理性的水位下降帶來了嚴峻的生態後果：原本富含緩衝容量且底質堅硬的新成土（Inceptisols）沿岸淺水帶被完全暴露於空氣中。大口黑鱸被迫撤離其最優質的 0 至 1.5 m 礫石產卵與伏擊帶，向地形更為陡峭、掩蔽物匱乏的深水區退移。雖然水庫絕對水深足夠，但鱸魚群體相對於水體表面的絕對活動深度被迫產生了 0.7 m 的向上位移（Upward habitat shift），這種空間壓縮直接加劇了種內的棲地與食物競爭。</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將上述分析映射至底質偏好模型，台灣南北水體的成土母質決定了棲地的優劣基底。北部水域（水體 1、2、3）主要由極育土（Ultisols）主導，底質富含高嶺石黏土且呈現微酸性（pH 4.5-5.5）。這種軟泥與淤泥底質極易陷入缺氧，且無法提供穩固的伏擊基礎，因此對大口黑鱸而言屬於低度至中度偏好棲地。相對地，南部水域（特別是水體 4 與 5）位於弱育土與新成土地帶，保留了大量原生矽酸鹽與砂質、礫石沉積物，具備高鹽基飽和度與 pH 緩衝力。這些硬質且結構複雜的底床不僅契合大口黑鱸的生理與掠食本能，更提供了豐富的底棲甲殼類資源，因此南部野生埤塘與水庫的底質條件被評估為高度偏好棲地。</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北部深水庫異重流動力學與深層棲地之毀滅性衝擊</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在探討深水庫棲地動態時，梅雨或颱風期間的極端降水事件所引發的異重流（Density Current，或稱密度流）是一項足以徹底顛覆深層生態分佈的災難性物理機制。以北部深水庫（水體 2）為例，當集水區遭逢連續 24 小時內超過 100 mm 的極端暴雨沖刷時，大量的極育土黏土微粒與有機碎屑被地表逕流攜帶入庫。</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首先進行物理邊界參數的推算：經過山區地表的熱傳導與雨水本身的冷卻效應，暴雨夾帶的流入水溫大幅低於水庫表層水溫，估算入流冷水溫度約為 20°C。同時，龐大的沖刷力使得水體中的懸浮固體（TSS）濃度急遽飆升，輕易突破 3000 mg/L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。相比之下，此時深水庫表層水溫仍維持在夏秋之交的 30°C 左右。在標準大氣壓下，30°C 純水的密度約為 995.65 kg/m³。而 20°C 的冰冷入流水其本體密度已達 998.20 kg/m³，加上高達 3000 mg/L（即 3.0 kg/m³）的懸浮泥砂負載，入流水的總密度高達 1001.20 kg/m³。冷水與高濁度的雙重疊加，在入流水與庫區表層水之間創造了高達 5.55 kg/m³ 的劇烈密度差（</w:t>
      </w:r>
      <w:r w:rsidDel="00000000" w:rsidR="00000000" w:rsidRPr="00000000">
        <w:rPr>
          <w:rFonts w:ascii="Google Sans" w:cs="Google Sans" w:eastAsia="Google Sans" w:hAnsi="Google Sans"/>
          <w:color w:val="1f1f1f"/>
        </w:rPr>
        <w:drawing>
          <wp:inline distB="19050" distT="19050" distL="19050" distR="19050">
            <wp:extent cx="249138" cy="229973"/>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249138" cy="2299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當這股沉重、冰冷且高濁度的逕流抵達水庫尾水區時，它無法與表層溫水混合，而是憑藉著強大的負浮力，在被稱為「潛入點」（Plunge Point）的位置陡然下潛，沿著原始河床的峽谷底部向下深切，形成海底雪崩般的異重流。異重流的潛入深度與傳輸動能可透過計算潛入點的異重流弗勞德數（Densimetric Froude Number, </w:t>
      </w:r>
      <w:r w:rsidDel="00000000" w:rsidR="00000000" w:rsidRPr="00000000">
        <w:rPr>
          <w:rFonts w:ascii="Google Sans" w:cs="Google Sans" w:eastAsia="Google Sans" w:hAnsi="Google Sans"/>
          <w:color w:val="1f1f1f"/>
        </w:rPr>
        <w:drawing>
          <wp:inline distB="19050" distT="19050" distL="19050" distR="19050">
            <wp:extent cx="192733" cy="231279"/>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192733" cy="2312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）來精確量化 </w:t>
      </w:r>
      <w:r w:rsidDel="00000000" w:rsidR="00000000" w:rsidRPr="00000000">
        <w:rPr>
          <w:rFonts w:ascii="Google Sans" w:cs="Google Sans" w:eastAsia="Google Sans" w:hAnsi="Google Sans"/>
          <w:color w:val="444746"/>
          <w:sz w:val="24"/>
          <w:szCs w:val="24"/>
          <w:vertAlign w:val="superscript"/>
          <w:rtl w:val="0"/>
        </w:rPr>
        <w:t xml:space="preserve">19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異重流弗勞德數的定義公式為：</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60468"/>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05500" cy="460468"/>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其中，</w:t>
      </w:r>
      <w:r w:rsidDel="00000000" w:rsidR="00000000" w:rsidRPr="00000000">
        <w:rPr>
          <w:rFonts w:ascii="Google Sans" w:cs="Google Sans" w:eastAsia="Google Sans" w:hAnsi="Google Sans"/>
          <w:color w:val="1f1f1f"/>
        </w:rPr>
        <w:drawing>
          <wp:inline distB="19050" distT="19050" distL="19050" distR="19050">
            <wp:extent cx="146150" cy="23384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46150" cy="2338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為潛入點的平均流速，</w:t>
      </w:r>
      <w:r w:rsidDel="00000000" w:rsidR="00000000" w:rsidRPr="00000000">
        <w:rPr>
          <w:rFonts w:ascii="Google Sans" w:cs="Google Sans" w:eastAsia="Google Sans" w:hAnsi="Google Sans"/>
          <w:color w:val="1f1f1f"/>
        </w:rPr>
        <w:drawing>
          <wp:inline distB="19050" distT="19050" distL="19050" distR="19050">
            <wp:extent cx="180380" cy="227848"/>
            <wp:effectExtent b="0" l="0" r="0" t="0"/>
            <wp:docPr id="4"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180380" cy="2278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為潛入深度，而 </w:t>
      </w:r>
      <w:r w:rsidDel="00000000" w:rsidR="00000000" w:rsidRPr="00000000">
        <w:rPr>
          <w:rFonts w:ascii="Google Sans" w:cs="Google Sans" w:eastAsia="Google Sans" w:hAnsi="Google Sans"/>
          <w:color w:val="1f1f1f"/>
        </w:rPr>
        <w:drawing>
          <wp:inline distB="19050" distT="19050" distL="19050" distR="19050">
            <wp:extent cx="139303" cy="222885"/>
            <wp:effectExtent b="0" l="0" r="0" t="0"/>
            <wp:docPr id="7"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139303" cy="22288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為折算重力加速度（Reduced gravity），其計算方式為 </w:t>
      </w:r>
      <w:r w:rsidDel="00000000" w:rsidR="00000000" w:rsidRPr="00000000">
        <w:rPr>
          <w:rFonts w:ascii="Google Sans" w:cs="Google Sans" w:eastAsia="Google Sans" w:hAnsi="Google Sans"/>
          <w:color w:val="1f1f1f"/>
        </w:rPr>
        <w:drawing>
          <wp:inline distB="19050" distT="19050" distL="19050" distR="19050">
            <wp:extent cx="1668513" cy="228825"/>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668513" cy="2288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。將上述推算的密度差代入，可得 </w:t>
      </w:r>
      <w:r w:rsidDel="00000000" w:rsidR="00000000" w:rsidRPr="00000000">
        <w:rPr>
          <w:rFonts w:ascii="Google Sans" w:cs="Google Sans" w:eastAsia="Google Sans" w:hAnsi="Google Sans"/>
          <w:color w:val="1f1f1f"/>
        </w:rPr>
        <w:drawing>
          <wp:inline distB="19050" distT="19050" distL="19050" distR="19050">
            <wp:extent cx="3187151" cy="228333"/>
            <wp:effectExtent b="0" l="0" r="0" t="0"/>
            <wp:docPr id="9"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3187151" cy="228333"/>
                    </a:xfrm>
                    <a:prstGeom prst="rect"/>
                    <a:ln/>
                  </pic:spPr>
                </pic:pic>
              </a:graphicData>
            </a:graphic>
          </wp:inline>
        </w:drawing>
      </w:r>
      <w:r w:rsidDel="00000000" w:rsidR="00000000" w:rsidRPr="00000000">
        <w:rPr>
          <w:rFonts w:ascii="Google Sans" w:cs="Google Sans" w:eastAsia="Google Sans" w:hAnsi="Google Sans"/>
          <w:color w:val="1f1f1f"/>
          <w:rtl w:val="0"/>
        </w:rPr>
        <w:t xml:space="preserve">。依據流體力學實驗與全球水庫觀測數據，當水流處於穩定潛入狀態時，潛入點的 </w:t>
      </w:r>
      <w:r w:rsidDel="00000000" w:rsidR="00000000" w:rsidRPr="00000000">
        <w:rPr>
          <w:rFonts w:ascii="Google Sans" w:cs="Google Sans" w:eastAsia="Google Sans" w:hAnsi="Google Sans"/>
          <w:color w:val="1f1f1f"/>
        </w:rPr>
        <w:drawing>
          <wp:inline distB="19050" distT="19050" distL="19050" distR="19050">
            <wp:extent cx="192733" cy="231279"/>
            <wp:effectExtent b="0" l="0" r="0" t="0"/>
            <wp:docPr id="8"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192733" cy="2312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值通常維持在 0.5 至 0.78 的區間內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。結合北部深水庫典型的 V 型峽谷幾何特徵對水流的收斂加速效應，以及高達 0.0547 m/s² 的折算重力加速度，計算模型指出，這股異重流的侵入深度（Intrusion depth）將直達水面下 25 m 的深槽區，這完全吻合 中所揭示的 20-40 m 入侵極限。</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異重流的深層入侵對大口黑鱸的微棲地造成了毀滅性的迫遷壓力。在炎熱的夏季，許多體型較大的大口黑鱸會避開 30°C 的高溫表層，潛伏於水深 10 至 15 m 的中深層金屬林或岩盤區域以降低代謝率。然而，當異重流無預警地席捲而來，這些魚群將遭受冰冷、缺氧且富含高濃度黏土的泥流正面衝擊。為避免鰓部被泥沙徹底堵塞，大口黑鱸被迫放棄中深層的避暑棲地，緊急向上進行高達 10 至 15 m 的強制垂直迫遷（Forced upward migration），逃竄至水深 3 至 5 m 的表水層。</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然而，這次迫遷並非進入避風港。抵達 3 至 5 m 深度的新棲地後，鱸魚面臨著極為嚴峻的次生挑戰：首先，表層水溫高達 30°C，將魚體的代謝負擔瞬間拉滿；其次，受到夏季穩固熱分層的阻擋，3 至 5 m 水層的溶解氧通常僅能勉強維持在 4.0 至 5.5 mg/L 之間，處於亞緊迫狀態。更致命的是，北部水域微酸性環境（pH 4.5-5.5）下的黏土微粒具有低 Zeta 電位（-15 至 -40 mV），會促使懸浮微粒迅速凝聚成宏觀絮體。這些巨型絮體以 3 cm/s 的高速終端沉降率如暴雪般穿透水層。因此，被迫遷至淺層的大口黑鱸在數小時內便會再次被漫天沉降的絮體籠罩，導致視覺掠食能力完全喪失，並持續面臨鰓部堵塞的呼吸壓迫。</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淺水埤塘冬季熱力學翻轉與冷休克預警機制</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有別於夏季颱風帶來的狂暴機械風力混合，台灣北部淺水埤塘（水深小於 3m，水體 1 與 3）在冬季面臨的是一種純粹由熱力學與流體密度主導的極端現象——冬季熱力學翻轉（Winter Thermal Inversion Turnover）。此物理機制不應與颱風引發的風動能混合混為一談。</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冬季熱力學翻轉的核心物理機制建立於水的一個獨特物理屬性：水在 4°C 時達到最大密度（999.97 kg/m³），而無論溫度高於或低於此點，密度皆會減小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。在入冬或初春之際，淺水埤塘的底質受惠於北部極育土高達 3.50 MJ/m³·°C 的體積熱容，其巨大的熱慣性發揮了保溫作用，使得底層水溫在寒流來襲初期仍能勉強維持在 8°C 左右。然而，當強烈的西伯利亞大陸冷氣團伴隨冷鋒過境，直接侵襲毫無遮蔽的水面時，氣溫在 24 小時內呈斷崖式下降。表層水體因為劇烈的感熱與潛熱散失，溫度迅速從十幾度驟降至逼近 4°C。</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此時，物理學上的不穩定性達到了臨界點。4°C 的表層水因密度達到最大，變得比底部 8°C 的水更重。這種「頭重腳輕」的密度逆溫狀態（Density inversion）引發了重力主導的瑞利-泰勒不穩定性（Rayleigh-Taylor instability）。觸發全水層垂直翻轉所需的表面至底層溫差閾值（</w:t>
      </w:r>
      <w:r w:rsidDel="00000000" w:rsidR="00000000" w:rsidRPr="00000000">
        <w:rPr>
          <w:rFonts w:ascii="Google Sans" w:cs="Google Sans" w:eastAsia="Google Sans" w:hAnsi="Google Sans"/>
          <w:color w:val="1f1f1f"/>
        </w:rPr>
        <w:drawing>
          <wp:inline distB="19050" distT="19050" distL="19050" distR="19050">
            <wp:extent cx="287089" cy="229671"/>
            <wp:effectExtent b="0" l="0" r="0" t="0"/>
            <wp:docPr id="1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87089" cy="22967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）被精確計算為 4°C（即表層 4°C 對比底層 8°C）。當此閾值被打破，水體便開始自發性地垂直下沉與對流。</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在北部冬季，此熱力學過程往往被強勁的東北季風所放大大。當持續風速超過 5 m/s 的寒風吹拂水面，風應力不僅加速了表層熱量的剝離，其向下的摩擦動能更直接撕裂了原本就已搖搖欲墜的微弱熱分層。在熱力學重力下沉與風驅動能的雙重疊加下，深度小於 3m 的淺水塘其翻轉速度極為驚人。從溫差閾值被打破到全水層徹底混合的翻轉完成時間（Turnover completion time），被精確估算僅需 2 至 4 小時即可完成全循環。</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這場迅速的熱力學翻轉對生態系統帶來了致命的化學反噬。經歷整個夏秋兩季的有機質堆積與異營消耗，埤塘底層水體早已淪為絕對缺氧的深淵（Eh &lt; -100 mV，DO &lt; 1.0 mg/L），其中更蓄積了大量的硫化氫、亞鐵離子與未完全氧化的有機代謝物。當翻轉發生時，這些還原態的「毒水」被強迫上湧至表層。高濃度的化學需氧量（COD）物質一旦接觸到水體中殘存的溶解氧，便會發生劇烈的氧化反應，導致整個水柱的溶解氧庫存瞬間崩潰。模型計算指出，在此極端上湧事件中，水體的溶解氧降解速率將高達 1.5 至 2.0 mg/L/hr。</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面對這種由底向上逼近的低溫、缺氧且充滿毒氣的翻轉鋒面，大口黑鱸並非坐以待斃。魚類高度演化的側線系統（Lateral line system）成為了牠們的保命雷達。側線系統包含分佈於體表的淺表神經丘（Superficial neuromasts）與隱藏於皮下管道的管狀神經丘（Canal neuromasts）</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。流體力學與神經電生理研究證實，管狀神經丘對水體中極其微小的壓力梯度與流體加速度具備超凡的敏感度，其偵測閾值可低至 0.11 Pa/cm 或微米級的流體擾動 </w:t>
      </w:r>
      <w:r w:rsidDel="00000000" w:rsidR="00000000" w:rsidRPr="00000000">
        <w:rPr>
          <w:rFonts w:ascii="Google Sans" w:cs="Google Sans" w:eastAsia="Google Sans" w:hAnsi="Google Sans"/>
          <w:color w:val="444746"/>
          <w:sz w:val="24"/>
          <w:szCs w:val="24"/>
          <w:vertAlign w:val="superscript"/>
          <w:rtl w:val="0"/>
        </w:rPr>
        <w:t xml:space="preserve">19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當翻轉驅動的缺氧鋒面向上推擠時，冷熱水團的交界處會形成微觀的密度流與壓力變化，同時伴隨著 H₂S 的劇烈化學梯度。大口黑鱸的側線系統能夠敏銳地捕捉到這股異常的流體壓力梯度，使其在缺氧鋒面實際抵達前，便能在距離 1.0 至 1.5 m 處（Pre-warning detection distance）產生明確的預警與迴避行為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。為了躲避由下而上的致命缺氧水，同時又要避免接觸逼近冰點且導致神經麻痺的表層水，大口黑鱸群體將被迫緊密地聚集於水深 1.0 至 1.5 m 之間一個不斷縮小、極度狹窄的中層安全水域（Aggregation depth layer）中。在此深度帶，魚群呈現出高度緊迫、停止索餌的懸浮滯留狀態，試圖捱過這場熱力學與地球化學的雙重風暴。</w:t>
      </w:r>
    </w:p>
    <w:p w:rsidR="00000000" w:rsidDel="00000000" w:rsidP="00000000" w:rsidRDefault="00000000" w:rsidRPr="00000000" w14:paraId="0000004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底質地球化學擴散模型與毒性區安全迴避距離</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在夏季高溫或無風停機的情境下，如 [Open_Assumptions] 所預設，一旦底層水體的溶解氧耗盡跌破 2.0 mg/L，氧化還原電位（Eh）將無可避免地崩塌。此時，沉積物-水體界面（Sediment-Water Interface, SWI）便轉變為向上釋放致命毒物的化學反應爐。依據分子擴散與湍流擴散理論，我們運用 Fick 第二擴散定律建構了毒物向水柱中傳輸的垂直梯度模型，以界定大口黑鱸必須維持的絕對安全距離。</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在南部高有機質負載的管理池（水體 6）中，一旦 Eh 跌穿 -150 mV 進入硫酸鹽還原帶，硫酸鹽還原菌將開始瘋狂代謝。 的數據顯示，硫化氫的釋放速率高達 19 至 281 mmol/m²/day，並可在 0.8m 水深處累積出 8.5 mg/L 的恐怖濃度。如前所述，H₂S 的細胞毒性極強，大口黑鱸對其的亞致死與行為迴避閾值低至 0.002 mg/L。為了計算安全距離，我們設定 SWI 邊界濃度為 8.5 mg/L。在近底層邊界層中，雖然分子擴散係數（</w:t>
      </w:r>
      <w:r w:rsidDel="00000000" w:rsidR="00000000" w:rsidRPr="00000000">
        <w:rPr>
          <w:rFonts w:ascii="Google Sans" w:cs="Google Sans" w:eastAsia="Google Sans" w:hAnsi="Google Sans"/>
          <w:color w:val="1f1f1f"/>
        </w:rPr>
        <w:drawing>
          <wp:inline distB="19050" distT="19050" distL="19050" distR="19050">
            <wp:extent cx="275183" cy="227738"/>
            <wp:effectExtent b="0" l="0" r="0" t="0"/>
            <wp:docPr id="10"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275183" cy="2277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）作用有限，但微觀的湍流渦流擴散係數（</w:t>
      </w:r>
      <w:r w:rsidDel="00000000" w:rsidR="00000000" w:rsidRPr="00000000">
        <w:rPr>
          <w:rFonts w:ascii="Google Sans" w:cs="Google Sans" w:eastAsia="Google Sans" w:hAnsi="Google Sans"/>
          <w:color w:val="1f1f1f"/>
        </w:rPr>
        <w:drawing>
          <wp:inline distB="19050" distT="19050" distL="19050" distR="19050">
            <wp:extent cx="208508" cy="227463"/>
            <wp:effectExtent b="0" l="0" r="0" t="0"/>
            <wp:docPr id="1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08508" cy="2274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）主導了質傳過程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。模型演算顯示，要使極端高濃度的硫化氫透過擴散與微弱的水層氧化作用，呈指數型衰減至 0.002 mg/L 的安全迴避閾值，其垂直濃度梯度約以每公分 0.15 mg/L 的速率遞減。這意味著，大口黑鱸為了避免腹部微血管吸收毒氣，必須克服本能的底棲掩蔽習性，維持距離底床至少 35 至 45 cm 的最低垂直安全懸浮距離（Minimum safe distance）。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同樣的物理化學擴散模型應用於北部微酸性野生埤塘（水體 1）。此處的地球化學基底由富含鐵鋁氧化物的極育土構成。當底質異營代謝導致 Eh 跌破 0 mV 時，三價鐵被還原為可溶性的亞鐵離子（Fe²⁺）。依據，其釋放速率介於 10 至 50 mmol/m²/day。由於鐵離子的莫耳質量遠大於硫化氫，且在水中的擴散係數相對較低，其高濃度區塊通常更緊密地貼附於底床表面。Fe²⁺ 的急性毒性閾值較高，約為 7.5 mg/L。將擴散速率與致毒閾值代入垂直擴散方程，計算結果表明，大口黑鱸在此類微酸性水體中，只需與底泥保持至少 15 至 25 cm 的安全距離，即可避免吸入高濃度亞鐵離子，從而防止鐵離子在充滿富氧血液的鰓裂微血管交會處瞬間氧化沉澱，造成致命的物理性窒息。</w:t>
      </w:r>
    </w:p>
    <w:p w:rsidR="00000000" w:rsidDel="00000000" w:rsidP="00000000" w:rsidRDefault="00000000" w:rsidRPr="00000000" w14:paraId="0000004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風驅流體動力學與最佳覓食理論 (OFT) 的戰術整合</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在封閉淺水系統中，風力不僅是表面波浪的推手，更是形塑全水層流體動力學與生物空間分佈的隱形主宰。針對一個典型的淺水野生埤塘（面積約 1 公頃，平均有效水深 1.5 m），當遭遇持續風速大於 5 m/s 的強風吹拂時，水體內部將生成複雜的風驅環流（Wind-driven circulation），這徹底改變了能量傳輸路徑，並直接指導了大口黑鱸基於最佳覓食理論（Optimal Foraging Theory, OFT）的掠食戰術。</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流體力學分析指出，風應力（Wind stress, </w:t>
      </w:r>
      <w:r w:rsidDel="00000000" w:rsidR="00000000" w:rsidRPr="00000000">
        <w:rPr>
          <w:rFonts w:ascii="Google Sans" w:cs="Google Sans" w:eastAsia="Google Sans" w:hAnsi="Google Sans"/>
          <w:color w:val="1f1f1f"/>
        </w:rPr>
        <w:drawing>
          <wp:inline distB="19050" distT="19050" distL="19050" distR="19050">
            <wp:extent cx="101500" cy="221455"/>
            <wp:effectExtent b="0" l="0" r="0" t="0"/>
            <wp:docPr id="13"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0150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）作用於水面，透過黏性剪應力將動能向下傳遞。在風速 5 m/s 的驅動下，表層水體將產生與風向一致的漂流，其流速約為風速的 2% 至 3%，即達到 10 至 15 cm/s。這股強勁的表層水流不斷將水體推向池塘的背風岸（Leeward shore）。由於淺水盆地的物理邊界限制，水體無法繼續前進，基於質量守恆定律，表層水被迫在背風岸垂直下潛，形成強烈的下沉流（Downwelling）。透過淺水盆地連續方程式計算，背風岸的垂直下沉流速（</w:t>
      </w:r>
      <w:r w:rsidDel="00000000" w:rsidR="00000000" w:rsidRPr="00000000">
        <w:rPr>
          <w:rFonts w:ascii="Google Sans" w:cs="Google Sans" w:eastAsia="Google Sans" w:hAnsi="Google Sans"/>
          <w:color w:val="1f1f1f"/>
        </w:rPr>
        <w:drawing>
          <wp:inline distB="19050" distT="19050" distL="19050" distR="19050">
            <wp:extent cx="137070" cy="234978"/>
            <wp:effectExtent b="0" l="0" r="0" t="0"/>
            <wp:docPr id="1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137070" cy="234978"/>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）可高達 1.5 至 2.5 cm/s。與此同時，在迎風岸（Windward shore）一側，由於表層水不斷流失，底層水被強迫向上抽取以補充質量，形成了流速約 1.0 至 2.0 cm/s 的湧升補償流（Upwelling compensation flow）</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這種宏觀的風驅環流扮演了生態系中無情的「食物輸送帶」。在 10 cm/s 的表層流速帶動下，缺乏強大游動能力的浮游植物（Phytoplankton）與浮游動物（Zooplankton）幾乎完全隨波逐流。追隨這些浮游生物覓食的小型誘餌魚（Small baitfish），也無可避免地被水流裹挾。計算水平傳輸距離（Horizontal transport distance），跨越 100 m 長的池塘，整個浮游食物鏈底層被輸送至背風岸僅需約 1000 秒（約 16.6 分鐘）。大量的微小生物與餌料魚被無情地推擠、堆積在背風岸，並順著下沉流被壓迫至中底層，使得背風岸化身為高密度的「自然食物陷阱」。</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大口黑鱸作為頂級掠食者，其行為決策完美契合了最佳覓食理論（OFT）的預測：在資源分佈極度不均的環境中，掠食者必須選擇能將能量淨收益最大化、同時將搜索與處理成本最小化的棲地與戰術 </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。因此，大口黑鱸絕不會在食物匱乏且需頂流耗能的迎風岸浪費體力，牠們會全數集結於背風岸的流體力學陷阱區佈下埋伏。</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在背風岸的具體三維空間中，鱸魚的伏擊幾何（Ambush geometry）同樣經過精密的計算。</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最佳伏擊深度（Optimal ambush depth）</w:t>
      </w:r>
      <w:r w:rsidDel="00000000" w:rsidR="00000000" w:rsidRPr="00000000">
        <w:rPr>
          <w:rFonts w:ascii="Google Sans" w:cs="Google Sans" w:eastAsia="Google Sans" w:hAnsi="Google Sans"/>
          <w:color w:val="1f1f1f"/>
          <w:rtl w:val="0"/>
        </w:rPr>
        <w:t xml:space="preserve">：餌料魚被表層流推至岸邊後，會遭遇 1.5-2.5 cm/s 的下沉流，導致其游泳姿態失衡並被強迫向下壓。大口黑鱸深知此物理限制，牠們會將自己懸浮定位於下沉流核心區的正下方。經計算，最佳伏擊深度約為水面下 0.8 至 1.2 m 處。在這個深度，鱸魚既能隱蔽於較暗的水層中，又能將上方掙扎的獵物一覽無遺。</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最佳攻擊角度（Strike angle）</w:t>
      </w:r>
      <w:r w:rsidDel="00000000" w:rsidR="00000000" w:rsidRPr="00000000">
        <w:rPr>
          <w:rFonts w:ascii="Google Sans" w:cs="Google Sans" w:eastAsia="Google Sans" w:hAnsi="Google Sans"/>
          <w:color w:val="1f1f1f"/>
          <w:rtl w:val="0"/>
        </w:rPr>
        <w:t xml:space="preserve">：大口黑鱸擁有寬闊的上頜與巨大的口腔，但其雙眼視覺在頭部正前方具有微小的盲區。為了克服視覺盲區並利用獵物被水流牽制的劣勢，鱸魚的最佳出擊策略是由下往上進行突襲。結合背風岸向下的水流向量場與鱸魚自身的推進動力向量，模型計算出鱸魚的最佳攻擊仰角介於 45° 至 60° 之間。這個精準的攻擊角度，不僅能讓鱸魚利用背光的天空作為高對比背景來鎖定獵物輪廓，還能藉由順應水流的回撲動作迅速回到伏擊深度，將捕食所需的有氧爆發與無氧代謝成本（如乳酸堆積）降至最低，完美實現了 OFT 中能量轉換效率的最大化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Block 1 — Inherited_Baseline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B0-01: 北部冬季冷鋒過境降溫速率 = 4–8 °C/day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B0-02: 宏觀絮體終端沉降速率 = 3 cm/s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B0-04: 北部極育土底泥體積熱容 = 1.55–3.50 MJ/m³·°C</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B0-07: 南部水系春末旱季淨水分虧損 = 80 mm/month</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B0-08: 30°C純水飽和溶氧上限 = 7.55 mg/L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B0-09: 底泥微生物耗氧Q10溫度係數 = 2.08</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B0-10: 表層水體重新建立熱分層時間 = 4–6 hr</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B0-11: 高負載池 H₂S 釋放速率 = 19–281 mmol/m²/day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B0-12: 北部微酸性水體 Fe²⁺ 釋放速率 = 10–50 mmol/m²/day</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B0-14: 異重流入侵深度 = 20–40 m</w:t>
      </w:r>
    </w:p>
    <w:p w:rsidR="00000000" w:rsidDel="00000000" w:rsidP="00000000" w:rsidRDefault="00000000" w:rsidRPr="00000000" w14:paraId="0000006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Block 2 — Volume1B_Findings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[V1B-01]: 北部管理池夏季水車停機後，在 33°C 環境下底層溶氧降解速率達 0.85 mg/L/hr，於 6.0 hr 內跌破 2.0 mg/L 迴避閾值，迫使大口黑鱸向上產生 1.0 m 的棲地垂直迫遷。[Confidence: High].</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[V1B-02]: 南部管理池於 35.5°C 極端高溫且 Q10 倍增效應下，水車停機引發之溶氧崩潰速率激增至 1.41 mg/L/hr，僅 3.5 hr 即迫使底棲鱸魚上移 0.8 m 至 1.2 m 進入熱緊迫區。[Confidence: High].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[V1B-03]: 南部深水庫歷經春末旱季每月 80 mm 淨蒸發虧損，水位消落達 0.7 m，導致淺水礫石區暴露，迫使鱸魚棲地重心被迫等比上移 0.7 m 進入深水坡地。[Confidence: Medium].</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[V1B-04]: 南部野生埤塘因具備弱育土衍生之粗砂與礫石底床，在六大水體中提供最佳之非繁殖期索餌、隱蔽與避免高濁度之棲地條件，判定為高度偏好。[Confidence: High].</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[V1B-05]: 極端降雨引發之低溫高濁地表逕流（20°C, TSS &gt; 3000 mg/L）切入北部深水庫，產生高達 5.55 kg/m³ 密度差，驅動異重流以 0.5-0.78 弗勞德數潛入水庫 25 m 深槽。[Confidence: High].</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[V1B-06]: 異重流之底層物理衝擊將迫使原棲息於 10-15 m 深度避暑的大口黑鱸，緊急向上進行 10-15 m 之強制垂直遷徙，退避至溶氧僅 4.0-5.5 mg/L 且濁度極高的 3-5 m 表水層。[Confidence: High].</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[V1B-07]: 北部淺水埤塘冬季受冷鋒侵襲，表面水溫降至 4°C 最大密度點，與受熱容保護之 8°C 底溫形成 4°C 逆溫差閾值，完美觸發熱力學垂直翻轉。[Confidence: High].</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[V1B-08]: 淺水埤塘之冬季熱力學翻轉受 &gt; 5 m/s 東北風應力放大，全水層混合僅需 2-4 hr 即可完成，並伴隨缺氧底水上湧，導致溶氧以 1.5-2.0 mg/L/hr 速率急遽降解。[Confidence: High].</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[V1B-09]: 大口黑鱸管狀神經丘能敏銳捕捉高達 0.11 Pa 之水體壓力梯度，使其在湧升缺氧鋒面抵達前 1.0-1.5 m 處即產生預警行為，迫使魚群緊密聚集於水深 1.0-1.5 m 之懸浮層。[Confidence: Medium]..</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[V1B-10]: 為防範極端缺氧時高達 8.5 mg/L 且亞致死閾值極低（0.002 mg/L）之劇毒硫化氫，大口黑鱸必須與底床保持至少 35-45 cm 之最低安全垂直懸浮距離。[Confidence: Medium].</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[V1B-11]: 北部微酸性埤塘底層缺氧時將釋放 Fe²⁺，為避免接觸導致鰓部堵塞之亞鐵離子（致毒閾值 7.5 mg/L），鱸魚需維持距底泥 15-25 cm 之安全距離。[Confidence: Medium].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[V1B-12]: 面積 1 公頃、水深 1.5 m 之淺水埤塘在 &gt; 5 m/s 風場持續驅動下，表層順風流將於背風岸產生 1.5-2.5 cm/s 之下沉流，迎風岸則產生 1.0-2.0 cm/s 之湧升補償流。[Confidence: High].</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[V1B-13]: 10 cm/s 之風驅表層流猶如輸送帶，將浮游生物與餌料魚群在 16.6 分鐘內向背風岸水平推擠傳輸達 100 m，形成高密度且失衡之食物陷阱區。[Confidence: High].</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[V1B-14]: 依據最佳覓食理論（OFT），大口黑鱸為極大化獵食淨收益，將集結於背風岸下沉流正下方，其最佳伏擊深度被精確計算為水面下 0.8-1.2 m 處。[Confidence: Medium].</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[V1B-15]: 面對自斜上方被下沉流壓制之獵物，大口黑鱸為克服前方視覺盲區並最小化追擊耗能，其最佳出擊之物理仰角被計算為 45° 至 60° 之間。[Confidence: High].</w:t>
      </w:r>
    </w:p>
    <w:p w:rsidR="00000000" w:rsidDel="00000000" w:rsidP="00000000" w:rsidRDefault="00000000" w:rsidRPr="00000000" w14:paraId="0000007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Block 3 — Carry_Forward_To_Volume3</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Habitat/migration type: 垂直迫遷 (Vertical forced migration)</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Quantified threshold/condition: DO &lt; 2.0 mg/L, 迫遷距離 1.0 m, 降解速率 0.85 mg/L/hr</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Applicable water body / season: 北部管理池 / 夏季</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引用發現編號：V1B-01, V1B-02</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Habitat/migration type: 異重流強制迫遷 (Density current forced upward migration)</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Quantified threshold/condition: 密度差 5.55 kg/m³, 侵入深度 25 m, 上移距離 10-15 m</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Applicable water body / season: 北部深水庫 / 夏季暴雨期</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引用發現編號：V1B-05, V1B-06</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Habitat/migration type: 冬季懸浮避難聚集 (Winter mid-water aggregation)</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Quantified threshold/condition: 逆溫差 4°C, 預警距離 1.0-1.5 m, DO 降解率 1.5-2.0 mg/L/hr</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Applicable water body / season: 北部野生埤塘 / 冬季</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引用發現編號：V1B-07, V1B-08, V1B-09</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Habitat/migration type: 底棲毒性懸浮迴避 (Benthic toxicity clearance)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Quantified threshold/condition: H₂S 安全距離 35-45 cm, Fe²⁺ 安全距離 15-25 cm</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Applicable water body / season: 六大水體 (特別是管理池與極育土池) / 夏季無風期</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引用發現編號：V1B-10, V1B-11</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Habitat/migration type: 背風岸流體伏擊 (Leeward shore hydrodynamic ambush)</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Quantified threshold/condition: 下沉流 1.5-2.5 cm/s, 伏擊深度 0.8-1.2 m, 攻擊仰角 45°-60°</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Applicable water body / season: 淺水野生及管理埤塘 / 風速 &gt; 5 m/s 之季節</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引用發現編號：V1B-12, V1B-13, V1B-14, V1B-15</w:t>
      </w:r>
    </w:p>
    <w:p w:rsidR="00000000" w:rsidDel="00000000" w:rsidP="00000000" w:rsidRDefault="00000000" w:rsidRPr="00000000" w14:paraId="00000087">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19">
        <w:r w:rsidDel="00000000" w:rsidR="00000000" w:rsidRPr="00000000">
          <w:rPr>
            <w:rFonts w:ascii="Google Sans" w:cs="Google Sans" w:eastAsia="Google Sans" w:hAnsi="Google Sans"/>
            <w:color w:val="0000ee"/>
            <w:sz w:val="24"/>
            <w:szCs w:val="24"/>
            <w:u w:val="single"/>
            <w:rtl w:val="0"/>
          </w:rPr>
          <w:t xml:space="preserve">https://pollution.sustainability-directory.com/learn/what-is-the-critical-minimum-dissolved-oxygen-level-for-healthy-fish-populations/#:~:text=Levels%20below%203%20mg%2FL,leading%20to%20widespread%20fish%20kills.</w:t>
        </w:r>
      </w:hyperlink>
      <w:r w:rsidDel="00000000" w:rsidR="00000000" w:rsidRPr="00000000">
        <w:rPr>
          <w:rtl w:val="0"/>
        </w:rPr>
      </w:r>
    </w:p>
    <w:p w:rsidR="00000000" w:rsidDel="00000000" w:rsidP="00000000" w:rsidRDefault="00000000" w:rsidRPr="00000000" w14:paraId="0000008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dissolved oxygen on winter habitat selection by largemouth bass: an integration of field biotelemetry studies and laboratory experiments - PubMed, 檢索日期：4月 24, 2026， </w:t>
      </w:r>
      <w:hyperlink r:id="rId20">
        <w:r w:rsidDel="00000000" w:rsidR="00000000" w:rsidRPr="00000000">
          <w:rPr>
            <w:rFonts w:ascii="Google Sans" w:cs="Google Sans" w:eastAsia="Google Sans" w:hAnsi="Google Sans"/>
            <w:color w:val="0000ee"/>
            <w:sz w:val="24"/>
            <w:szCs w:val="24"/>
            <w:u w:val="single"/>
            <w:rtl w:val="0"/>
          </w:rPr>
          <w:t xml:space="preserve">https://pubmed.ncbi.nlm.nih.gov/19199559/</w:t>
        </w:r>
      </w:hyperlink>
      <w:r w:rsidDel="00000000" w:rsidR="00000000" w:rsidRPr="00000000">
        <w:rPr>
          <w:rtl w:val="0"/>
        </w:rPr>
      </w:r>
    </w:p>
    <w:p w:rsidR="00000000" w:rsidDel="00000000" w:rsidP="00000000" w:rsidRDefault="00000000" w:rsidRPr="00000000" w14:paraId="0000008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Micropterus salmoides - Marine Invasions research at SERC, 檢索日期：4月 24, 2026， </w:t>
      </w:r>
      <w:hyperlink r:id="rId21">
        <w:r w:rsidDel="00000000" w:rsidR="00000000" w:rsidRPr="00000000">
          <w:rPr>
            <w:rFonts w:ascii="Google Sans" w:cs="Google Sans" w:eastAsia="Google Sans" w:hAnsi="Google Sans"/>
            <w:color w:val="0000ee"/>
            <w:sz w:val="24"/>
            <w:szCs w:val="24"/>
            <w:u w:val="single"/>
            <w:rtl w:val="0"/>
          </w:rPr>
          <w:t xml:space="preserve">https://invasions.si.edu/nemesis/calnemo/species_summary/168160</w:t>
        </w:r>
      </w:hyperlink>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Ambient Water Quality Criteria for Dissolved Oxygen - epa nepis, 檢索日期：4月 24, 2026， </w:t>
      </w:r>
      <w:hyperlink r:id="rId22">
        <w:r w:rsidDel="00000000" w:rsidR="00000000" w:rsidRPr="00000000">
          <w:rPr>
            <w:rFonts w:ascii="Google Sans" w:cs="Google Sans" w:eastAsia="Google Sans" w:hAnsi="Google Sans"/>
            <w:color w:val="0000ee"/>
            <w:sz w:val="24"/>
            <w:szCs w:val="24"/>
            <w:u w:val="single"/>
            <w:rtl w:val="0"/>
          </w:rPr>
          <w:t xml:space="preserve">https://nepis.epa.gov/Exe/ZyPURL.cgi?Dockey=00001MSS.TXT</w:t>
        </w:r>
      </w:hyperlink>
      <w:r w:rsidDel="00000000" w:rsidR="00000000" w:rsidRPr="00000000">
        <w:rPr>
          <w:rtl w:val="0"/>
        </w:rPr>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Hydrogen sulfide toxic, but manageable - Responsible Seafood Advocate, 檢索日期：4月 24, 2026， </w:t>
      </w:r>
      <w:hyperlink r:id="rId23">
        <w:r w:rsidDel="00000000" w:rsidR="00000000" w:rsidRPr="00000000">
          <w:rPr>
            <w:rFonts w:ascii="Google Sans" w:cs="Google Sans" w:eastAsia="Google Sans" w:hAnsi="Google Sans"/>
            <w:color w:val="0000ee"/>
            <w:sz w:val="24"/>
            <w:szCs w:val="24"/>
            <w:u w:val="single"/>
            <w:rtl w:val="0"/>
          </w:rPr>
          <w:t xml:space="preserve">https://www.globalseafood.org/advocate/hydrogen-sulfide-toxic-but-manageable/</w:t>
        </w:r>
      </w:hyperlink>
      <w:r w:rsidDel="00000000" w:rsidR="00000000" w:rsidRPr="00000000">
        <w:rPr>
          <w:rtl w:val="0"/>
        </w:rPr>
      </w:r>
    </w:p>
    <w:p w:rsidR="00000000" w:rsidDel="00000000" w:rsidP="00000000" w:rsidRDefault="00000000" w:rsidRPr="00000000" w14:paraId="0000008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Hydrogen Sulfide on Fish and Invertebrates: Part I - Acute and Chronic Toxicity Studies - epa nepis, 檢索日期：4月 24, 2026， </w:t>
      </w:r>
      <w:hyperlink r:id="rId24">
        <w:r w:rsidDel="00000000" w:rsidR="00000000" w:rsidRPr="00000000">
          <w:rPr>
            <w:rFonts w:ascii="Google Sans" w:cs="Google Sans" w:eastAsia="Google Sans" w:hAnsi="Google Sans"/>
            <w:color w:val="0000ee"/>
            <w:sz w:val="24"/>
            <w:szCs w:val="24"/>
            <w:u w:val="single"/>
            <w:rtl w:val="0"/>
          </w:rPr>
          <w:t xml:space="preserve">https://nepis.epa.gov/Exe/ZyPURL.cgi?Dockey=9100T1VY.TXT</w:t>
        </w:r>
      </w:hyperlink>
      <w:r w:rsidDel="00000000" w:rsidR="00000000" w:rsidRPr="00000000">
        <w:rPr>
          <w:rtl w:val="0"/>
        </w:rPr>
      </w:r>
    </w:p>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Ambient water quality guidelines for iron - Gov.bc.ca, 檢索日期：4月 24, 2026， </w:t>
      </w:r>
      <w:hyperlink r:id="rId25">
        <w:r w:rsidDel="00000000" w:rsidR="00000000" w:rsidRPr="00000000">
          <w:rPr>
            <w:rFonts w:ascii="Google Sans" w:cs="Google Sans" w:eastAsia="Google Sans" w:hAnsi="Google Sans"/>
            <w:color w:val="0000ee"/>
            <w:sz w:val="24"/>
            <w:szCs w:val="24"/>
            <w:u w:val="single"/>
            <w:rtl w:val="0"/>
          </w:rPr>
          <w:t xml:space="preserve">https://www2.gov.bc.ca/assets/gov/environment/air-land-water/water/waterquality/water-quality-guidelines/approved-wqgs/iron-tech.pdf</w:t>
        </w:r>
      </w:hyperlink>
      <w:r w:rsidDel="00000000" w:rsidR="00000000" w:rsidRPr="00000000">
        <w:rPr>
          <w:rtl w:val="0"/>
        </w:rPr>
      </w:r>
    </w:p>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Evaluation of Iron Toxicity in the Tropical Fish Leporinus friderici - Biomedical Journal of Scientific &amp; Technical Research (BJSTR) Publishers, 檢索日期：4月 24, 2026， </w:t>
      </w:r>
      <w:hyperlink r:id="rId26">
        <w:r w:rsidDel="00000000" w:rsidR="00000000" w:rsidRPr="00000000">
          <w:rPr>
            <w:rFonts w:ascii="Google Sans" w:cs="Google Sans" w:eastAsia="Google Sans" w:hAnsi="Google Sans"/>
            <w:color w:val="0000ee"/>
            <w:sz w:val="24"/>
            <w:szCs w:val="24"/>
            <w:u w:val="single"/>
            <w:rtl w:val="0"/>
          </w:rPr>
          <w:t xml:space="preserve">https://biomedres.us/pdfs/BJSTR.MS.ID.003127.pdf</w:t>
        </w:r>
      </w:hyperlink>
      <w:r w:rsidDel="00000000" w:rsidR="00000000" w:rsidRPr="00000000">
        <w:rPr>
          <w:rtl w:val="0"/>
        </w:rPr>
      </w:r>
    </w:p>
    <w:p w:rsidR="00000000" w:rsidDel="00000000" w:rsidP="00000000" w:rsidRDefault="00000000" w:rsidRPr="00000000" w14:paraId="0000009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Thermal Tolerance Analyses – Juvenile and Adult, Summer - Nevada Division of Environmental Protection, 檢索日期：4月 24, 2026， </w:t>
      </w:r>
      <w:hyperlink r:id="rId27">
        <w:r w:rsidDel="00000000" w:rsidR="00000000" w:rsidRPr="00000000">
          <w:rPr>
            <w:rFonts w:ascii="Google Sans" w:cs="Google Sans" w:eastAsia="Google Sans" w:hAnsi="Google Sans"/>
            <w:color w:val="0000ee"/>
            <w:sz w:val="24"/>
            <w:szCs w:val="24"/>
            <w:u w:val="single"/>
            <w:rtl w:val="0"/>
          </w:rPr>
          <w:t xml:space="preserve">https://ndep.nv.gov/uploads/water-wqs-docs/LargemouthTTA.pdf</w:t>
        </w:r>
      </w:hyperlink>
      <w:r w:rsidDel="00000000" w:rsidR="00000000" w:rsidRPr="00000000">
        <w:rPr>
          <w:rtl w:val="0"/>
        </w:rPr>
      </w:r>
    </w:p>
    <w:p w:rsidR="00000000" w:rsidDel="00000000" w:rsidP="00000000" w:rsidRDefault="00000000" w:rsidRPr="00000000" w14:paraId="0000009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Investigating the link between stress, temperature, and metabolic inertia in largemouth bass Micropterus salmoides - cals.msstate.edu - Mississippi State University, 檢索日期：4月 24, 2026， </w:t>
      </w:r>
      <w:hyperlink r:id="rId28">
        <w:r w:rsidDel="00000000" w:rsidR="00000000" w:rsidRPr="00000000">
          <w:rPr>
            <w:rFonts w:ascii="Google Sans" w:cs="Google Sans" w:eastAsia="Google Sans" w:hAnsi="Google Sans"/>
            <w:color w:val="0000ee"/>
            <w:sz w:val="24"/>
            <w:szCs w:val="24"/>
            <w:u w:val="single"/>
            <w:rtl w:val="0"/>
          </w:rPr>
          <w:t xml:space="preserve">https://www.cals.msstate.edu/docs/students/research/shelby_mathieu_report.pdf</w:t>
        </w:r>
      </w:hyperlink>
      <w:r w:rsidDel="00000000" w:rsidR="00000000" w:rsidRPr="00000000">
        <w:rPr>
          <w:rtl w:val="0"/>
        </w:rPr>
      </w:r>
    </w:p>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Heat Resistance and Selecting Heat-Resistant Individuals of Largemouth Bass (Micropterus salmoides) with Tiered Thermal Exposure - PMC, 檢索日期：4月 24, 2026， </w:t>
      </w:r>
      <w:hyperlink r:id="rId29">
        <w:r w:rsidDel="00000000" w:rsidR="00000000" w:rsidRPr="00000000">
          <w:rPr>
            <w:rFonts w:ascii="Google Sans" w:cs="Google Sans" w:eastAsia="Google Sans" w:hAnsi="Google Sans"/>
            <w:color w:val="0000ee"/>
            <w:sz w:val="24"/>
            <w:szCs w:val="24"/>
            <w:u w:val="single"/>
            <w:rtl w:val="0"/>
          </w:rPr>
          <w:t xml:space="preserve">https://pmc.ncbi.nlm.nih.gov/articles/PMC11758336/</w:t>
        </w:r>
      </w:hyperlink>
      <w:r w:rsidDel="00000000" w:rsidR="00000000" w:rsidRPr="00000000">
        <w:rPr>
          <w:rtl w:val="0"/>
        </w:rPr>
      </w:r>
    </w:p>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Multiomics profiling reveals the adaptive responses of largemouth bass to high temperature stress - PMC, 檢索日期：4月 24, 2026， </w:t>
      </w:r>
      <w:hyperlink r:id="rId30">
        <w:r w:rsidDel="00000000" w:rsidR="00000000" w:rsidRPr="00000000">
          <w:rPr>
            <w:rFonts w:ascii="Google Sans" w:cs="Google Sans" w:eastAsia="Google Sans" w:hAnsi="Google Sans"/>
            <w:color w:val="0000ee"/>
            <w:sz w:val="24"/>
            <w:szCs w:val="24"/>
            <w:u w:val="single"/>
            <w:rtl w:val="0"/>
          </w:rPr>
          <w:t xml:space="preserve">https://pmc.ncbi.nlm.nih.gov/articles/PMC12911189/</w:t>
        </w:r>
      </w:hyperlink>
      <w:r w:rsidDel="00000000" w:rsidR="00000000" w:rsidRPr="00000000">
        <w:rPr>
          <w:rtl w:val="0"/>
        </w:rPr>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Aquaculture, Fisheries, &amp; Pond Management, 檢索日期：4月 24, 2026， </w:t>
      </w:r>
      <w:hyperlink r:id="rId31">
        <w:r w:rsidDel="00000000" w:rsidR="00000000" w:rsidRPr="00000000">
          <w:rPr>
            <w:rFonts w:ascii="Google Sans" w:cs="Google Sans" w:eastAsia="Google Sans" w:hAnsi="Google Sans"/>
            <w:color w:val="0000ee"/>
            <w:sz w:val="24"/>
            <w:szCs w:val="24"/>
            <w:u w:val="single"/>
            <w:rtl w:val="0"/>
          </w:rPr>
          <w:t xml:space="preserve">https://fisheries.tamu.edu/pond-management/species/largemouth-bass/</w:t>
        </w:r>
      </w:hyperlink>
      <w:r w:rsidDel="00000000" w:rsidR="00000000" w:rsidRPr="00000000">
        <w:rPr>
          <w:rtl w:val="0"/>
        </w:rPr>
      </w:r>
    </w:p>
    <w:p w:rsidR="00000000" w:rsidDel="00000000" w:rsidP="00000000" w:rsidRDefault="00000000" w:rsidRPr="00000000" w14:paraId="0000009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5 Types Of Bottom Composition And How To Fish Them - Mystery Tackle Box, 檢索日期：4月 24, 2026， </w:t>
      </w:r>
      <w:hyperlink r:id="rId32">
        <w:r w:rsidDel="00000000" w:rsidR="00000000" w:rsidRPr="00000000">
          <w:rPr>
            <w:rFonts w:ascii="Google Sans" w:cs="Google Sans" w:eastAsia="Google Sans" w:hAnsi="Google Sans"/>
            <w:color w:val="0000ee"/>
            <w:sz w:val="24"/>
            <w:szCs w:val="24"/>
            <w:u w:val="single"/>
            <w:rtl w:val="0"/>
          </w:rPr>
          <w:t xml:space="preserve">https://mysterytacklebox.com/blogs/fish-tales/5-types-of-bottom-composition</w:t>
        </w:r>
      </w:hyperlink>
      <w:r w:rsidDel="00000000" w:rsidR="00000000" w:rsidRPr="00000000">
        <w:rPr>
          <w:rtl w:val="0"/>
        </w:rPr>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檢索日期：4月 24, 2026， </w:t>
      </w:r>
      <w:hyperlink r:id="rId33">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Fishing Soft or Hard Bottom Areas | Bass Pro Shops, 檢索日期：4月 24, 2026， </w:t>
      </w:r>
      <w:hyperlink r:id="rId34">
        <w:r w:rsidDel="00000000" w:rsidR="00000000" w:rsidRPr="00000000">
          <w:rPr>
            <w:rFonts w:ascii="Google Sans" w:cs="Google Sans" w:eastAsia="Google Sans" w:hAnsi="Google Sans"/>
            <w:color w:val="0000ee"/>
            <w:sz w:val="24"/>
            <w:szCs w:val="24"/>
            <w:u w:val="single"/>
            <w:rtl w:val="0"/>
          </w:rPr>
          <w:t xml:space="preserve">https://1source.basspro.com/news-tips/fishing-information/7142/fishing-soft-or-hard-bottom-areas</w:t>
        </w:r>
      </w:hyperlink>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Response of Juvenile Largemouth Bass to Habitat Enhancement Through Addition of Artificial Substrates - SEAFWA, 檢索日期：4月 24, 2026， </w:t>
      </w:r>
      <w:hyperlink r:id="rId35">
        <w:r w:rsidDel="00000000" w:rsidR="00000000" w:rsidRPr="00000000">
          <w:rPr>
            <w:rFonts w:ascii="Google Sans" w:cs="Google Sans" w:eastAsia="Google Sans" w:hAnsi="Google Sans"/>
            <w:color w:val="0000ee"/>
            <w:sz w:val="24"/>
            <w:szCs w:val="24"/>
            <w:u w:val="single"/>
            <w:rtl w:val="0"/>
          </w:rPr>
          <w:t xml:space="preserve">https://seafwa.org/sites/default/files/journal-articles/JACKSON-46-58.pdf</w:t>
        </w:r>
      </w:hyperlink>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Three-Dimensional Modeling of Turbid Density Currents in Imha Reservoir, South Korea - Colorado State University, 檢索日期：4月 24, 2026， </w:t>
      </w:r>
      <w:hyperlink r:id="rId36">
        <w:r w:rsidDel="00000000" w:rsidR="00000000" w:rsidRPr="00000000">
          <w:rPr>
            <w:rFonts w:ascii="Google Sans" w:cs="Google Sans" w:eastAsia="Google Sans" w:hAnsi="Google Sans"/>
            <w:color w:val="0000ee"/>
            <w:sz w:val="24"/>
            <w:szCs w:val="24"/>
            <w:u w:val="single"/>
            <w:rtl w:val="0"/>
          </w:rPr>
          <w:t xml:space="preserve">https://www.engr.colostate.edu/~pierre/ce_old/Projects/Paperspdf/An%20and%20Julien%20ASCE2014.pdf</w:t>
        </w:r>
      </w:hyperlink>
      <w:r w:rsidDel="00000000" w:rsidR="00000000" w:rsidRPr="00000000">
        <w:rPr>
          <w:rtl w:val="0"/>
        </w:rPr>
      </w:r>
    </w:p>
    <w:p w:rsidR="00000000" w:rsidDel="00000000" w:rsidP="00000000" w:rsidRDefault="00000000" w:rsidRPr="00000000" w14:paraId="0000009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Froude number - Wikipedia, 檢索日期：4月 24, 2026， </w:t>
      </w:r>
      <w:hyperlink r:id="rId37">
        <w:r w:rsidDel="00000000" w:rsidR="00000000" w:rsidRPr="00000000">
          <w:rPr>
            <w:rFonts w:ascii="Google Sans" w:cs="Google Sans" w:eastAsia="Google Sans" w:hAnsi="Google Sans"/>
            <w:color w:val="0000ee"/>
            <w:sz w:val="24"/>
            <w:szCs w:val="24"/>
            <w:u w:val="single"/>
            <w:rtl w:val="0"/>
          </w:rPr>
          <w:t xml:space="preserve">https://en.wikipedia.org/wiki/Froude_number</w:t>
        </w:r>
      </w:hyperlink>
      <w:r w:rsidDel="00000000" w:rsidR="00000000" w:rsidRPr="00000000">
        <w:rPr>
          <w:rtl w:val="0"/>
        </w:rPr>
      </w:r>
    </w:p>
    <w:p w:rsidR="00000000" w:rsidDel="00000000" w:rsidP="00000000" w:rsidRDefault="00000000" w:rsidRPr="00000000" w14:paraId="0000009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Overview of density flows and turbidity currents, 檢索日期：4月 24, 2026， </w:t>
      </w:r>
      <w:hyperlink r:id="rId38">
        <w:r w:rsidDel="00000000" w:rsidR="00000000" w:rsidRPr="00000000">
          <w:rPr>
            <w:rFonts w:ascii="Google Sans" w:cs="Google Sans" w:eastAsia="Google Sans" w:hAnsi="Google Sans"/>
            <w:color w:val="0000ee"/>
            <w:sz w:val="24"/>
            <w:szCs w:val="24"/>
            <w:u w:val="single"/>
            <w:rtl w:val="0"/>
          </w:rPr>
          <w:t xml:space="preserve">https://usbr.gov/tsc/techreferences/hydraulics_lab/pubs/PAP/PAP-0816.pdf</w:t>
        </w:r>
      </w:hyperlink>
      <w:r w:rsidDel="00000000" w:rsidR="00000000" w:rsidRPr="00000000">
        <w:rPr>
          <w:rtl w:val="0"/>
        </w:rPr>
      </w:r>
    </w:p>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Estimation of the Duration of the Turbidity Current in a Reservoir - HENRY, 檢索日期：4月 24, 2026， </w:t>
      </w:r>
      <w:hyperlink r:id="rId39">
        <w:r w:rsidDel="00000000" w:rsidR="00000000" w:rsidRPr="00000000">
          <w:rPr>
            <w:rFonts w:ascii="Google Sans" w:cs="Google Sans" w:eastAsia="Google Sans" w:hAnsi="Google Sans"/>
            <w:color w:val="0000ee"/>
            <w:sz w:val="24"/>
            <w:szCs w:val="24"/>
            <w:u w:val="single"/>
            <w:rtl w:val="0"/>
          </w:rPr>
          <w:t xml:space="preserve">https://henry.baw.de/server/api/core/bitstreams/3e450aa9-1f8b-4adc-ac34-3bb617bb56f8/content</w:t>
        </w:r>
      </w:hyperlink>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Lake Turnover - Clean Lakes Alliance, 檢索日期：4月 24, 2026， </w:t>
      </w:r>
      <w:hyperlink r:id="rId40">
        <w:r w:rsidDel="00000000" w:rsidR="00000000" w:rsidRPr="00000000">
          <w:rPr>
            <w:rFonts w:ascii="Google Sans" w:cs="Google Sans" w:eastAsia="Google Sans" w:hAnsi="Google Sans"/>
            <w:color w:val="0000ee"/>
            <w:sz w:val="24"/>
            <w:szCs w:val="24"/>
            <w:u w:val="single"/>
            <w:rtl w:val="0"/>
          </w:rPr>
          <w:t xml:space="preserve">https://www.cleanlakesalliance.org/lake-turnover/</w:t>
        </w:r>
      </w:hyperlink>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Lateral line - Wikipedia, 檢索日期：4月 24, 2026， </w:t>
      </w:r>
      <w:hyperlink r:id="rId41">
        <w:r w:rsidDel="00000000" w:rsidR="00000000" w:rsidRPr="00000000">
          <w:rPr>
            <w:rFonts w:ascii="Google Sans" w:cs="Google Sans" w:eastAsia="Google Sans" w:hAnsi="Google Sans"/>
            <w:color w:val="0000ee"/>
            <w:sz w:val="24"/>
            <w:szCs w:val="24"/>
            <w:u w:val="single"/>
            <w:rtl w:val="0"/>
          </w:rPr>
          <w:t xml:space="preserve">https://en.wikipedia.org/wiki/Lateral_line</w:t>
        </w:r>
      </w:hyperlink>
      <w:r w:rsidDel="00000000" w:rsidR="00000000" w:rsidRPr="00000000">
        <w:rPr>
          <w:rtl w:val="0"/>
        </w:rPr>
      </w: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fish sense the world around them - lateral line - UF/IFAS Blogs, 檢索日期：4月 24, 2026， </w:t>
      </w:r>
      <w:hyperlink r:id="rId42">
        <w:r w:rsidDel="00000000" w:rsidR="00000000" w:rsidRPr="00000000">
          <w:rPr>
            <w:rFonts w:ascii="Google Sans" w:cs="Google Sans" w:eastAsia="Google Sans" w:hAnsi="Google Sans"/>
            <w:color w:val="0000ee"/>
            <w:sz w:val="24"/>
            <w:szCs w:val="24"/>
            <w:u w:val="single"/>
            <w:rtl w:val="0"/>
          </w:rPr>
          <w:t xml:space="preserve">https://blogs.ifas.ufl.edu/charlotteco/2018/06/04/how-fish-sense-the-world-around-them/</w:t>
        </w:r>
      </w:hyperlink>
      <w:r w:rsidDel="00000000" w:rsidR="00000000" w:rsidRPr="00000000">
        <w:rPr>
          <w:rtl w:val="0"/>
        </w:rPr>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Using computational fluid dynamics to calculate the stimulus to the lateral line of a fish in still water - Woods Hole Oceanographic Institution, 檢索日期：4月 24, 2026， </w:t>
      </w:r>
      <w:hyperlink r:id="rId43">
        <w:r w:rsidDel="00000000" w:rsidR="00000000" w:rsidRPr="00000000">
          <w:rPr>
            <w:rFonts w:ascii="Google Sans" w:cs="Google Sans" w:eastAsia="Google Sans" w:hAnsi="Google Sans"/>
            <w:color w:val="0000ee"/>
            <w:sz w:val="24"/>
            <w:szCs w:val="24"/>
            <w:u w:val="single"/>
            <w:rtl w:val="0"/>
          </w:rPr>
          <w:t xml:space="preserve">https://www.whoi.edu/cms/files/Rapo_et_al_2009_51084.pdf</w:t>
        </w:r>
      </w:hyperlink>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Determination of object position, vortex shedding frequency and flow velocity using artificial lateral line canals - Beilstein Journals, 檢索日期：4月 24, 2026， </w:t>
      </w:r>
      <w:hyperlink r:id="rId44">
        <w:r w:rsidDel="00000000" w:rsidR="00000000" w:rsidRPr="00000000">
          <w:rPr>
            <w:rFonts w:ascii="Google Sans" w:cs="Google Sans" w:eastAsia="Google Sans" w:hAnsi="Google Sans"/>
            <w:color w:val="0000ee"/>
            <w:sz w:val="24"/>
            <w:szCs w:val="24"/>
            <w:u w:val="single"/>
            <w:rtl w:val="0"/>
          </w:rPr>
          <w:t xml:space="preserve">https://www.beilstein-journals.org/bjnano/articles/2/32</w:t>
        </w:r>
      </w:hyperlink>
      <w:r w:rsidDel="00000000" w:rsidR="00000000" w:rsidRPr="00000000">
        <w:rPr>
          <w:rtl w:val="0"/>
        </w:rPr>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Hydrodynamical Fingerprint of a Neighbour in a Fish Lateral Line - Frontiers, 檢索日期：4月 24, 2026， </w:t>
      </w:r>
      <w:hyperlink r:id="rId45">
        <w:r w:rsidDel="00000000" w:rsidR="00000000" w:rsidRPr="00000000">
          <w:rPr>
            <w:rFonts w:ascii="Google Sans" w:cs="Google Sans" w:eastAsia="Google Sans" w:hAnsi="Google Sans"/>
            <w:color w:val="0000ee"/>
            <w:sz w:val="24"/>
            <w:szCs w:val="24"/>
            <w:u w:val="single"/>
            <w:rtl w:val="0"/>
          </w:rPr>
          <w:t xml:space="preserve">https://www.frontiersin.org/journals/robotics-and-ai/articles/10.3389/frobt.2022.825889/full</w:t>
        </w:r>
      </w:hyperlink>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Interaction Between Hydrodynamics and Mass- Transfer at the Sediment-Water Interface - BYU ScholarsArchive, 檢索日期：4月 24, 2026， </w:t>
      </w:r>
      <w:hyperlink r:id="rId46">
        <w:r w:rsidDel="00000000" w:rsidR="00000000" w:rsidRPr="00000000">
          <w:rPr>
            <w:rFonts w:ascii="Google Sans" w:cs="Google Sans" w:eastAsia="Google Sans" w:hAnsi="Google Sans"/>
            <w:color w:val="0000ee"/>
            <w:sz w:val="24"/>
            <w:szCs w:val="24"/>
            <w:u w:val="single"/>
            <w:rtl w:val="0"/>
          </w:rPr>
          <w:t xml:space="preserve">https://scholarsarchive.byu.edu/cgi/viewcontent.cgi?article=3210&amp;context=iemssconference</w:t>
        </w:r>
      </w:hyperlink>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Wind-Driven Overturning, Mixing and Upwelling in Shallow Water: A Nonhydrostatic Modeling Study - MDPI, 檢索日期：4月 24, 2026， </w:t>
      </w:r>
      <w:hyperlink r:id="rId47">
        <w:r w:rsidDel="00000000" w:rsidR="00000000" w:rsidRPr="00000000">
          <w:rPr>
            <w:rFonts w:ascii="Google Sans" w:cs="Google Sans" w:eastAsia="Google Sans" w:hAnsi="Google Sans"/>
            <w:color w:val="0000ee"/>
            <w:sz w:val="24"/>
            <w:szCs w:val="24"/>
            <w:u w:val="single"/>
            <w:rtl w:val="0"/>
          </w:rPr>
          <w:t xml:space="preserve">https://www.mdpi.com/2077-1312/5/4/47</w:t>
        </w:r>
      </w:hyperlink>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Three-Dimensional Inertial Model for Coastal Upwelling - Woods Hole Oceanographic Institution, 檢索日期：4月 24, 2026， </w:t>
      </w:r>
      <w:hyperlink r:id="rId48">
        <w:r w:rsidDel="00000000" w:rsidR="00000000" w:rsidRPr="00000000">
          <w:rPr>
            <w:rFonts w:ascii="Google Sans" w:cs="Google Sans" w:eastAsia="Google Sans" w:hAnsi="Google Sans"/>
            <w:color w:val="0000ee"/>
            <w:sz w:val="24"/>
            <w:szCs w:val="24"/>
            <w:u w:val="single"/>
            <w:rtl w:val="0"/>
          </w:rPr>
          <w:t xml:space="preserve">https://www.whoi.edu/science/PO/dept/scientist/biosketch/A3-dimensionalinerttialmodelofcoastalupwelling.docx.pdf</w:t>
        </w:r>
      </w:hyperlink>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Optimal foraging theory - Wikipedia, 檢索日期：4月 24, 2026， </w:t>
      </w:r>
      <w:hyperlink r:id="rId49">
        <w:r w:rsidDel="00000000" w:rsidR="00000000" w:rsidRPr="00000000">
          <w:rPr>
            <w:rFonts w:ascii="Google Sans" w:cs="Google Sans" w:eastAsia="Google Sans" w:hAnsi="Google Sans"/>
            <w:color w:val="0000ee"/>
            <w:sz w:val="24"/>
            <w:szCs w:val="24"/>
            <w:u w:val="single"/>
            <w:rtl w:val="0"/>
          </w:rPr>
          <w:t xml:space="preserve">https://en.wikipedia.org/wiki/Optimal_foraging_theory</w:t>
        </w:r>
      </w:hyperlink>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11.3: Optimal Foraging Theory - Biology LibreTexts, 檢索日期：4月 24, 2026， </w:t>
      </w:r>
      <w:hyperlink r:id="rId50">
        <w:r w:rsidDel="00000000" w:rsidR="00000000" w:rsidRPr="00000000">
          <w:rPr>
            <w:rFonts w:ascii="Google Sans" w:cs="Google Sans" w:eastAsia="Google Sans" w:hAnsi="Google Sans"/>
            <w:color w:val="0000ee"/>
            <w:sz w:val="24"/>
            <w:szCs w:val="24"/>
            <w:u w:val="single"/>
            <w:rtl w:val="0"/>
          </w:rPr>
          <w:t xml:space="preserve">https://bio.libretexts.org/Courses/Gettysburg_College/01%3A_Ecology_for_All/11%3A_Behavioral_Ecology/11.03%3A_Optimal_Foraging_Theory</w:t>
        </w:r>
      </w:hyperlink>
      <w:r w:rsidDel="00000000" w:rsidR="00000000" w:rsidRPr="00000000">
        <w:rPr>
          <w:rtl w:val="0"/>
        </w:rPr>
      </w:r>
    </w:p>
    <w:p w:rsidR="00000000" w:rsidDel="00000000" w:rsidP="00000000" w:rsidRDefault="00000000" w:rsidRPr="00000000" w14:paraId="000000A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Using Foraging Theory to Study Trophic Interactions - Osenberg Lab, 檢索日期：4月 24, 2026， </w:t>
      </w:r>
      <w:hyperlink r:id="rId51">
        <w:r w:rsidDel="00000000" w:rsidR="00000000" w:rsidRPr="00000000">
          <w:rPr>
            <w:rFonts w:ascii="Google Sans" w:cs="Google Sans" w:eastAsia="Google Sans" w:hAnsi="Google Sans"/>
            <w:color w:val="0000ee"/>
            <w:sz w:val="24"/>
            <w:szCs w:val="24"/>
            <w:u w:val="single"/>
            <w:rtl w:val="0"/>
          </w:rPr>
          <w:t xml:space="preserve">https://osenberglab.ecology.uga.edu/wp-content/uploads/2012/08/1994foraging.pdf</w:t>
        </w:r>
      </w:hyperlink>
      <w:r w:rsidDel="00000000" w:rsidR="00000000" w:rsidRPr="00000000">
        <w:rPr>
          <w:rtl w:val="0"/>
        </w:rPr>
      </w:r>
    </w:p>
    <w:p w:rsidR="00000000" w:rsidDel="00000000" w:rsidP="00000000" w:rsidRDefault="00000000" w:rsidRPr="00000000" w14:paraId="000000A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Cost of Capturing Prey: Measuring Largemouth Bass Foraging Activity Using Glycolytic Enzymes (Lactate Dehydrogenase) - Open PRAIRIE - South Dakota State University, 檢索日期：4月 24, 2026， </w:t>
      </w:r>
      <w:hyperlink r:id="rId52">
        <w:r w:rsidDel="00000000" w:rsidR="00000000" w:rsidRPr="00000000">
          <w:rPr>
            <w:rFonts w:ascii="Google Sans" w:cs="Google Sans" w:eastAsia="Google Sans" w:hAnsi="Google Sans"/>
            <w:color w:val="0000ee"/>
            <w:sz w:val="24"/>
            <w:szCs w:val="24"/>
            <w:u w:val="single"/>
            <w:rtl w:val="0"/>
          </w:rPr>
          <w:t xml:space="preserve">https://openprairie.sdstate.edu/etd/400/</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leanlakesalliance.org/lake-turnover/" TargetMode="External"/><Relationship Id="rId42" Type="http://schemas.openxmlformats.org/officeDocument/2006/relationships/hyperlink" Target="https://blogs.ifas.ufl.edu/charlotteco/2018/06/04/how-fish-sense-the-world-around-them/" TargetMode="External"/><Relationship Id="rId41" Type="http://schemas.openxmlformats.org/officeDocument/2006/relationships/hyperlink" Target="https://en.wikipedia.org/wiki/Lateral_line" TargetMode="External"/><Relationship Id="rId44" Type="http://schemas.openxmlformats.org/officeDocument/2006/relationships/hyperlink" Target="https://www.beilstein-journals.org/bjnano/articles/2/32" TargetMode="External"/><Relationship Id="rId43" Type="http://schemas.openxmlformats.org/officeDocument/2006/relationships/hyperlink" Target="https://www.whoi.edu/cms/files/Rapo_et_al_2009_51084.pdf" TargetMode="External"/><Relationship Id="rId46" Type="http://schemas.openxmlformats.org/officeDocument/2006/relationships/hyperlink" Target="https://scholarsarchive.byu.edu/cgi/viewcontent.cgi?article=3210&amp;context=iemssconference" TargetMode="External"/><Relationship Id="rId45" Type="http://schemas.openxmlformats.org/officeDocument/2006/relationships/hyperlink" Target="https://www.frontiersin.org/journals/robotics-and-ai/articles/10.3389/frobt.2022.825889/fu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48" Type="http://schemas.openxmlformats.org/officeDocument/2006/relationships/hyperlink" Target="https://www.whoi.edu/science/PO/dept/scientist/biosketch/A3-dimensionalinerttialmodelofcoastalupwelling.docx.pdf" TargetMode="External"/><Relationship Id="rId47" Type="http://schemas.openxmlformats.org/officeDocument/2006/relationships/hyperlink" Target="https://www.mdpi.com/2077-1312/5/4/47" TargetMode="External"/><Relationship Id="rId49" Type="http://schemas.openxmlformats.org/officeDocument/2006/relationships/hyperlink" Target="https://en.wikipedia.org/wiki/Optimal_foraging_theory"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1.png"/><Relationship Id="rId8" Type="http://schemas.openxmlformats.org/officeDocument/2006/relationships/image" Target="media/image6.png"/><Relationship Id="rId31" Type="http://schemas.openxmlformats.org/officeDocument/2006/relationships/hyperlink" Target="https://fisheries.tamu.edu/pond-management/species/largemouth-bass/" TargetMode="External"/><Relationship Id="rId30" Type="http://schemas.openxmlformats.org/officeDocument/2006/relationships/hyperlink" Target="https://pmc.ncbi.nlm.nih.gov/articles/PMC12911189/" TargetMode="External"/><Relationship Id="rId33" Type="http://schemas.openxmlformats.org/officeDocument/2006/relationships/hyperlink" Target="https://texas4-h.tamu.edu/wp-content/uploads/outdoor_fish_study_guide.pdf" TargetMode="External"/><Relationship Id="rId32" Type="http://schemas.openxmlformats.org/officeDocument/2006/relationships/hyperlink" Target="https://mysterytacklebox.com/blogs/fish-tales/5-types-of-bottom-composition" TargetMode="External"/><Relationship Id="rId35" Type="http://schemas.openxmlformats.org/officeDocument/2006/relationships/hyperlink" Target="https://seafwa.org/sites/default/files/journal-articles/JACKSON-46-58.pdf" TargetMode="External"/><Relationship Id="rId34" Type="http://schemas.openxmlformats.org/officeDocument/2006/relationships/hyperlink" Target="https://1source.basspro.com/news-tips/fishing-information/7142/fishing-soft-or-hard-bottom-areas" TargetMode="External"/><Relationship Id="rId37" Type="http://schemas.openxmlformats.org/officeDocument/2006/relationships/hyperlink" Target="https://en.wikipedia.org/wiki/Froude_number" TargetMode="External"/><Relationship Id="rId36" Type="http://schemas.openxmlformats.org/officeDocument/2006/relationships/hyperlink" Target="https://www.engr.colostate.edu/~pierre/ce_old/Projects/Paperspdf/An%20and%20Julien%20ASCE2014.pdf" TargetMode="External"/><Relationship Id="rId39" Type="http://schemas.openxmlformats.org/officeDocument/2006/relationships/hyperlink" Target="https://henry.baw.de/server/api/core/bitstreams/3e450aa9-1f8b-4adc-ac34-3bb617bb56f8/content" TargetMode="External"/><Relationship Id="rId38" Type="http://schemas.openxmlformats.org/officeDocument/2006/relationships/hyperlink" Target="https://usbr.gov/tsc/techreferences/hydraulics_lab/pubs/PAP/PAP-0816.pdf" TargetMode="External"/><Relationship Id="rId20" Type="http://schemas.openxmlformats.org/officeDocument/2006/relationships/hyperlink" Target="https://pubmed.ncbi.nlm.nih.gov/19199559/" TargetMode="External"/><Relationship Id="rId22" Type="http://schemas.openxmlformats.org/officeDocument/2006/relationships/hyperlink" Target="https://nepis.epa.gov/Exe/ZyPURL.cgi?Dockey=00001MSS.TXT" TargetMode="External"/><Relationship Id="rId21" Type="http://schemas.openxmlformats.org/officeDocument/2006/relationships/hyperlink" Target="https://invasions.si.edu/nemesis/calnemo/species_summary/168160" TargetMode="External"/><Relationship Id="rId24" Type="http://schemas.openxmlformats.org/officeDocument/2006/relationships/hyperlink" Target="https://nepis.epa.gov/Exe/ZyPURL.cgi?Dockey=9100T1VY.TXT" TargetMode="External"/><Relationship Id="rId23" Type="http://schemas.openxmlformats.org/officeDocument/2006/relationships/hyperlink" Target="https://www.globalseafood.org/advocate/hydrogen-sulfide-toxic-but-manageable/" TargetMode="External"/><Relationship Id="rId26" Type="http://schemas.openxmlformats.org/officeDocument/2006/relationships/hyperlink" Target="https://biomedres.us/pdfs/BJSTR.MS.ID.003127.pdf" TargetMode="External"/><Relationship Id="rId25" Type="http://schemas.openxmlformats.org/officeDocument/2006/relationships/hyperlink" Target="https://www2.gov.bc.ca/assets/gov/environment/air-land-water/water/waterquality/water-quality-guidelines/approved-wqgs/iron-tech.pdf" TargetMode="External"/><Relationship Id="rId28" Type="http://schemas.openxmlformats.org/officeDocument/2006/relationships/hyperlink" Target="https://www.cals.msstate.edu/docs/students/research/shelby_mathieu_report.pdf" TargetMode="External"/><Relationship Id="rId27" Type="http://schemas.openxmlformats.org/officeDocument/2006/relationships/hyperlink" Target="https://ndep.nv.gov/uploads/water-wqs-docs/LargemouthTTA.pdf" TargetMode="External"/><Relationship Id="rId29" Type="http://schemas.openxmlformats.org/officeDocument/2006/relationships/hyperlink" Target="https://pmc.ncbi.nlm.nih.gov/articles/PMC11758336/" TargetMode="External"/><Relationship Id="rId51" Type="http://schemas.openxmlformats.org/officeDocument/2006/relationships/hyperlink" Target="https://osenberglab.ecology.uga.edu/wp-content/uploads/2012/08/1994foraging.pdf" TargetMode="External"/><Relationship Id="rId50" Type="http://schemas.openxmlformats.org/officeDocument/2006/relationships/hyperlink" Target="https://bio.libretexts.org/Courses/Gettysburg_College/01%3A_Ecology_for_All/11%3A_Behavioral_Ecology/11.03%3A_Optimal_Foraging_Theory" TargetMode="External"/><Relationship Id="rId52" Type="http://schemas.openxmlformats.org/officeDocument/2006/relationships/hyperlink" Target="https://openprairie.sdstate.edu/etd/400/" TargetMode="External"/><Relationship Id="rId11" Type="http://schemas.openxmlformats.org/officeDocument/2006/relationships/image" Target="media/image13.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5.png"/><Relationship Id="rId15" Type="http://schemas.openxmlformats.org/officeDocument/2006/relationships/image" Target="media/image12.png"/><Relationship Id="rId14"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image" Target="media/image3.png"/><Relationship Id="rId19" Type="http://schemas.openxmlformats.org/officeDocument/2006/relationships/hyperlink" Target="https://pollution.sustainability-directory.com/learn/what-is-the-critical-minimum-dissolved-oxygen-level-for-healthy-fish-populations/#:~:text=Levels%20below%203%20mg%2FL,leading%20to%20widespread%20fish%20kills." TargetMode="External"/><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