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b/>
        </w:rPr>
        <w:t xml:space="preserve">【研究卷元資料 | Metadata】</w:t>
      </w:r>
    </w:p>
    <w:p>
      <w:pPr/>
      <w:r>
        <w:rPr/>
        <w:t xml:space="preserve">卷號：0D　｜　版本：v1.0（Gemini Deep Research 初版 ＋ 結構補強補丁）</w:t>
      </w:r>
    </w:p>
    <w:p>
      <w:pPr/>
      <w:r>
        <w:rPr/>
        <w:t xml:space="preserve">引用上游：0A1（台灣氣候 forcing）／ 0B（南北成土母質）／ 0C（六大水體 seasonal 評估）</w:t>
      </w:r>
    </w:p>
    <w:p>
      <w:pPr/>
      <w:r>
        <w:rPr/>
        <w:t xml:space="preserve">輸出格式：Inherited_Baseline ／ Baseline_Facts（B0-01 ～ B0-20）／ Waterbody_Model_Table（六大水體）／ Open_Assumptions（Assumption-01 ～ -07）</w:t>
      </w:r>
    </w:p>
    <w:p>
      <w:pPr/>
      <w:r>
        <w:rPr/>
        <w:t xml:space="preserve">下游供用：1A、1B、2A、2B、2C、3A、3B、4A、4B（作為基底資料矩陣主要引用來源）</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 0D：台灣大嘴黑鱸釣魚環境生態白皮書——六大水體基底資料矩陣與極端事件跨水體動態整合評估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緒論與多尺度物理化學耦合系統架構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在探討淡水生態系統的流體動力學、熱力學以及地球化學演化時，封閉與半封閉水體（如水庫、埤塘與管理池）的物理與化學狀態，受到大氣邊界條件（Atmospheric Forcing）與底層成土母質（Soil Parent Materials）的雙重且嚴格之制約。大嘴黑鱸（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）作為頂級視覺掠食者，其棲地適宜性、索餌效率與繁衍成功率，被此一無形的物理化學網絡所嚴密控制 [1, 1]。本報告旨在統整台灣本島北部與南部截然不同的氣候強迫機制與地質化學基底，建立涵蓋全台六大典型水體之標準化基底資料矩陣。</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台灣本島的氣候與地質空間分布呈現極端顯著的南北二元特徵。北部區域（包含無地形遮蔽的 Zone-A 迎風面與受局部地形屏障的 Zone-B 背風面）受冬季東北季風與春季鋒面強烈影響，年降水量高達 2500 至 3000 mm [1, 1]。在極端豐沛的降水沖刷下，集水區母質歷經百萬年級的強烈風化與淋溶作用，發生顯著的「去矽作用」（Desilication），鹼性陽離子（如鈣、鎂、鉀、鈉）大量流失，形成微酸性（pH 4.5–5.5）之極育土（Ultisols），其礦物相富含高嶺石與難溶的鐵鋁游離氧化物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。相對地，南部區域（Zone-C 背風面）位處中央山脈南段西側，具備極端的乾濕季分野，冬季完全處於乾燥之沉降區，面臨高達 80 mm/月的淨水分虧損與強烈蒸發 [1, 1]。其集水區底質主要源自板岩、頁岩與石灰岩的近代沖積物，地質學上歸類為新成土與弱育土（Entisols/Inceptisols），由於風化年代較短，保留了大量原生矽酸鹽礦物及碳酸鈣，具備高鹽基飽和度與中性至微鹼性（pH 6.5–7.5）特徵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透過深度耦合大氣物理學的動量與熱量傳遞（如颱風極端風應力、艾克曼混合、冷氣團熱通量崩潰）與底質化學的膠體介面動力學（如 Zeta 電位排斥、斯托克斯沉降定律），本評估系統性地量化了六大水體在經歷夏季極端颱風、冬季大陸冷氣團等氣候事件下的動態響應與延遲效應，為後續之生態預測與棲地工程提供最具權威性的法定演算基底。</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六大水體基底資料矩陣與水文光學特徵</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提供系統性之量化解析框架，本節建構了涵蓋六大典型水體之幾何與地質特徵、底質化學、水文光學（代表水色與能見度）以及季節性溶氧與氧化還原電位（Eh）邊界條件的基底資料矩陣。水體的光學特徵不僅是膠體化學的巨觀展現，更是決定掠食性魚類視覺狩獵半徑的絕對參數。</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700"/>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水體代碼與系統類型</w:t>
            </w:r>
          </w:p>
        </w:tc>
        <w:tc>
          <w:tcPr>
            <w:tcW w:w="1700" w:type="dxa"/>
          </w:tcPr>
          <w:p>
            <w:r>
              <w:rPr>
                <w:b/>
              </w:rPr>
              <w:t xml:space="preserve">代表水深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氣候分區與成土母質基底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基準 pH 值與 Zeta 電位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代表能見度 (cm) 與光學水色特徵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季節性 DO (mg/L) 範圍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季節性 Eh (mV) 震盪區間與毒性風險閾值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底質體積熱容量 (MJ/m³·°C) 與熱緩衝特性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北部野生埤塘</w:t>
            </w:r>
          </w:p>
        </w:tc>
        <w:tc>
          <w:tcPr>
            <w:tcW w:w="1700" w:type="dxa"/>
          </w:tcPr>
          <w:p>
            <w:r>
              <w:rPr/>
              <w:t xml:space="preserve">1.5–3 m
（北部埤塘常態；冷氣團下風生混合可穿透底床）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Zone-A/B</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(高嶺石主導)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至 -40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春夏 30–50 cm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暴雨後 &lt;10 cm (紅棕/土黃)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5.5–8.5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3.0–7.5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6.5–9.5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+100 ~ +350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-100 ~ +200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風險</w:t>
            </w:r>
            <w:r w:rsidDel="00000000" w:rsidR="00000000" w:rsidRPr="00000000">
              <w:rPr>
                <w:rFonts w:ascii="Google Sans" w:cs="Google Sans" w:eastAsia="Google Sans" w:hAnsi="Google Sans"/>
                <w:color w:val="1f1f1f"/>
                <w:rtl w:val="0"/>
              </w:rPr>
              <w:t xml:space="preserve">: Eh &lt; 0 mV 釋放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3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1.55–3.50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提供 72–96 hr 高度降溫緩衝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北部深水水庫</w:t>
            </w:r>
          </w:p>
        </w:tc>
        <w:tc>
          <w:tcPr>
            <w:tcW w:w="1700" w:type="dxa"/>
          </w:tcPr>
          <w:p>
            <w:r>
              <w:rPr/>
              <w:t xml:space="preserve">30–60 m
（翡翠/石門型水庫；溫躍層深 3–5 m；異重流入侵 20–40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(高嶺石主導)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至 -40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20–150 cm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120–180 cm (深綠清澈)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6.0–9.0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4.0–8.0 (表)</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7.0–9.5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+50 ~ +300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+100 ~ +350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風險</w:t>
            </w:r>
            <w:r w:rsidDel="00000000" w:rsidR="00000000" w:rsidRPr="00000000">
              <w:rPr>
                <w:rFonts w:ascii="Google Sans" w:cs="Google Sans" w:eastAsia="Google Sans" w:hAnsi="Google Sans"/>
                <w:color w:val="1f1f1f"/>
                <w:rtl w:val="0"/>
              </w:rPr>
              <w:t xml:space="preserve">: 10月中下旬溫躍層秋季翻轉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1.55–3.50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高度熱慣性緩衝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北部管理池</w:t>
            </w:r>
          </w:p>
        </w:tc>
        <w:tc>
          <w:tcPr>
            <w:tcW w:w="1700" w:type="dxa"/>
          </w:tcPr>
          <w:p>
            <w:r>
              <w:rPr/>
              <w:t xml:space="preserve">1–2 m
（人工管理；停機 4–6 hr 即建立穩定分層）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Zone-B</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(高有機質負載)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至 -40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30–50 cm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25–40 cm (褐綠微濁)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2.5–7.0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6.0–9.0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-150 ~ +100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+100 ~ +300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風險</w:t>
            </w:r>
            <w:r w:rsidDel="00000000" w:rsidR="00000000" w:rsidRPr="00000000">
              <w:rPr>
                <w:rFonts w:ascii="Google Sans" w:cs="Google Sans" w:eastAsia="Google Sans" w:hAnsi="Google Sans"/>
                <w:color w:val="1f1f1f"/>
                <w:rtl w:val="0"/>
              </w:rPr>
              <w:t xml:space="preserve">: 水車停機 4–6 hr 快速分層缺氧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1.55–3.50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高度熱慣性緩衝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南部野生埤塘</w:t>
            </w:r>
          </w:p>
        </w:tc>
        <w:tc>
          <w:tcPr>
            <w:tcW w:w="1700" w:type="dxa"/>
          </w:tcPr>
          <w:p>
            <w:r>
              <w:rPr/>
              <w:t xml:space="preserve">0.8–1.5 m
（旱季萎縮至 0.8 m；溶質濃縮 1.88 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Zone-C</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弱育土 (伊利石/蒙脫石)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6.5–7.5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至 -52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15–30 cm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春末 &lt;10 cm (藍綠藻渣遮蔽)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1.5–6.0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5.5–8.5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-200 ~ +100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-50 ~ +200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風險</w:t>
            </w:r>
            <w:r w:rsidDel="00000000" w:rsidR="00000000" w:rsidRPr="00000000">
              <w:rPr>
                <w:rFonts w:ascii="Google Sans" w:cs="Google Sans" w:eastAsia="Google Sans" w:hAnsi="Google Sans"/>
                <w:color w:val="1f1f1f"/>
                <w:rtl w:val="0"/>
              </w:rPr>
              <w:t xml:space="preserve">: 旱季水質物理濃縮達 1.88倍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1.06–3.00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&lt;24 hr 緩衝，夏季日夜溫差 3.5–5.0°C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南部深水水庫</w:t>
            </w:r>
          </w:p>
        </w:tc>
        <w:tc>
          <w:tcPr>
            <w:tcW w:w="1700" w:type="dxa"/>
          </w:tcPr>
          <w:p>
            <w:r>
              <w:rPr/>
              <w:t xml:space="preserve">25–50 m
（曾文/南化型水庫；溫躍層深 2–4 m；秋季翻轉 TP 脈衝）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Zone-C</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新成土/弱育土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6.5–7.5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至 -52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10–60 cm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70–120 cm (泥灰長濁)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3.0–7.5 (表)</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6.0–8.5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-100 ~ +200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+50 ~ +250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風險</w:t>
            </w:r>
            <w:r w:rsidDel="00000000" w:rsidR="00000000" w:rsidRPr="00000000">
              <w:rPr>
                <w:rFonts w:ascii="Google Sans" w:cs="Google Sans" w:eastAsia="Google Sans" w:hAnsi="Google Sans"/>
                <w:color w:val="1f1f1f"/>
                <w:rtl w:val="0"/>
              </w:rPr>
              <w:t xml:space="preserve">: 暴雨內部 TP 負載脈衝 50-120 μg/L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1.06–3.00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低度熱慣性緩衝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南部管理池</w:t>
            </w:r>
          </w:p>
        </w:tc>
        <w:tc>
          <w:tcPr>
            <w:tcW w:w="1700" w:type="dxa"/>
          </w:tcPr>
          <w:p>
            <w:r>
              <w:rPr/>
              <w:t xml:space="preserve">0.5–1.5 m
（砂質極淺底床；幾乎無熱慣性；風生混合可穿透底床）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Zone-C</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砂質新成土 (極高負載)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6.5–7.5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至 -52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&lt;10–30 cm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10–25 cm (濃綠不透光)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1.0–6.0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5.0–8.0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-250 ~ +50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+50 ~ +250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風險</w:t>
            </w:r>
            <w:r w:rsidDel="00000000" w:rsidR="00000000" w:rsidRPr="00000000">
              <w:rPr>
                <w:rFonts w:ascii="Google Sans" w:cs="Google Sans" w:eastAsia="Google Sans" w:hAnsi="Google Sans"/>
                <w:color w:val="1f1f1f"/>
                <w:rtl w:val="0"/>
              </w:rPr>
              <w:t xml:space="preserve">: Eh &lt; -150 mV 極端釋出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3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1.06–3.00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淺水砂質底床近乎無熱緩衝</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矩陣數據深刻揭示了底質地球化學對水體表徵的絕對控制力。北部極育土的高鐵鋁氧化物在微酸性環境下，容易使懸浮微粒呈現偏向紅棕與土黃的色澤，然而如後續斯托克斯定律分析所示，其光學遮蔽屬高動態的短暫性特徵 [1, 1]。相反地，南部水域由於永久負電荷矽酸鹽礦物的高度懸浮，配合春末高溫與蒸發濃縮所誘發的藍綠菌（Cyanobacteria）藻華，水色經常呈現極端穩定的泥灰至濃綠色，光學透光度（Secchi Depth）被長期且嚴重地壓縮 [1, 1]。這種光學衰減不僅阻礙了底棲微藻的光合作用，更迫使視覺掠食性魚類改變其演化上偏好的「鎖定-突擊」狩獵模式，轉而依賴側線感知的低效盲索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濁度恢復與南北絮凝機制之 Stokes' Law 深度解析</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在經歷夏季梅雨鋒面或颱風暴雨的極端降水（如 Zone-C 梅雨月降水可達 350–550 mm，單日強降水 &gt; 30 mm/hr）沖刷後，大量陸源沉積物與周邊逕流夾帶的有機質匯入封閉水體，導致能見度瞬間驟降至 10 cm 以下 [1, 1]。然而，實證觀測與理論模型皆指出，南北水域在風暴過後的濁度消散與能見度恢復時間上，展現出高達數十倍的驚人差異。此一現象完全受控於膠體介面化學（Colloid Interface Chemistry）與流體力學的非線性耦合機制。</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表面電荷結構與擴散雙電層（DDL）效應</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在南部新成土與弱育土主導的水域（水體 4、5、6），環境基準 pH 值長期維持在 6.5 至 7.5 的中性至微鹼性狀態 [1, 1]。在微觀層面上，南部底質中富含的伊利石（Illite）與蒙脫石（Smectite）等多水矽酸鹽礦物，因其晶格內部的同晶替代作用（Isomorphous substitution），使得礦物表面帶有極高密度的永久負電荷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。電泳測量數據證實，在鹼性環境（如 pH 10）下，這些矽酸鹽礦物的 Zeta 電位會深潛至 -42 mV 甚至 -52 mV 的高絕對值區間；即使在常態的 pH 7 至 8 之間，其 Zeta 電位亦穩定維持在 -35 mV 以下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這種強大的同性電荷分布，在膠體顆粒周圍建立起極度厚實的擴散雙電層（Diffuse Double Layer, DDL），依據 DLVO 理論，這產生了難以克服的靜電排斥能障（Energy barrier）。即使水體中的微生物群落（如異營細菌、微藻）持續分泌胞外聚合物（Extracellular Polymeric Substances, EPS），這些富含羧基與羥基的高分子 EPS 在鹼性環境中同樣發生解離而帶負電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。EPS 分子與黏土顆粒之間產生強烈的靜電排斥，導致高分子鏈被迫呈現伸展構象（Extended conformation），無法有效吸附於礦物表面進行架橋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。因此，南部水域的微米級黏土顆粒維持在高度穩定的單一分散狀態，無法發生自發性絮凝。</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相對而言，北部極育土水域（水體 1、2、3）呈現 pH 4.5–5.5 的微酸性基底 [1, 1]。此酸性區間極為接近極育土的零電荷點（Point of Zero Charge, ZPC，分布於 pH 4.5–5.5），導致主體礦物高嶺石（Kaolinite）的電荷分布出現獨特的「雙重且不對稱」現象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。高嶺石的矽氧底面（Basal surfaces）在 pH &gt; 4 時帶負電，然而其鋁氧邊緣（Edges）在 pH 小於 6 的環境中，因質子化作用（</w:t>
      </w:r>
      <w:r w:rsidDel="00000000" w:rsidR="00000000" w:rsidRPr="00000000">
        <w:rPr>
          <w:rFonts w:ascii="Google Sans" w:cs="Google Sans" w:eastAsia="Google Sans" w:hAnsi="Google Sans"/>
          <w:color w:val="1f1f1f"/>
        </w:rPr>
        <w:drawing>
          <wp:inline distB="19050" distT="19050" distL="19050" distR="19050">
            <wp:extent cx="2372316" cy="228657"/>
            <wp:effectExtent b="0" l="0" r="0" t="0"/>
            <wp:docPr id="3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2372316" cy="2286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）而強烈帶正電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雖然此時北部水域總體 Zeta 電位測得約為 -15 mV 至 -40 mV，落於熱力學不穩定帶，但邊緣正電與底面負電的共存，引發了強烈的「邊對面」（Edge-to-face）靜電吸引作用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。此外，微酸性環境抑制了 EPS 官能基的解離，降低了排斥力，長鏈 EPS 分子得已牢固吸附於高嶺石的正電邊緣，形成「高分子架橋效應」（Polymer bridging）。同時，極育土中微量溶出的多價陽離子（</w:t>
      </w:r>
      <w:r w:rsidDel="00000000" w:rsidR="00000000" w:rsidRPr="00000000">
        <w:rPr>
          <w:rFonts w:ascii="Google Sans" w:cs="Google Sans" w:eastAsia="Google Sans" w:hAnsi="Google Sans"/>
          <w:color w:val="1f1f1f"/>
        </w:rPr>
        <w:drawing>
          <wp:inline distB="19050" distT="19050" distL="19050" distR="19050">
            <wp:extent cx="371178" cy="228417"/>
            <wp:effectExtent b="0" l="0" r="0" t="0"/>
            <wp:docPr id="3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71178" cy="228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3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）發揮了強效的「電性中和」與「陽離子架橋」功能，進一步壓縮雙電層厚度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。在此多重物理化學機制的協同作用下，微米級的初級黏土顆粒會迅速聚集成直徑可達 1 至 2 mm 的宏觀絮體（Macroflocs）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斯托克斯定律（Stokes' Law）之非線性沉降加速演算</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懸浮微粒凝聚後的物理沉降過程，嚴格遵循流體力學中的斯托克斯定律（Stokes' Law）。該定律描述球狀顆粒在層流（Laminar flow）狀態下，受重力、浮力與流體阻力平衡時的終端沉降速度（</w:t>
      </w:r>
      <w:r w:rsidDel="00000000" w:rsidR="00000000" w:rsidRPr="00000000">
        <w:rPr>
          <w:rFonts w:ascii="Google Sans" w:cs="Google Sans" w:eastAsia="Google Sans" w:hAnsi="Google Sans"/>
          <w:color w:val="1f1f1f"/>
        </w:rPr>
        <w:drawing>
          <wp:inline distB="19050" distT="19050" distL="19050" distR="19050">
            <wp:extent cx="177255" cy="223900"/>
            <wp:effectExtent b="0" l="0" r="0" t="0"/>
            <wp:docPr id="38"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77255" cy="223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）。其數學方程式表述為：</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3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94655" cy="227171"/>
            <wp:effectExtent b="0" l="0" r="0" t="0"/>
            <wp:docPr id="41"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94655" cy="22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為重力加速度（9.81 m/s²），</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4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為顆粒直徑（m），</w:t>
      </w:r>
      <w:r w:rsidDel="00000000" w:rsidR="00000000" w:rsidRPr="00000000">
        <w:rPr>
          <w:rFonts w:ascii="Google Sans" w:cs="Google Sans" w:eastAsia="Google Sans" w:hAnsi="Google Sans"/>
          <w:color w:val="1f1f1f"/>
        </w:rPr>
        <w:drawing>
          <wp:inline distB="19050" distT="19050" distL="19050" distR="19050">
            <wp:extent cx="169515" cy="226021"/>
            <wp:effectExtent b="0" l="0" r="0" t="0"/>
            <wp:docPr id="44"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169515" cy="226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為顆粒實體密度（石英與高嶺石約 2650 kg/m³），</w:t>
      </w:r>
      <w:r w:rsidDel="00000000" w:rsidR="00000000" w:rsidRPr="00000000">
        <w:rPr>
          <w:rFonts w:ascii="Google Sans" w:cs="Google Sans" w:eastAsia="Google Sans" w:hAnsi="Google Sans"/>
          <w:color w:val="1f1f1f"/>
        </w:rPr>
        <w:drawing>
          <wp:inline distB="19050" distT="19050" distL="19050" distR="19050">
            <wp:extent cx="181570" cy="229352"/>
            <wp:effectExtent b="0" l="0" r="0" t="0"/>
            <wp:docPr id="42"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81570" cy="229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為流體密度（25°C 純水約 997 kg/m³），</w:t>
      </w:r>
      <w:r w:rsidDel="00000000" w:rsidR="00000000" w:rsidRPr="00000000">
        <w:rPr>
          <w:rFonts w:ascii="Google Sans" w:cs="Google Sans" w:eastAsia="Google Sans" w:hAnsi="Google Sans"/>
          <w:color w:val="1f1f1f"/>
        </w:rPr>
        <w:drawing>
          <wp:inline distB="19050" distT="19050" distL="19050" distR="19050">
            <wp:extent cx="111323" cy="222647"/>
            <wp:effectExtent b="0" l="0" r="0" t="0"/>
            <wp:docPr id="4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11323" cy="222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為流體的動態黏滯度（Dynamic viscosity）。在標準夏季水溫 25°C 下，水體的法定動態黏滯度校準常數為 0.89 mPa·s（即 </w:t>
      </w:r>
      <w:r w:rsidDel="00000000" w:rsidR="00000000" w:rsidRPr="00000000">
        <w:rPr>
          <w:rFonts w:ascii="Google Sans" w:cs="Google Sans" w:eastAsia="Google Sans" w:hAnsi="Google Sans"/>
          <w:color w:val="1f1f1f"/>
        </w:rPr>
        <w:drawing>
          <wp:inline distB="19050" distT="19050" distL="19050" distR="19050">
            <wp:extent cx="604540" cy="220705"/>
            <wp:effectExtent b="0" l="0" r="0" t="0"/>
            <wp:docPr id="4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604540" cy="220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針對南部水域因強大 Zeta 電位排斥而未發生絮凝的單一黏土顆粒，假設其等效球體直徑為 2 </w:t>
      </w:r>
      <w:r w:rsidDel="00000000" w:rsidR="00000000" w:rsidRPr="00000000">
        <w:rPr>
          <w:rFonts w:ascii="Google Sans" w:cs="Google Sans" w:eastAsia="Google Sans" w:hAnsi="Google Sans"/>
          <w:color w:val="1f1f1f"/>
        </w:rPr>
        <w:drawing>
          <wp:inline distB="19050" distT="19050" distL="19050" distR="19050">
            <wp:extent cx="273248" cy="226137"/>
            <wp:effectExtent b="0" l="0" r="0" t="0"/>
            <wp:docPr id="46"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73248" cy="226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676275" cy="219075"/>
            <wp:effectExtent b="0" l="0" r="0" t="0"/>
            <wp:docPr id="4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m），代入上述 25°C 的參數進行計算，其終端沉降速度極度緩慢，約為 </w:t>
      </w:r>
      <w:r w:rsidDel="00000000" w:rsidR="00000000" w:rsidRPr="00000000">
        <w:rPr>
          <w:rFonts w:ascii="Google Sans" w:cs="Google Sans" w:eastAsia="Google Sans" w:hAnsi="Google Sans"/>
          <w:b w:val="1"/>
          <w:bCs w:val="1"/>
          <w:color w:val="1f1f1f"/>
          <w:rtl w:val="0"/>
        </w:rPr>
        <w:t xml:space="preserve">1.45 cm/hr</w:t>
      </w:r>
      <w:r w:rsidDel="00000000" w:rsidR="00000000" w:rsidRPr="00000000">
        <w:rPr>
          <w:rFonts w:ascii="Google Sans" w:cs="Google Sans" w:eastAsia="Google Sans" w:hAnsi="Google Sans"/>
          <w:color w:val="1f1f1f"/>
          <w:rtl w:val="0"/>
        </w:rPr>
        <w:t xml:space="preserve">，等同於每天僅沉降 </w:t>
      </w:r>
      <w:r w:rsidDel="00000000" w:rsidR="00000000" w:rsidRPr="00000000">
        <w:rPr>
          <w:rFonts w:ascii="Google Sans" w:cs="Google Sans" w:eastAsia="Google Sans" w:hAnsi="Google Sans"/>
          <w:b w:val="1"/>
          <w:bCs w:val="1"/>
          <w:color w:val="1f1f1f"/>
          <w:rtl w:val="0"/>
        </w:rPr>
        <w:t xml:space="preserve">0.35 公尺</w:t>
      </w:r>
      <w:r w:rsidDel="00000000" w:rsidR="00000000" w:rsidRPr="00000000">
        <w:rPr>
          <w:rFonts w:ascii="Google Sans" w:cs="Google Sans" w:eastAsia="Google Sans" w:hAnsi="Google Sans"/>
          <w:color w:val="1f1f1f"/>
          <w:rtl w:val="0"/>
        </w:rPr>
        <w:t xml:space="preserve"> [1, 1]。對於平均深度達 3 至 10 公尺的南部深水水庫（水體 5）或埤塘而言，這些懸浮微粒需要耗時 </w:t>
      </w:r>
      <w:r w:rsidDel="00000000" w:rsidR="00000000" w:rsidRPr="00000000">
        <w:rPr>
          <w:rFonts w:ascii="Google Sans" w:cs="Google Sans" w:eastAsia="Google Sans" w:hAnsi="Google Sans"/>
          <w:b w:val="1"/>
          <w:bCs w:val="1"/>
          <w:color w:val="1f1f1f"/>
          <w:rtl w:val="0"/>
        </w:rPr>
        <w:t xml:space="preserve">14 至 30 天</w:t>
      </w:r>
      <w:r w:rsidDel="00000000" w:rsidR="00000000" w:rsidRPr="00000000">
        <w:rPr>
          <w:rFonts w:ascii="Google Sans" w:cs="Google Sans" w:eastAsia="Google Sans" w:hAnsi="Google Sans"/>
          <w:color w:val="1f1f1f"/>
          <w:rtl w:val="0"/>
        </w:rPr>
        <w:t xml:space="preserve"> 方能完全觸底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。此漫長的光學遮蔽期嚴重壓縮了水下光合作用與視覺掠食者的生存空間。</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反觀北部極育土水域，在微酸性環境下生成的宏觀絮體，其直徑可放大至 1 mm（</w:t>
      </w:r>
      <w:r w:rsidDel="00000000" w:rsidR="00000000" w:rsidRPr="00000000">
        <w:rPr>
          <w:rFonts w:ascii="Google Sans" w:cs="Google Sans" w:eastAsia="Google Sans" w:hAnsi="Google Sans"/>
          <w:color w:val="1f1f1f"/>
        </w:rPr>
        <w:drawing>
          <wp:inline distB="19050" distT="19050" distL="19050" distR="19050">
            <wp:extent cx="676275" cy="219075"/>
            <wp:effectExtent b="0" l="0" r="0" t="0"/>
            <wp:docPr id="4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m）。儘管絮體內部呈現高度多孔的蜂窩狀網絡結構，包埋了高達 95% 以上的水分，導致其整體有效密度（即 </w:t>
      </w:r>
      <w:r w:rsidDel="00000000" w:rsidR="00000000" w:rsidRPr="00000000">
        <w:rPr>
          <w:rFonts w:ascii="Google Sans" w:cs="Google Sans" w:eastAsia="Google Sans" w:hAnsi="Google Sans"/>
          <w:color w:val="1f1f1f"/>
        </w:rPr>
        <w:drawing>
          <wp:inline distB="19050" distT="19050" distL="19050" distR="19050">
            <wp:extent cx="576411" cy="226785"/>
            <wp:effectExtent b="0" l="0" r="0" t="0"/>
            <wp:docPr id="4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6411" cy="226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）大幅下降至小於 50 kg/m³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。然而，斯托克斯方程式揭示了一個驚人的非線性加速現象：由於沉降速度與顆粒直徑的平方（</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5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）成正比，直徑幾何放大 500 倍所帶來的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51"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倍加速動力，輕易地輾壓了有效密度下降近三十倍所造成的減速效應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重新代入方程式估算，北部宏觀絮體的終端沉降速度躍升至驚人的 </w:t>
      </w:r>
      <w:r w:rsidDel="00000000" w:rsidR="00000000" w:rsidRPr="00000000">
        <w:rPr>
          <w:rFonts w:ascii="Google Sans" w:cs="Google Sans" w:eastAsia="Google Sans" w:hAnsi="Google Sans"/>
          <w:b w:val="1"/>
          <w:bCs w:val="1"/>
          <w:color w:val="1f1f1f"/>
          <w:rtl w:val="0"/>
        </w:rPr>
        <w:t xml:space="preserve">3 cm/s（即高達 108 m/hr）</w:t>
      </w:r>
      <w:r w:rsidDel="00000000" w:rsidR="00000000" w:rsidRPr="00000000">
        <w:rPr>
          <w:rFonts w:ascii="Google Sans" w:cs="Google Sans" w:eastAsia="Google Sans" w:hAnsi="Google Sans"/>
          <w:color w:val="1f1f1f"/>
          <w:rtl w:val="0"/>
        </w:rPr>
        <w:t xml:space="preserve">，其實際沉降率比南部單一黏土顆粒快了一千倍以上 [1, 1]。這種流體力學上的突破性加速，賦予了北部水系（水體 1、2）極強的自我淨化能力。在暴雨帶來的極端濁度干擾後，北部水域往往能在短短 </w:t>
      </w:r>
      <w:r w:rsidDel="00000000" w:rsidR="00000000" w:rsidRPr="00000000">
        <w:rPr>
          <w:rFonts w:ascii="Google Sans" w:cs="Google Sans" w:eastAsia="Google Sans" w:hAnsi="Google Sans"/>
          <w:b w:val="1"/>
          <w:bCs w:val="1"/>
          <w:color w:val="1f1f1f"/>
          <w:rtl w:val="0"/>
        </w:rPr>
        <w:t xml:space="preserve">48 至 72 小時</w:t>
      </w:r>
      <w:r w:rsidDel="00000000" w:rsidR="00000000" w:rsidRPr="00000000">
        <w:rPr>
          <w:rFonts w:ascii="Google Sans" w:cs="Google Sans" w:eastAsia="Google Sans" w:hAnsi="Google Sans"/>
          <w:color w:val="1f1f1f"/>
          <w:rtl w:val="0"/>
        </w:rPr>
        <w:t xml:space="preserve"> 內，將能見度從 &lt; 10 cm 迅速恢復至 40 cm 以上的光學基準線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夏季極端大氣強迫：颱風動量傳遞、水車擾動與溶氧崩潰動力學</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月至 9 月為西北太平洋颱風的主要活躍期。颱風系統對台灣水體環境構成的大氣強迫，不僅在於致災性的極端降水，更核心的物理驅動力來自於極端風應力（Wind Stress,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5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）所引發的深層紊流混合，以及暴雨沖刷帶來的內部營養鹽負載脈衝 [1, 1]。</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風生混合深度（Wind-driven Mixing）與底泥再懸浮</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風應力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的計算依據空氣動力學方程式 </w:t>
      </w:r>
      <w:r w:rsidDel="00000000" w:rsidR="00000000" w:rsidRPr="00000000">
        <w:rPr>
          <w:rFonts w:ascii="Google Sans" w:cs="Google Sans" w:eastAsia="Google Sans" w:hAnsi="Google Sans"/>
          <w:color w:val="1f1f1f"/>
        </w:rPr>
        <w:drawing>
          <wp:inline distB="19050" distT="19050" distL="19050" distR="19050">
            <wp:extent cx="1035996" cy="228109"/>
            <wp:effectExtent b="0" l="0" r="0" t="0"/>
            <wp:docPr id="2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035996" cy="228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72789" cy="230386"/>
            <wp:effectExtent b="0" l="0" r="0" t="0"/>
            <wp:docPr id="2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72789"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為空氣密度，</w:t>
      </w:r>
      <w:r w:rsidDel="00000000" w:rsidR="00000000" w:rsidRPr="00000000">
        <w:rPr>
          <w:rFonts w:ascii="Google Sans" w:cs="Google Sans" w:eastAsia="Google Sans" w:hAnsi="Google Sans"/>
          <w:color w:val="1f1f1f"/>
        </w:rPr>
        <w:drawing>
          <wp:inline distB="19050" distT="19050" distL="19050" distR="19050">
            <wp:extent cx="251519" cy="232171"/>
            <wp:effectExtent b="0" l="0" r="0" t="0"/>
            <wp:docPr id="2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51519" cy="232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為海面阻力係數，</w:t>
      </w:r>
      <w:r w:rsidDel="00000000" w:rsidR="00000000" w:rsidRPr="00000000">
        <w:rPr>
          <w:rFonts w:ascii="Google Sans" w:cs="Google Sans" w:eastAsia="Google Sans" w:hAnsi="Google Sans"/>
          <w:color w:val="1f1f1f"/>
        </w:rPr>
        <w:drawing>
          <wp:inline distB="19050" distT="19050" distL="19050" distR="19050">
            <wp:extent cx="264319" cy="226559"/>
            <wp:effectExtent b="0" l="0" r="0" t="0"/>
            <wp:docPr id="2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64319" cy="226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為水面之上 10 公尺處的平均風速。當颱風採取直接路徑侵襲中北部（Zone-A 與 Zone-B）時，開放水面的最大持續風速可達 25–40 m/s，這使得水面承受的風應力飆升至 </w:t>
      </w:r>
      <w:r w:rsidDel="00000000" w:rsidR="00000000" w:rsidRPr="00000000">
        <w:rPr>
          <w:rFonts w:ascii="Google Sans" w:cs="Google Sans" w:eastAsia="Google Sans" w:hAnsi="Google Sans"/>
          <w:b w:val="1"/>
          <w:bCs w:val="1"/>
          <w:color w:val="1f1f1f"/>
          <w:rtl w:val="0"/>
        </w:rPr>
        <w:t xml:space="preserve">1.5–2.5 N/m²</w:t>
      </w:r>
      <w:r w:rsidDel="00000000" w:rsidR="00000000" w:rsidRPr="00000000">
        <w:rPr>
          <w:rFonts w:ascii="Google Sans" w:cs="Google Sans" w:eastAsia="Google Sans" w:hAnsi="Google Sans"/>
          <w:color w:val="1f1f1f"/>
          <w:rtl w:val="0"/>
        </w:rPr>
        <w:t xml:space="preserve">（峰值達 2.68 Pa） [1, 1]。在非颱風的平靜夏季，風應力通常極低，因此颱風帶來的動量強迫放大了 30 至 50 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此極端的風應力在水面產生劇烈摩擦，將紊流動能（Turbulent Kinetic Energy, TKE）向下傳輸。混合深度可透過艾克曼深度（Ekman Depth, </w:t>
      </w:r>
      <w:r w:rsidDel="00000000" w:rsidR="00000000" w:rsidRPr="00000000">
        <w:rPr>
          <w:rFonts w:ascii="Google Sans" w:cs="Google Sans" w:eastAsia="Google Sans" w:hAnsi="Google Sans"/>
          <w:color w:val="1f1f1f"/>
        </w:rPr>
        <w:drawing>
          <wp:inline distB="19050" distT="19050" distL="19050" distR="19050">
            <wp:extent cx="264319" cy="226559"/>
            <wp:effectExtent b="0" l="0" r="0" t="0"/>
            <wp:docPr id="26"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264319" cy="226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）之理論公式估算：</w:t>
      </w:r>
      <w:r w:rsidDel="00000000" w:rsidR="00000000" w:rsidRPr="00000000">
        <w:rPr>
          <w:rFonts w:ascii="Google Sans" w:cs="Google Sans" w:eastAsia="Google Sans" w:hAnsi="Google Sans"/>
          <w:color w:val="1f1f1f"/>
        </w:rPr>
        <w:drawing>
          <wp:inline distB="19050" distT="19050" distL="19050" distR="19050">
            <wp:extent cx="683419" cy="256282"/>
            <wp:effectExtent b="0" l="0" r="0" t="0"/>
            <wp:docPr id="2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683419" cy="256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，其中摩擦速度 </w:t>
      </w:r>
      <w:r w:rsidDel="00000000" w:rsidR="00000000" w:rsidRPr="00000000">
        <w:rPr>
          <w:rFonts w:ascii="Google Sans" w:cs="Google Sans" w:eastAsia="Google Sans" w:hAnsi="Google Sans"/>
          <w:color w:val="1f1f1f"/>
        </w:rPr>
        <w:drawing>
          <wp:inline distB="19050" distT="19050" distL="19050" distR="19050">
            <wp:extent cx="1003544" cy="229382"/>
            <wp:effectExtent b="0" l="0" r="0" t="0"/>
            <wp:docPr id="28"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1003544" cy="229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 </w:t>
      </w:r>
      <w:r w:rsidDel="00000000" w:rsidR="00000000" w:rsidRPr="00000000">
        <w:rPr>
          <w:rFonts w:ascii="Google Sans" w:cs="Google Sans" w:eastAsia="Google Sans" w:hAnsi="Google Sans"/>
          <w:color w:val="1f1f1f"/>
        </w:rPr>
        <w:drawing>
          <wp:inline distB="19050" distT="19050" distL="19050" distR="19050">
            <wp:extent cx="583109" cy="229420"/>
            <wp:effectExtent b="0" l="0" r="0" t="0"/>
            <wp:docPr id="2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83109" cy="229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N/m² 的強迫下，</w:t>
      </w:r>
      <w:r w:rsidDel="00000000" w:rsidR="00000000" w:rsidRPr="00000000">
        <w:rPr>
          <w:rFonts w:ascii="Google Sans" w:cs="Google Sans" w:eastAsia="Google Sans" w:hAnsi="Google Sans"/>
          <w:color w:val="1f1f1f"/>
        </w:rPr>
        <w:drawing>
          <wp:inline distB="19050" distT="19050" distL="19050" distR="19050">
            <wp:extent cx="179189" cy="226344"/>
            <wp:effectExtent b="0" l="0" r="0" t="0"/>
            <wp:docPr id="30"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179189" cy="226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約為 0.05 m/s。理論上，在此等極端動能注入下，艾克曼混合層深度可輕易穿透超過 </w:t>
      </w:r>
      <w:r w:rsidDel="00000000" w:rsidR="00000000" w:rsidRPr="00000000">
        <w:rPr>
          <w:rFonts w:ascii="Google Sans" w:cs="Google Sans" w:eastAsia="Google Sans" w:hAnsi="Google Sans"/>
          <w:b w:val="1"/>
          <w:bCs w:val="1"/>
          <w:color w:val="1f1f1f"/>
          <w:rtl w:val="0"/>
        </w:rPr>
        <w:t xml:space="preserve">15 至 20 公尺</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對於台灣常見的封閉淡水體而言，此混合深度具備毀滅性的物理意義。針對北部深水水庫（水體 2，夏季溫躍層深度 3–5 m，強度 0.6–0.7 °C/m）或南部深水水庫（水體 5，夏季溫躍層深度 2–4 m，強度 0.8–1.0 °C/m）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，強大的剪切力將在颱風接觸水面後的 1–2 小時內輕易擊碎夏季存在之溫躍層，使整個水柱達到完全之等溫混合狀態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。同時，底邊界層（Bottom Boundary Layer）受到強烈切應力摩擦，引發大規模沉積物再懸浮（Resuspension），將底部累積的硫化氫與甲烷釋放至表層，對水質造成劇烈衝擊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水量替換效應與內部總磷（TP）負載脈衝</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颱風與梅雨鋒面挾帶的連續強降雨（如 Zone-C 梅雨月降水高達 350–550 mm，連續降雨 5–8 天）將引發巨量的「水量替換效應」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。理論估算指出，在極端降水強迫下，南部封閉水體的單月潛在水量替換率高達 </w:t>
      </w:r>
      <w:r w:rsidDel="00000000" w:rsidR="00000000" w:rsidRPr="00000000">
        <w:rPr>
          <w:rFonts w:ascii="Google Sans" w:cs="Google Sans" w:eastAsia="Google Sans" w:hAnsi="Google Sans"/>
          <w:b w:val="1"/>
          <w:bCs w:val="1"/>
          <w:color w:val="1f1f1f"/>
          <w:rtl w:val="0"/>
        </w:rPr>
        <w:t xml:space="preserve">33.2–52.2%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。大量低溫、低離子濃度的雨水由表層注入，密度較大，會引發強烈的重力流（Gravity Current）向下沉降。在北部深水水庫（水體 2）中，這種挾帶高濃度懸浮固體的低溫逕流甚至可沿底部潛入，形成深度達 20–40 m 的異重流（Density Current）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更嚴峻的是，南部深水水庫（水體 5）在春末旱季期間，水位大幅下降暴露出廣大的消落帶（Drawdown Zone）。當夏季暴雨導致水位暴漲並回淹這些富含有機質的裸露土壤時，底質有機物在水下迅速礦化分解，引發強烈的內部磷負載脈衝。定量估算指出，此回淹事件將使水體中的總磷（TP）濃度瞬間飆升 </w:t>
      </w:r>
      <w:r w:rsidDel="00000000" w:rsidR="00000000" w:rsidRPr="00000000">
        <w:rPr>
          <w:rFonts w:ascii="Google Sans" w:cs="Google Sans" w:eastAsia="Google Sans" w:hAnsi="Google Sans"/>
          <w:b w:val="1"/>
          <w:bCs w:val="1"/>
          <w:color w:val="1f1f1f"/>
          <w:rtl w:val="0"/>
        </w:rPr>
        <w:t xml:space="preserve">50–120 </w:t>
      </w:r>
      <w:r w:rsidDel="00000000" w:rsidR="00000000" w:rsidRPr="00000000">
        <w:rPr>
          <w:rFonts w:ascii="Google Sans" w:cs="Google Sans" w:eastAsia="Google Sans" w:hAnsi="Google Sans"/>
          <w:b w:val="1"/>
          <w:bCs w:val="1"/>
          <w:color w:val="1f1f1f"/>
        </w:rPr>
        <w:drawing>
          <wp:inline distB="19050" distT="19050" distL="19050" distR="19050">
            <wp:extent cx="423714" cy="231117"/>
            <wp:effectExtent b="0" l="0" r="0" t="0"/>
            <wp:docPr id="1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23714" cy="231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，此高強度內部污染負載效應將持續 </w:t>
      </w:r>
      <w:r w:rsidDel="00000000" w:rsidR="00000000" w:rsidRPr="00000000">
        <w:rPr>
          <w:rFonts w:ascii="Google Sans" w:cs="Google Sans" w:eastAsia="Google Sans" w:hAnsi="Google Sans"/>
          <w:b w:val="1"/>
          <w:bCs w:val="1"/>
          <w:color w:val="1f1f1f"/>
          <w:rtl w:val="0"/>
        </w:rPr>
        <w:t xml:space="preserve">10–15 天</w:t>
      </w:r>
      <w:r w:rsidDel="00000000" w:rsidR="00000000" w:rsidRPr="00000000">
        <w:rPr>
          <w:rFonts w:ascii="Google Sans" w:cs="Google Sans" w:eastAsia="Google Sans" w:hAnsi="Google Sans"/>
          <w:color w:val="1f1f1f"/>
          <w:rtl w:val="0"/>
        </w:rPr>
        <w:t xml:space="preserve">，為颱風過後的秋季微藻華提供豐沛的營養鹽基底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水車擾動停機機制與溶氧（DO）崩潰量化</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在商業化運作的管理池（水體 3、6）中，水車（Paddlewheel aerators）的高頻運轉提供了維持水柱混合與強制曝氣的人為動能。然而，夏季颱風期間常伴隨電網中斷，導致水車非預期停機。 依據亞熱帶淺水池熱力學觀測實證，在夏季無風（風速 &lt; 2 m/s）的正午時段，水車停機後流體的湍流動能會迅速耗散。受強烈短波輻射（&gt; 600 W/m²）表面加熱的影響，淺水水體在短短 </w:t>
      </w:r>
      <w:r w:rsidDel="00000000" w:rsidR="00000000" w:rsidRPr="00000000">
        <w:rPr>
          <w:rFonts w:ascii="Google Sans" w:cs="Google Sans" w:eastAsia="Google Sans" w:hAnsi="Google Sans"/>
          <w:b w:val="1"/>
          <w:bCs w:val="1"/>
          <w:color w:val="1f1f1f"/>
          <w:rtl w:val="0"/>
        </w:rPr>
        <w:t xml:space="preserve">4 至 6 小時</w:t>
      </w:r>
      <w:r w:rsidDel="00000000" w:rsidR="00000000" w:rsidRPr="00000000">
        <w:rPr>
          <w:rFonts w:ascii="Google Sans" w:cs="Google Sans" w:eastAsia="Google Sans" w:hAnsi="Google Sans"/>
          <w:color w:val="1f1f1f"/>
          <w:rtl w:val="0"/>
        </w:rPr>
        <w:t xml:space="preserve"> 內即可重新建立穩固的溫度分層，表面與底層溫差可達 2.5–4.0 °C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。此一物理分層的迅速重建，徹底切斷了垂直對流與大氣氧氣向下的擴散傳輸。 溶氧的消耗速度取決於水體代謝收支。標準大氣壓（1013 hPa）下，30°C 淡水的理論溶氧飽和值僅為 7.56 mg/L，32°C 時更降至 7.30 mg/L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。在優養化的南部管理池中，夏季白天光合作用總初級生產（GPP）產氧量約為 2.2–5.5 mg/L/day，但底泥與異營微生物的呼吸耗氧（R）高達 -3.6 至 -6.8 mg/L/day，導致全日淨效應（NEP）呈現嚴重負值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。更致命的是，厭氧有機物分解的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1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溫度係數高達 2.08，意味著在夏季 30–35°C 的極端高溫下，生化耗氧速率將呈 2 至 2.8 倍的非線性倍增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。當水車中斷超過 </w:t>
      </w:r>
      <w:r w:rsidDel="00000000" w:rsidR="00000000" w:rsidRPr="00000000">
        <w:rPr>
          <w:rFonts w:ascii="Google Sans" w:cs="Google Sans" w:eastAsia="Google Sans" w:hAnsi="Google Sans"/>
          <w:b w:val="1"/>
          <w:bCs w:val="1"/>
          <w:color w:val="1f1f1f"/>
          <w:rtl w:val="0"/>
        </w:rPr>
        <w:t xml:space="preserve">6 至 8 小時</w:t>
      </w:r>
      <w:r w:rsidDel="00000000" w:rsidR="00000000" w:rsidRPr="00000000">
        <w:rPr>
          <w:rFonts w:ascii="Google Sans" w:cs="Google Sans" w:eastAsia="Google Sans" w:hAnsi="Google Sans"/>
          <w:color w:val="1f1f1f"/>
          <w:rtl w:val="0"/>
        </w:rPr>
        <w:t xml:space="preserve">，被熱力學分層隔離的底層微環境，其殘存溶解氧將被徹底耗盡，DO 值急遽跌破 2.0 mg/L，甚至逼近 1.0 mg/L 的絕對缺氧狀態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氧化還原電位（Eh）崩潰與毒理學閾值</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當底層溶氧耗盡後，微環境的氧化還原電位（Eh）將從正常的有氧帶（+300 至 +500 mV）急遽向負值墜落，開啟一系列依照熱力學能量梯度排列的無氧呼吸序列 [1, 1]。南北成土母質的化學成分差異，決定了這場毒理學災難的演化路徑：</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北部酸性池（水體 1、3）之鐵還原風險</w:t>
      </w:r>
      <w:r w:rsidDel="00000000" w:rsidR="00000000" w:rsidRPr="00000000">
        <w:rPr>
          <w:rFonts w:ascii="Google Sans" w:cs="Google Sans" w:eastAsia="Google Sans" w:hAnsi="Google Sans"/>
          <w:color w:val="1f1f1f"/>
          <w:rtl w:val="0"/>
        </w:rPr>
        <w:t xml:space="preserve">：極育土富含大量游離態與結晶態的三價鐵氧化物（</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）。在春末至夏季（5–8月）的高溫期，當底泥 Eh 跌破 </w:t>
      </w:r>
      <w:r w:rsidDel="00000000" w:rsidR="00000000" w:rsidRPr="00000000">
        <w:rPr>
          <w:rFonts w:ascii="Google Sans" w:cs="Google Sans" w:eastAsia="Google Sans" w:hAnsi="Google Sans"/>
          <w:b w:val="1"/>
          <w:bCs w:val="1"/>
          <w:color w:val="1f1f1f"/>
          <w:rtl w:val="0"/>
        </w:rPr>
        <w:t xml:space="preserve">0 mV</w:t>
      </w:r>
      <w:r w:rsidDel="00000000" w:rsidR="00000000" w:rsidRPr="00000000">
        <w:rPr>
          <w:rFonts w:ascii="Google Sans" w:cs="Google Sans" w:eastAsia="Google Sans" w:hAnsi="Google Sans"/>
          <w:color w:val="1f1f1f"/>
          <w:rtl w:val="0"/>
        </w:rPr>
        <w:t xml:space="preserve">（進入 0 至 -100 mV 的鐵還原帶）時，</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成為厭氧細菌首選的最終電子受體 [1, 1]。鐵還原反應釋放出大量可溶性的二價亞鐵離子（</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）。雖然此過程會吸收環境質子產生局部 pH 緩衝，但當這些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隨水流上湧接觸富氧表層水時，會迅速氧化析出無定形的鐵鏽色氫氧化鐵膠體。這些懸浮膠體極易附著並堵塞魚類脆弱的鰓絲，引發機械性窒息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南部鹼性池（水體 4、6）之硫化氫極端釋放</w:t>
      </w:r>
      <w:r w:rsidDel="00000000" w:rsidR="00000000" w:rsidRPr="00000000">
        <w:rPr>
          <w:rFonts w:ascii="Google Sans" w:cs="Google Sans" w:eastAsia="Google Sans" w:hAnsi="Google Sans"/>
          <w:color w:val="1f1f1f"/>
          <w:rtl w:val="0"/>
        </w:rPr>
        <w:t xml:space="preserve">：南部新成土缺乏足夠的鐵氧化物作為 Eh 墜落時的熱力學緩衝墊。在水車停機引發缺氧後，系統 Eh 會毫無阻力地在淹水 7 至 14 天內（或極端缺氧的數小時內）迅速跌破 </w:t>
      </w:r>
      <w:r w:rsidDel="00000000" w:rsidR="00000000" w:rsidRPr="00000000">
        <w:rPr>
          <w:rFonts w:ascii="Google Sans" w:cs="Google Sans" w:eastAsia="Google Sans" w:hAnsi="Google Sans"/>
          <w:b w:val="1"/>
          <w:bCs w:val="1"/>
          <w:color w:val="1f1f1f"/>
          <w:rtl w:val="0"/>
        </w:rPr>
        <w:t xml:space="preserve">-150 mV</w:t>
      </w:r>
      <w:r w:rsidDel="00000000" w:rsidR="00000000" w:rsidRPr="00000000">
        <w:rPr>
          <w:rFonts w:ascii="Google Sans" w:cs="Google Sans" w:eastAsia="Google Sans" w:hAnsi="Google Sans"/>
          <w:color w:val="1f1f1f"/>
          <w:rtl w:val="0"/>
        </w:rPr>
        <w:t xml:space="preserve"> 的深淵，進入硫酸鹽還原帶 [1, 1]。在底層水溫 &gt; 28°C 且底泥有機碳 &gt; 5% 的高負載條件下，硫酸鹽還原菌將硫酸根還原為劇毒的硫化氫（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）。依據量化推測，</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釋放速率可高達 </w:t>
      </w:r>
      <w:r w:rsidDel="00000000" w:rsidR="00000000" w:rsidRPr="00000000">
        <w:rPr>
          <w:rFonts w:ascii="Google Sans" w:cs="Google Sans" w:eastAsia="Google Sans" w:hAnsi="Google Sans"/>
          <w:b w:val="1"/>
          <w:bCs w:val="1"/>
          <w:color w:val="1f1f1f"/>
          <w:rtl w:val="0"/>
        </w:rPr>
        <w:t xml:space="preserve">19 至 281 mmol/m²/day</w:t>
      </w:r>
      <w:r w:rsidDel="00000000" w:rsidR="00000000" w:rsidRPr="00000000">
        <w:rPr>
          <w:rFonts w:ascii="Google Sans" w:cs="Google Sans" w:eastAsia="Google Sans" w:hAnsi="Google Sans"/>
          <w:color w:val="1f1f1f"/>
          <w:rtl w:val="0"/>
        </w:rPr>
        <w:t xml:space="preserve">。在水深僅 0.8m 的產卵或棲息微環境內，單日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累積濃度即可飆升至 </w:t>
      </w:r>
      <w:r w:rsidDel="00000000" w:rsidR="00000000" w:rsidRPr="00000000">
        <w:rPr>
          <w:rFonts w:ascii="Google Sans" w:cs="Google Sans" w:eastAsia="Google Sans" w:hAnsi="Google Sans"/>
          <w:b w:val="1"/>
          <w:bCs w:val="1"/>
          <w:color w:val="1f1f1f"/>
          <w:rtl w:val="0"/>
        </w:rPr>
        <w:t xml:space="preserve">8.5 mg/L</w:t>
      </w:r>
      <w:r w:rsidDel="00000000" w:rsidR="00000000" w:rsidRPr="00000000">
        <w:rPr>
          <w:rFonts w:ascii="Google Sans" w:cs="Google Sans" w:eastAsia="Google Sans" w:hAnsi="Google Sans"/>
          <w:color w:val="1f1f1f"/>
          <w:rtl w:val="0"/>
        </w:rPr>
        <w:t xml:space="preserve"> [1, 1]。此濃度遠超大嘴黑鱸的生理致死閾值，將引發無可避免的群體性泛池致死事件。</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冬季極端大氣強迫：大陸冷氣團熱通量流失與溫躍層翻轉</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 10 月中下旬起，東亞大陸的西伯利亞高壓系統發展，頻繁爆發強烈大陸冷氣團（事件頻率約 0.15–0.25 Hz），成為破壞冬季水體熱力學穩定的主要強迫力量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降溫幅度與底質熱容量緩衝效應（Thermal Buffering）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冷鋒南下的推進速度極快，伴隨氣溫的斷崖式下降。在毫無地形遮蔽的北部迎風面（Zone-A），大氣氣溫瞬間降幅可達 </w:t>
      </w:r>
      <w:r w:rsidDel="00000000" w:rsidR="00000000" w:rsidRPr="00000000">
        <w:rPr>
          <w:rFonts w:ascii="Google Sans" w:cs="Google Sans" w:eastAsia="Google Sans" w:hAnsi="Google Sans"/>
          <w:b w:val="1"/>
          <w:bCs w:val="1"/>
          <w:color w:val="1f1f1f"/>
          <w:rtl w:val="0"/>
        </w:rPr>
        <w:t xml:space="preserve">6–9 °C/event</w:t>
      </w:r>
      <w:r w:rsidDel="00000000" w:rsidR="00000000" w:rsidRPr="00000000">
        <w:rPr>
          <w:rFonts w:ascii="Google Sans" w:cs="Google Sans" w:eastAsia="Google Sans" w:hAnsi="Google Sans"/>
          <w:color w:val="1f1f1f"/>
          <w:rtl w:val="0"/>
        </w:rPr>
        <w:t xml:space="preserve">；在受雨遮效應但面臨極端風速（陣風 15–20 m/s）直擊的北部背風面（Zone-B），強烈風冷與高達 70–90 mm/月的蒸發潛熱流失，導致氣溫降幅亦達 </w:t>
      </w:r>
      <w:r w:rsidDel="00000000" w:rsidR="00000000" w:rsidRPr="00000000">
        <w:rPr>
          <w:rFonts w:ascii="Google Sans" w:cs="Google Sans" w:eastAsia="Google Sans" w:hAnsi="Google Sans"/>
          <w:b w:val="1"/>
          <w:bCs w:val="1"/>
          <w:color w:val="1f1f1f"/>
          <w:rtl w:val="0"/>
        </w:rPr>
        <w:t xml:space="preserve">5–8 °C/event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。冷空氣在向南推進至南部（Zone-C）時，受 3000 公尺高之中央山脈阻擋被迫繞流，產生了長達 </w:t>
      </w:r>
      <w:r w:rsidDel="00000000" w:rsidR="00000000" w:rsidRPr="00000000">
        <w:rPr>
          <w:rFonts w:ascii="Google Sans" w:cs="Google Sans" w:eastAsia="Google Sans" w:hAnsi="Google Sans"/>
          <w:b w:val="1"/>
          <w:bCs w:val="1"/>
          <w:color w:val="1f1f1f"/>
          <w:rtl w:val="0"/>
        </w:rPr>
        <w:t xml:space="preserve">16.94 小時</w:t>
      </w:r>
      <w:r w:rsidDel="00000000" w:rsidR="00000000" w:rsidRPr="00000000">
        <w:rPr>
          <w:rFonts w:ascii="Google Sans" w:cs="Google Sans" w:eastAsia="Google Sans" w:hAnsi="Google Sans"/>
          <w:color w:val="1f1f1f"/>
          <w:rtl w:val="0"/>
        </w:rPr>
        <w:t xml:space="preserve"> 的氣團變性與氣溫遲滯，使大氣降溫幅度顯著縮小至 </w:t>
      </w:r>
      <w:r w:rsidDel="00000000" w:rsidR="00000000" w:rsidRPr="00000000">
        <w:rPr>
          <w:rFonts w:ascii="Google Sans" w:cs="Google Sans" w:eastAsia="Google Sans" w:hAnsi="Google Sans"/>
          <w:b w:val="1"/>
          <w:bCs w:val="1"/>
          <w:color w:val="1f1f1f"/>
          <w:rtl w:val="0"/>
        </w:rPr>
        <w:t xml:space="preserve">2–5 °C/event</w:t>
      </w:r>
      <w:r w:rsidDel="00000000" w:rsidR="00000000" w:rsidRPr="00000000">
        <w:rPr>
          <w:rFonts w:ascii="Google Sans" w:cs="Google Sans" w:eastAsia="Google Sans" w:hAnsi="Google Sans"/>
          <w:color w:val="1f1f1f"/>
          <w:rtl w:val="0"/>
        </w:rPr>
        <w:t xml:space="preserve"> [1, 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然而，決定水體內部溫度震盪幅度的終極核心參數，並非僅是氣溫降幅，而是底質沉積物的體積熱容（Volumetric Heat Capacity, </w:t>
      </w:r>
      <w:r w:rsidDel="00000000" w:rsidR="00000000" w:rsidRPr="00000000">
        <w:rPr>
          <w:rFonts w:ascii="Google Sans" w:cs="Google Sans" w:eastAsia="Google Sans" w:hAnsi="Google Sans"/>
          <w:color w:val="1f1f1f"/>
        </w:rPr>
        <w:drawing>
          <wp:inline distB="19050" distT="19050" distL="19050" distR="19050">
            <wp:extent cx="208211" cy="227139"/>
            <wp:effectExtent b="0" l="0" r="0" t="0"/>
            <wp:docPr id="2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208211"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）。沉積物的體積熱容為固相（礦物與有機質）、液相（水）與氣相（空氣）的體積加權總和。依據物理量熱法，石英與黏土礦物的質量比熱容約為 0.76 J/g·K，有機質為 1.93 J/g·K，而水高達 4.19 J/g·K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。因此，含水率成為決定系統總熱容的絕對優勢權重因子。</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北部極育土底質之熱緩衝</w:t>
      </w:r>
      <w:r w:rsidDel="00000000" w:rsidR="00000000" w:rsidRPr="00000000">
        <w:rPr>
          <w:rFonts w:ascii="Google Sans" w:cs="Google Sans" w:eastAsia="Google Sans" w:hAnsi="Google Sans"/>
          <w:color w:val="1f1f1f"/>
          <w:rtl w:val="0"/>
        </w:rPr>
        <w:t xml:space="preserve">：北部水域底床被富含高嶺石的壓實黏土層覆蓋，孔隙度高且被水分完全飽和（含水率極高）。在密度 1200-1400 kg/m³ 的條件下，其體積熱容峰值高達 </w:t>
      </w:r>
      <w:r w:rsidDel="00000000" w:rsidR="00000000" w:rsidRPr="00000000">
        <w:rPr>
          <w:rFonts w:ascii="Google Sans" w:cs="Google Sans" w:eastAsia="Google Sans" w:hAnsi="Google Sans"/>
          <w:b w:val="1"/>
          <w:bCs w:val="1"/>
          <w:color w:val="1f1f1f"/>
          <w:rtl w:val="0"/>
        </w:rPr>
        <w:t xml:space="preserve">1.55 至 3.50 MJ/m³·°C</w:t>
      </w:r>
      <w:r w:rsidDel="00000000" w:rsidR="00000000" w:rsidRPr="00000000">
        <w:rPr>
          <w:rFonts w:ascii="Google Sans" w:cs="Google Sans" w:eastAsia="Google Sans" w:hAnsi="Google Sans"/>
          <w:color w:val="1f1f1f"/>
          <w:rtl w:val="0"/>
        </w:rPr>
        <w:t xml:space="preserve"> [1, 1]。此「高熱容、低熱擴散」的物理特徵，使北部底泥宛如巨大的「熱力學緩衝盾」。在冷氣團過境導致水面熱通量崩潰時，極育土底泥能持續向水體釋放儲備熱能，提供長達 </w:t>
      </w:r>
      <w:r w:rsidDel="00000000" w:rsidR="00000000" w:rsidRPr="00000000">
        <w:rPr>
          <w:rFonts w:ascii="Google Sans" w:cs="Google Sans" w:eastAsia="Google Sans" w:hAnsi="Google Sans"/>
          <w:b w:val="1"/>
          <w:bCs w:val="1"/>
          <w:color w:val="1f1f1f"/>
          <w:rtl w:val="0"/>
        </w:rPr>
        <w:t xml:space="preserve">72 至 96 小時以上</w:t>
      </w:r>
      <w:r w:rsidDel="00000000" w:rsidR="00000000" w:rsidRPr="00000000">
        <w:rPr>
          <w:rFonts w:ascii="Google Sans" w:cs="Google Sans" w:eastAsia="Google Sans" w:hAnsi="Google Sans"/>
          <w:color w:val="1f1f1f"/>
          <w:rtl w:val="0"/>
        </w:rPr>
        <w:t xml:space="preserve"> 的降溫緩衝，有效鎖定底層水溫波動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南部新成土底質之熱緊迫風險</w:t>
      </w:r>
      <w:r w:rsidDel="00000000" w:rsidR="00000000" w:rsidRPr="00000000">
        <w:rPr>
          <w:rFonts w:ascii="Google Sans" w:cs="Google Sans" w:eastAsia="Google Sans" w:hAnsi="Google Sans"/>
          <w:color w:val="1f1f1f"/>
          <w:rtl w:val="0"/>
        </w:rPr>
        <w:t xml:space="preserve">：南部邊緣台地與管理池（水體 4、6）底質多為高滲透性的砂質壤土，孔隙多由低比熱的空氣填充，含水率偏低。其體積熱容顯著低下，僅介於 </w:t>
      </w:r>
      <w:r w:rsidDel="00000000" w:rsidR="00000000" w:rsidRPr="00000000">
        <w:rPr>
          <w:rFonts w:ascii="Google Sans" w:cs="Google Sans" w:eastAsia="Google Sans" w:hAnsi="Google Sans"/>
          <w:b w:val="1"/>
          <w:bCs w:val="1"/>
          <w:color w:val="1f1f1f"/>
          <w:rtl w:val="0"/>
        </w:rPr>
        <w:t xml:space="preserve">1.06 至 3.00 MJ/m³·°C</w:t>
      </w:r>
      <w:r w:rsidDel="00000000" w:rsidR="00000000" w:rsidRPr="00000000">
        <w:rPr>
          <w:rFonts w:ascii="Google Sans" w:cs="Google Sans" w:eastAsia="Google Sans" w:hAnsi="Google Sans"/>
          <w:color w:val="1f1f1f"/>
          <w:rtl w:val="0"/>
        </w:rPr>
        <w:t xml:space="preserve"> 之間 [1, 1]。由於缺乏熱緩衝能力，熱能迅速散失，緩衝時間 </w:t>
      </w:r>
      <w:r w:rsidDel="00000000" w:rsidR="00000000" w:rsidRPr="00000000">
        <w:rPr>
          <w:rFonts w:ascii="Google Sans" w:cs="Google Sans" w:eastAsia="Google Sans" w:hAnsi="Google Sans"/>
          <w:b w:val="1"/>
          <w:bCs w:val="1"/>
          <w:color w:val="1f1f1f"/>
          <w:rtl w:val="0"/>
        </w:rPr>
        <w:t xml:space="preserve">小於 24 小時</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。在冬季晴天高日照加熱與夜間強輻射冷卻的交替驅動下，南部淺水域的日夜溫差被極端擴大至 </w:t>
      </w:r>
      <w:r w:rsidDel="00000000" w:rsidR="00000000" w:rsidRPr="00000000">
        <w:rPr>
          <w:rFonts w:ascii="Google Sans" w:cs="Google Sans" w:eastAsia="Google Sans" w:hAnsi="Google Sans"/>
          <w:b w:val="1"/>
          <w:bCs w:val="1"/>
          <w:color w:val="1f1f1f"/>
          <w:rtl w:val="0"/>
        </w:rPr>
        <w:t xml:space="preserve">3.5–5.0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。這種劇烈的溫度震盪將直接衝擊越冬期大嘴黑鱸的滲透壓調節系統。</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溫躍層秋季翻轉（Fall Turnover）之物理觸發閾值</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在深水水庫（水體 2、5）中，夏季所建立的穩固溫躍層在秋末冬初將面臨熱力學崩解。流體動力學觀測確立了翻轉（Fall Turnover）的嚴格物理觸發門檻：當冷鋒面過境致使表層水溫驟降 </w:t>
      </w:r>
      <w:r w:rsidDel="00000000" w:rsidR="00000000" w:rsidRPr="00000000">
        <w:rPr>
          <w:rFonts w:ascii="Google Sans" w:cs="Google Sans" w:eastAsia="Google Sans" w:hAnsi="Google Sans"/>
          <w:b w:val="1"/>
          <w:bCs w:val="1"/>
          <w:color w:val="1f1f1f"/>
          <w:rtl w:val="0"/>
        </w:rPr>
        <w:t xml:space="preserve">2–4 °C</w:t>
      </w:r>
      <w:r w:rsidDel="00000000" w:rsidR="00000000" w:rsidRPr="00000000">
        <w:rPr>
          <w:rFonts w:ascii="Google Sans" w:cs="Google Sans" w:eastAsia="Google Sans" w:hAnsi="Google Sans"/>
          <w:color w:val="1f1f1f"/>
          <w:rtl w:val="0"/>
        </w:rPr>
        <w:t xml:space="preserve">，且伴隨東北季風風速 </w:t>
      </w:r>
      <w:r w:rsidDel="00000000" w:rsidR="00000000" w:rsidRPr="00000000">
        <w:rPr>
          <w:rFonts w:ascii="Google Sans" w:cs="Google Sans" w:eastAsia="Google Sans" w:hAnsi="Google Sans"/>
          <w:b w:val="1"/>
          <w:bCs w:val="1"/>
          <w:color w:val="1f1f1f"/>
          <w:rtl w:val="0"/>
        </w:rPr>
        <w:t xml:space="preserve">&gt; 5 m/s 且持續 48 小時以上</w:t>
      </w:r>
      <w:r w:rsidDel="00000000" w:rsidR="00000000" w:rsidRPr="00000000">
        <w:rPr>
          <w:rFonts w:ascii="Google Sans" w:cs="Google Sans" w:eastAsia="Google Sans" w:hAnsi="Google Sans"/>
          <w:color w:val="1f1f1f"/>
          <w:rtl w:val="0"/>
        </w:rPr>
        <w:t xml:space="preserve"> 時，表層冷卻後的水體密度激增，超越底層水密度，隨即引發強烈的重力不穩定與對流性翻轉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在地理時序上，北部水庫（水體 2）缺乏地形保護，通常於 </w:t>
      </w:r>
      <w:r w:rsidDel="00000000" w:rsidR="00000000" w:rsidRPr="00000000">
        <w:rPr>
          <w:rFonts w:ascii="Google Sans" w:cs="Google Sans" w:eastAsia="Google Sans" w:hAnsi="Google Sans"/>
          <w:b w:val="1"/>
          <w:bCs w:val="1"/>
          <w:color w:val="1f1f1f"/>
          <w:rtl w:val="0"/>
        </w:rPr>
        <w:t xml:space="preserve">10 月中下旬</w:t>
      </w:r>
      <w:r w:rsidDel="00000000" w:rsidR="00000000" w:rsidRPr="00000000">
        <w:rPr>
          <w:rFonts w:ascii="Google Sans" w:cs="Google Sans" w:eastAsia="Google Sans" w:hAnsi="Google Sans"/>
          <w:color w:val="1f1f1f"/>
          <w:rtl w:val="0"/>
        </w:rPr>
        <w:t xml:space="preserve"> 率先完成翻轉；而南部水庫（水體 5）因氣溫遲滯效應與較強的夏季熱量累積，翻轉時機多延遲至 </w:t>
      </w:r>
      <w:r w:rsidDel="00000000" w:rsidR="00000000" w:rsidRPr="00000000">
        <w:rPr>
          <w:rFonts w:ascii="Google Sans" w:cs="Google Sans" w:eastAsia="Google Sans" w:hAnsi="Google Sans"/>
          <w:b w:val="1"/>
          <w:bCs w:val="1"/>
          <w:color w:val="1f1f1f"/>
          <w:rtl w:val="0"/>
        </w:rPr>
        <w:t xml:space="preserve">11 月中下旬</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。翻轉事件的生態學代價在於，長期封存於底槽區的低溫、厭氧水體及高濃度還原態營養鹽，將被強迫翻攪至透光層，引發全水柱的短暫缺氧與秋季異常的微藻華現象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多維度環境延遲效應與水文地球化學脫鉤機制</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在評估氣候強迫向封閉水體內部傳遞的過程中，單純的即時線性對應往往導致預測失真。「延遲效應」（Lag Effects）是建構高精度生態預測模型不可或缺的動態變數。本報告量化了三個維度的重要遲滯機制：</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春雨輻射遮蔽與熱力學升溫遲滯</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春季（2–4月）期間，北部（Zone-A）頻繁受華南雲雨帶與滯留鋒面覆蓋，連續的層面積雲導致大氣對短波輻射的削弱率高達 55–65%（到達水面之日均輻射接收量僅餘 8–11 </w:t>
      </w:r>
      <w:r w:rsidDel="00000000" w:rsidR="00000000" w:rsidRPr="00000000">
        <w:rPr>
          <w:rFonts w:ascii="Google Sans" w:cs="Google Sans" w:eastAsia="Google Sans" w:hAnsi="Google Sans"/>
          <w:color w:val="1f1f1f"/>
        </w:rPr>
        <w:drawing>
          <wp:inline distB="19050" distT="19050" distL="19050" distR="19050">
            <wp:extent cx="646956" cy="228337"/>
            <wp:effectExtent b="0" l="0" r="0" t="0"/>
            <wp:docPr id="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646956" cy="228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。短波輻射的嚴重衰減（減少 100–120 W/m²），加上連續冷雨滴直接接觸水面產生的感熱吸收，使得水面淨熱通量常呈負值。此機制引發了顯著的「水溫回升遲滯效應」，使北部水體（水體 1）的升溫速率較理論太陽軌跡延遲了 </w:t>
      </w:r>
      <w:r w:rsidDel="00000000" w:rsidR="00000000" w:rsidRPr="00000000">
        <w:rPr>
          <w:rFonts w:ascii="Google Sans" w:cs="Google Sans" w:eastAsia="Google Sans" w:hAnsi="Google Sans"/>
          <w:b w:val="1"/>
          <w:bCs w:val="1"/>
          <w:color w:val="1f1f1f"/>
          <w:rtl w:val="0"/>
        </w:rPr>
        <w:t xml:space="preserve">-2.0 至 -2.8 °C/週</w:t>
      </w:r>
      <w:r w:rsidDel="00000000" w:rsidR="00000000" w:rsidRPr="00000000">
        <w:rPr>
          <w:rFonts w:ascii="Google Sans" w:cs="Google Sans" w:eastAsia="Google Sans" w:hAnsi="Google Sans"/>
          <w:color w:val="1f1f1f"/>
          <w:rtl w:val="0"/>
        </w:rPr>
        <w:t xml:space="preserve"> [1, 1]。 相對地，Zone-B 受林口台地微地形雨遮效應保護，雲量縮減，短波輻射日均接收可維持在 12–15 </w:t>
      </w:r>
      <w:r w:rsidDel="00000000" w:rsidR="00000000" w:rsidRPr="00000000">
        <w:rPr>
          <w:rFonts w:ascii="Google Sans" w:cs="Google Sans" w:eastAsia="Google Sans" w:hAnsi="Google Sans"/>
          <w:color w:val="1f1f1f"/>
        </w:rPr>
        <w:drawing>
          <wp:inline distB="19050" distT="19050" distL="19050" distR="19050">
            <wp:extent cx="646956" cy="228337"/>
            <wp:effectExtent b="0" l="0" r="0" t="0"/>
            <wp:docPr id="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646956" cy="228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。其水溫遲滯效應縮小至 -1.0 至 -1.6 °C/週，這使得 Zone-B 水體表層突破溫水魚類活躍之 22°C 閾值的時間點，通常較 Zone-A 提前 </w:t>
      </w:r>
      <w:r w:rsidDel="00000000" w:rsidR="00000000" w:rsidRPr="00000000">
        <w:rPr>
          <w:rFonts w:ascii="Google Sans" w:cs="Google Sans" w:eastAsia="Google Sans" w:hAnsi="Google Sans"/>
          <w:b w:val="1"/>
          <w:bCs w:val="1"/>
          <w:color w:val="1f1f1f"/>
          <w:rtl w:val="0"/>
        </w:rPr>
        <w:t xml:space="preserve">12 至 18 天</w:t>
      </w:r>
      <w:r w:rsidDel="00000000" w:rsidR="00000000" w:rsidRPr="00000000">
        <w:rPr>
          <w:rFonts w:ascii="Google Sans" w:cs="Google Sans" w:eastAsia="Google Sans" w:hAnsi="Google Sans"/>
          <w:color w:val="1f1f1f"/>
          <w:rtl w:val="0"/>
        </w:rPr>
        <w:t xml:space="preserve">，構成了該區生物代謝循環提早啟動的物理基礎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旱季蒸發濃縮與離子強度鹽析效應</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南部（Zone-C）在冬季與早春處於典型的旱季，月均降水極低（僅 10–25 mm），但受極端乾燥（相對濕度 65–75%）與高日照強迫驅動，月蒸發量高達 </w:t>
      </w:r>
      <w:r w:rsidDel="00000000" w:rsidR="00000000" w:rsidRPr="00000000">
        <w:rPr>
          <w:rFonts w:ascii="Google Sans" w:cs="Google Sans" w:eastAsia="Google Sans" w:hAnsi="Google Sans"/>
          <w:b w:val="1"/>
          <w:bCs w:val="1"/>
          <w:color w:val="1f1f1f"/>
          <w:rtl w:val="0"/>
        </w:rPr>
        <w:t xml:space="preserve">100–130 mm</w:t>
      </w:r>
      <w:r w:rsidDel="00000000" w:rsidR="00000000" w:rsidRPr="00000000">
        <w:rPr>
          <w:rFonts w:ascii="Google Sans" w:cs="Google Sans" w:eastAsia="Google Sans" w:hAnsi="Google Sans"/>
          <w:color w:val="1f1f1f"/>
          <w:rtl w:val="0"/>
        </w:rPr>
        <w:t xml:space="preserve">，呈現全島唯一且強烈的淨水分虧損（達 80 mm/month） [1, 1]。 這種極端的負向水量平衡，導致南部野生埤塘（水體 4）在春末前的淺水區水深大幅萎縮（例如由 1.5m 降至 0.8m）。依據質量守恆推算，孔隙水中的溶解態礦物離子（如 </w:t>
      </w:r>
      <w:r w:rsidDel="00000000" w:rsidR="00000000" w:rsidRPr="00000000">
        <w:rPr>
          <w:rFonts w:ascii="Google Sans" w:cs="Google Sans" w:eastAsia="Google Sans" w:hAnsi="Google Sans"/>
          <w:color w:val="1f1f1f"/>
        </w:rPr>
        <w:drawing>
          <wp:inline distB="19050" distT="19050" distL="19050" distR="19050">
            <wp:extent cx="416719" cy="227301"/>
            <wp:effectExtent b="0" l="0" r="0" t="0"/>
            <wp:docPr id="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416719" cy="227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67767" cy="229110"/>
            <wp:effectExtent b="0" l="0" r="0" t="0"/>
            <wp:docPr id="4"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467767" cy="229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43656" cy="226548"/>
            <wp:effectExtent b="0" l="0" r="0" t="0"/>
            <wp:docPr id="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43656" cy="226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TP, TN）與導電度將面臨高達 </w:t>
      </w:r>
      <w:r w:rsidDel="00000000" w:rsidR="00000000" w:rsidRPr="00000000">
        <w:rPr>
          <w:rFonts w:ascii="Google Sans" w:cs="Google Sans" w:eastAsia="Google Sans" w:hAnsi="Google Sans"/>
          <w:b w:val="1"/>
          <w:bCs w:val="1"/>
          <w:color w:val="1f1f1f"/>
          <w:rtl w:val="0"/>
        </w:rPr>
        <w:t xml:space="preserve">1.88 倍</w:t>
      </w:r>
      <w:r w:rsidDel="00000000" w:rsidR="00000000" w:rsidRPr="00000000">
        <w:rPr>
          <w:rFonts w:ascii="Google Sans" w:cs="Google Sans" w:eastAsia="Google Sans" w:hAnsi="Google Sans"/>
          <w:color w:val="1f1f1f"/>
          <w:rtl w:val="0"/>
        </w:rPr>
        <w:t xml:space="preserve"> 的蒸發濃縮倍率 [1, 1]。離子強度的指數型攀升極大地壓縮了膠體表面的德拜長度（Debye length），不僅引發膠體顆粒的「鹽析效應」（Salting-out），濃縮的二價鹼土金屬更透過「陽離子架橋作用」導致產卵巢穴區底質發生物理性的硬化與膠結。同時，濃縮的硫酸鹽亦為夏季高溫期的硫化氫災變囤積了致命的化學基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水文同位素示蹤與優先流（Preferential Flow）脫鉤</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地表污染、農業化肥與營養鹽向下滲透至底質微環境的過程，並非如傳統假設的均勻活塞式推擠（Piston-flow）。最新的穩定同位素（</w:t>
      </w:r>
      <w:r w:rsidDel="00000000" w:rsidR="00000000" w:rsidRPr="00000000">
        <w:rPr>
          <w:rFonts w:ascii="Google Sans" w:cs="Google Sans" w:eastAsia="Google Sans" w:hAnsi="Google Sans"/>
          <w:color w:val="1f1f1f"/>
        </w:rPr>
        <w:drawing>
          <wp:inline distB="19050" distT="19050" distL="19050" distR="19050">
            <wp:extent cx="372963" cy="229516"/>
            <wp:effectExtent b="0" l="0" r="0" t="0"/>
            <wp:docPr id="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372963" cy="229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1f1f1f"/>
        </w:rPr>
        <w:drawing>
          <wp:inline distB="19050" distT="19050" distL="19050" distR="19050">
            <wp:extent cx="330697" cy="226763"/>
            <wp:effectExtent b="0" l="0" r="0" t="0"/>
            <wp:docPr id="7"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30697" cy="2267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）示蹤研究揭示了淺層與深層截然不同的水文傳導動力學：</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0.8m 淺層（動態混合與蒸發阻滯區）</w:t>
      </w:r>
      <w:r w:rsidDel="00000000" w:rsidR="00000000" w:rsidRPr="00000000">
        <w:rPr>
          <w:rFonts w:ascii="Google Sans" w:cs="Google Sans" w:eastAsia="Google Sans" w:hAnsi="Google Sans"/>
          <w:color w:val="1f1f1f"/>
          <w:rtl w:val="0"/>
        </w:rPr>
        <w:t xml:space="preserve">：大嘴黑鱸核心築巢區所在的 0.8m 深度，正處於水生植物根系擾動與蒸發散（Evapotranspiration）牽引力最強的區域。植物蒸散作用持續將下滲水分反向拉回大氣，大幅削減淨通量。同位素數據證實，地表溶質訊號需要經歷長達 </w:t>
      </w:r>
      <w:r w:rsidDel="00000000" w:rsidR="00000000" w:rsidRPr="00000000">
        <w:rPr>
          <w:rFonts w:ascii="Google Sans" w:cs="Google Sans" w:eastAsia="Google Sans" w:hAnsi="Google Sans"/>
          <w:b w:val="1"/>
          <w:bCs w:val="1"/>
          <w:color w:val="1f1f1f"/>
          <w:rtl w:val="0"/>
        </w:rPr>
        <w:t xml:space="preserve">30 至 60 天（1 至 2 個月）</w:t>
      </w:r>
      <w:r w:rsidDel="00000000" w:rsidR="00000000" w:rsidRPr="00000000">
        <w:rPr>
          <w:rFonts w:ascii="Google Sans" w:cs="Google Sans" w:eastAsia="Google Sans" w:hAnsi="Google Sans"/>
          <w:color w:val="1f1f1f"/>
          <w:rtl w:val="0"/>
        </w:rPr>
        <w:t xml:space="preserve"> 的時間遲滯，才會穩定出現在 0.8m 深度的監測點 [1, 1]。</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1.5m 深層（優先流主導區）</w:t>
      </w:r>
      <w:r w:rsidDel="00000000" w:rsidR="00000000" w:rsidRPr="00000000">
        <w:rPr>
          <w:rFonts w:ascii="Google Sans" w:cs="Google Sans" w:eastAsia="Google Sans" w:hAnsi="Google Sans"/>
          <w:color w:val="1f1f1f"/>
          <w:rtl w:val="0"/>
        </w:rPr>
        <w:t xml:space="preserve">：當觀測深度推進至 1.5m 的底土結構時，水分傳輸脫離了基質吸力與蒸發主導區，轉由土壤大孔隙（Macropores）、廢棄根系通道或旱季乾裂縫隙的「優先流」（Preferential flow）全面接管。化學溶質訊號以高速重力流繞過淺層阻滯區，僅需 </w:t>
      </w:r>
      <w:r w:rsidDel="00000000" w:rsidR="00000000" w:rsidRPr="00000000">
        <w:rPr>
          <w:rFonts w:ascii="Google Sans" w:cs="Google Sans" w:eastAsia="Google Sans" w:hAnsi="Google Sans"/>
          <w:b w:val="1"/>
          <w:bCs w:val="1"/>
          <w:color w:val="1f1f1f"/>
          <w:rtl w:val="0"/>
        </w:rPr>
        <w:t xml:space="preserve">7 至 14 天（1 至 2 週）</w:t>
      </w:r>
      <w:r w:rsidDel="00000000" w:rsidR="00000000" w:rsidRPr="00000000">
        <w:rPr>
          <w:rFonts w:ascii="Google Sans" w:cs="Google Sans" w:eastAsia="Google Sans" w:hAnsi="Google Sans"/>
          <w:color w:val="1f1f1f"/>
          <w:rtl w:val="0"/>
        </w:rPr>
        <w:t xml:space="preserve"> 即可於 1.5m 深度顯現 [1, 1]。這種「淺層極度延遲、深層反而快速」的水文脫鉤現象，極大化了深層底棲生態的突發性毒理學暴露風險。</w:t>
      </w:r>
    </w:p>
    <w:p>
      <w:pPr/>
      <w:r>
        <w:rPr/>
        <w:t xml:space="preserve"/>
      </w:r>
    </w:p>
    <w:tbl>
      <w:tblPr>
        <w:tblStyle w:val="TableGrid"/>
        <w:tblW w:w="0" w:type="auto"/>
      </w:tblPr>
      <w:tblGrid>
        <w:gridCol w:w="900"/>
        <w:gridCol w:w="2400"/>
        <w:gridCol w:w="3200"/>
        <w:gridCol w:w="900"/>
      </w:tblGrid>
      <w:tr>
        <w:tc>
          <w:tcPr>
            <w:tcW w:w="900" w:type="dxa"/>
          </w:tcPr>
          <w:p>
            <w:r>
              <w:rPr>
                <w:b/>
              </w:rPr>
              <w:t xml:space="preserve">上游編號</w:t>
            </w:r>
          </w:p>
        </w:tc>
        <w:tc>
          <w:tcPr>
            <w:tcW w:w="2400" w:type="dxa"/>
          </w:tcPr>
          <w:p>
            <w:r>
              <w:rPr>
                <w:b/>
              </w:rPr>
              <w:t xml:space="preserve">引用變數</w:t>
            </w:r>
          </w:p>
        </w:tc>
        <w:tc>
          <w:tcPr>
            <w:tcW w:w="3200" w:type="dxa"/>
          </w:tcPr>
          <w:p>
            <w:r>
              <w:rPr>
                <w:b/>
              </w:rPr>
              <w:t xml:space="preserve">引用量化數值</w:t>
            </w:r>
          </w:p>
        </w:tc>
        <w:tc>
          <w:tcPr>
            <w:tcW w:w="900" w:type="dxa"/>
          </w:tcPr>
          <w:p>
            <w:r>
              <w:rPr>
                <w:b/>
              </w:rPr>
              <w:t xml:space="preserve">信心等級</w:t>
            </w:r>
          </w:p>
        </w:tc>
      </w:tr>
      <w:tr>
        <w:tc>
          <w:tcPr>
            <w:tcW w:w="900" w:type="dxa"/>
          </w:tcPr>
          <w:p>
            <w:r>
              <w:rPr/>
              <w:t xml:space="preserve">0A-01</w:t>
            </w:r>
          </w:p>
        </w:tc>
        <w:tc>
          <w:tcPr>
            <w:tcW w:w="2400" w:type="dxa"/>
          </w:tcPr>
          <w:p>
            <w:r>
              <w:rPr/>
              <w:t xml:space="preserve">北部春雨短波輻射削弱率</w:t>
            </w:r>
          </w:p>
        </w:tc>
        <w:tc>
          <w:tcPr>
            <w:tcW w:w="3200" w:type="dxa"/>
          </w:tcPr>
          <w:p>
            <w:r>
              <w:rPr/>
              <w:t xml:space="preserve">55–65%；日均輻射 8–11 MJ/m²</w:t>
            </w:r>
          </w:p>
        </w:tc>
        <w:tc>
          <w:tcPr>
            <w:tcW w:w="900" w:type="dxa"/>
          </w:tcPr>
          <w:p>
            <w:r>
              <w:rPr/>
              <w:t xml:space="preserve">高</w:t>
            </w:r>
          </w:p>
        </w:tc>
      </w:tr>
      <w:tr>
        <w:tc>
          <w:tcPr>
            <w:tcW w:w="900" w:type="dxa"/>
          </w:tcPr>
          <w:p>
            <w:r>
              <w:rPr/>
              <w:t xml:space="preserve">0A-01</w:t>
            </w:r>
          </w:p>
        </w:tc>
        <w:tc>
          <w:tcPr>
            <w:tcW w:w="2400" w:type="dxa"/>
          </w:tcPr>
          <w:p>
            <w:r>
              <w:rPr/>
              <w:t xml:space="preserve">北部水溫回升遲滯速率</w:t>
            </w:r>
          </w:p>
        </w:tc>
        <w:tc>
          <w:tcPr>
            <w:tcW w:w="3200" w:type="dxa"/>
          </w:tcPr>
          <w:p>
            <w:r>
              <w:rPr/>
              <w:t xml:space="preserve">−2.0 至 −2.8 °C/週</w:t>
            </w:r>
          </w:p>
        </w:tc>
        <w:tc>
          <w:tcPr>
            <w:tcW w:w="900" w:type="dxa"/>
          </w:tcPr>
          <w:p>
            <w:r>
              <w:rPr/>
              <w:t xml:space="preserve">高</w:t>
            </w:r>
          </w:p>
        </w:tc>
      </w:tr>
      <w:tr>
        <w:tc>
          <w:tcPr>
            <w:tcW w:w="900" w:type="dxa"/>
          </w:tcPr>
          <w:p>
            <w:r>
              <w:rPr/>
              <w:t xml:space="preserve">0A-06</w:t>
            </w:r>
          </w:p>
        </w:tc>
        <w:tc>
          <w:tcPr>
            <w:tcW w:w="2400" w:type="dxa"/>
          </w:tcPr>
          <w:p>
            <w:r>
              <w:rPr/>
              <w:t xml:space="preserve">梅雨季南部水體月替換率</w:t>
            </w:r>
          </w:p>
        </w:tc>
        <w:tc>
          <w:tcPr>
            <w:tcW w:w="3200" w:type="dxa"/>
          </w:tcPr>
          <w:p>
            <w:r>
              <w:rPr/>
              <w:t xml:space="preserve">33.2–52.2%（連續 5–8 天強降雨）</w:t>
            </w:r>
          </w:p>
        </w:tc>
        <w:tc>
          <w:tcPr>
            <w:tcW w:w="900" w:type="dxa"/>
          </w:tcPr>
          <w:p>
            <w:r>
              <w:rPr/>
              <w:t xml:space="preserve">高</w:t>
            </w:r>
          </w:p>
        </w:tc>
      </w:tr>
      <w:tr>
        <w:tc>
          <w:tcPr>
            <w:tcW w:w="900" w:type="dxa"/>
          </w:tcPr>
          <w:p>
            <w:r>
              <w:rPr/>
              <w:t xml:space="preserve">0A-07</w:t>
            </w:r>
          </w:p>
        </w:tc>
        <w:tc>
          <w:tcPr>
            <w:tcW w:w="2400" w:type="dxa"/>
          </w:tcPr>
          <w:p>
            <w:r>
              <w:rPr/>
              <w:t xml:space="preserve">颱風最大持續風速與風應力</w:t>
            </w:r>
          </w:p>
        </w:tc>
        <w:tc>
          <w:tcPr>
            <w:tcW w:w="3200" w:type="dxa"/>
          </w:tcPr>
          <w:p>
            <w:r>
              <w:rPr/>
              <w:t xml:space="preserve">25–40 m/s；1.5–2.5 N/m²</w:t>
            </w:r>
          </w:p>
        </w:tc>
        <w:tc>
          <w:tcPr>
            <w:tcW w:w="900" w:type="dxa"/>
          </w:tcPr>
          <w:p>
            <w:r>
              <w:rPr/>
              <w:t xml:space="preserve">高</w:t>
            </w:r>
          </w:p>
        </w:tc>
      </w:tr>
      <w:tr>
        <w:tc>
          <w:tcPr>
            <w:tcW w:w="900" w:type="dxa"/>
          </w:tcPr>
          <w:p>
            <w:r>
              <w:rPr/>
              <w:t xml:space="preserve">0B-01</w:t>
            </w:r>
          </w:p>
        </w:tc>
        <w:tc>
          <w:tcPr>
            <w:tcW w:w="2400" w:type="dxa"/>
          </w:tcPr>
          <w:p>
            <w:r>
              <w:rPr/>
              <w:t xml:space="preserve">南北土壤基底 pH 分化</w:t>
            </w:r>
          </w:p>
        </w:tc>
        <w:tc>
          <w:tcPr>
            <w:tcW w:w="3200" w:type="dxa"/>
          </w:tcPr>
          <w:p>
            <w:r>
              <w:rPr/>
              <w:t xml:space="preserve">北部 4.5–5.5；南部 6.5–7.5</w:t>
            </w:r>
          </w:p>
        </w:tc>
        <w:tc>
          <w:tcPr>
            <w:tcW w:w="900" w:type="dxa"/>
          </w:tcPr>
          <w:p>
            <w:r>
              <w:rPr/>
              <w:t xml:space="preserve">高</w:t>
            </w:r>
          </w:p>
        </w:tc>
      </w:tr>
      <w:tr>
        <w:tc>
          <w:tcPr>
            <w:tcW w:w="900" w:type="dxa"/>
          </w:tcPr>
          <w:p>
            <w:r>
              <w:rPr/>
              <w:t xml:space="preserve">0B-03</w:t>
            </w:r>
          </w:p>
        </w:tc>
        <w:tc>
          <w:tcPr>
            <w:tcW w:w="2400" w:type="dxa"/>
          </w:tcPr>
          <w:p>
            <w:r>
              <w:rPr/>
              <w:t xml:space="preserve">北部極育土 Zeta 電位</w:t>
            </w:r>
          </w:p>
        </w:tc>
        <w:tc>
          <w:tcPr>
            <w:tcW w:w="3200" w:type="dxa"/>
          </w:tcPr>
          <w:p>
            <w:r>
              <w:rPr/>
              <w:t xml:space="preserve">−15 至 −40 mV（pH 4.5–5.5）→ 絮凝帶</w:t>
            </w:r>
          </w:p>
        </w:tc>
        <w:tc>
          <w:tcPr>
            <w:tcW w:w="900" w:type="dxa"/>
          </w:tcPr>
          <w:p>
            <w:r>
              <w:rPr/>
              <w:t xml:space="preserve">高</w:t>
            </w:r>
          </w:p>
        </w:tc>
      </w:tr>
      <w:tr>
        <w:tc>
          <w:tcPr>
            <w:tcW w:w="900" w:type="dxa"/>
          </w:tcPr>
          <w:p>
            <w:r>
              <w:rPr/>
              <w:t xml:space="preserve">0B-04</w:t>
            </w:r>
          </w:p>
        </w:tc>
        <w:tc>
          <w:tcPr>
            <w:tcW w:w="2400" w:type="dxa"/>
          </w:tcPr>
          <w:p>
            <w:r>
              <w:rPr/>
              <w:t xml:space="preserve">南部弱育土 Zeta 電位</w:t>
            </w:r>
          </w:p>
        </w:tc>
        <w:tc>
          <w:tcPr>
            <w:tcW w:w="3200" w:type="dxa"/>
          </w:tcPr>
          <w:p>
            <w:r>
              <w:rPr/>
              <w:t xml:space="preserve">−35 至 −52 mV（pH 7–10）→ 強排斥</w:t>
            </w:r>
          </w:p>
        </w:tc>
        <w:tc>
          <w:tcPr>
            <w:tcW w:w="900" w:type="dxa"/>
          </w:tcPr>
          <w:p>
            <w:r>
              <w:rPr/>
              <w:t xml:space="preserve">高</w:t>
            </w:r>
          </w:p>
        </w:tc>
      </w:tr>
      <w:tr>
        <w:tc>
          <w:tcPr>
            <w:tcW w:w="900" w:type="dxa"/>
          </w:tcPr>
          <w:p>
            <w:r>
              <w:rPr/>
              <w:t xml:space="preserve">0B-07</w:t>
            </w:r>
          </w:p>
        </w:tc>
        <w:tc>
          <w:tcPr>
            <w:tcW w:w="2400" w:type="dxa"/>
          </w:tcPr>
          <w:p>
            <w:r>
              <w:rPr/>
              <w:t xml:space="preserve">淺層水文遲滯期（0.8 m 深）</w:t>
            </w:r>
          </w:p>
        </w:tc>
        <w:tc>
          <w:tcPr>
            <w:tcW w:w="3200" w:type="dxa"/>
          </w:tcPr>
          <w:p>
            <w:r>
              <w:rPr/>
              <w:t xml:space="preserve">30–60 天</w:t>
            </w:r>
          </w:p>
        </w:tc>
        <w:tc>
          <w:tcPr>
            <w:tcW w:w="900" w:type="dxa"/>
          </w:tcPr>
          <w:p>
            <w:r>
              <w:rPr/>
              <w:t xml:space="preserve">高</w:t>
            </w:r>
          </w:p>
        </w:tc>
      </w:tr>
      <w:tr>
        <w:tc>
          <w:tcPr>
            <w:tcW w:w="900" w:type="dxa"/>
          </w:tcPr>
          <w:p>
            <w:r>
              <w:rPr/>
              <w:t xml:space="preserve">0B-08</w:t>
            </w:r>
          </w:p>
        </w:tc>
        <w:tc>
          <w:tcPr>
            <w:tcW w:w="2400" w:type="dxa"/>
          </w:tcPr>
          <w:p>
            <w:r>
              <w:rPr/>
              <w:t xml:space="preserve">深層優先流傳輸時間（1.5 m 深）</w:t>
            </w:r>
          </w:p>
        </w:tc>
        <w:tc>
          <w:tcPr>
            <w:tcW w:w="3200" w:type="dxa"/>
          </w:tcPr>
          <w:p>
            <w:r>
              <w:rPr/>
              <w:t xml:space="preserve">7–14 天</w:t>
            </w:r>
          </w:p>
        </w:tc>
        <w:tc>
          <w:tcPr>
            <w:tcW w:w="900" w:type="dxa"/>
          </w:tcPr>
          <w:p>
            <w:r>
              <w:rPr/>
              <w:t xml:space="preserve">高</w:t>
            </w:r>
          </w:p>
        </w:tc>
      </w:tr>
      <w:tr>
        <w:tc>
          <w:tcPr>
            <w:tcW w:w="900" w:type="dxa"/>
          </w:tcPr>
          <w:p>
            <w:r>
              <w:rPr/>
              <w:t xml:space="preserve">0B-09</w:t>
            </w:r>
          </w:p>
        </w:tc>
        <w:tc>
          <w:tcPr>
            <w:tcW w:w="2400" w:type="dxa"/>
          </w:tcPr>
          <w:p>
            <w:r>
              <w:rPr/>
              <w:t xml:space="preserve">南部旱季蒸發量與濃縮倍率</w:t>
            </w:r>
          </w:p>
        </w:tc>
        <w:tc>
          <w:tcPr>
            <w:tcW w:w="3200" w:type="dxa"/>
          </w:tcPr>
          <w:p>
            <w:r>
              <w:rPr/>
              <w:t xml:space="preserve">80 mm/month；水深降至 0.8 m 時 1.88 倍</w:t>
            </w:r>
          </w:p>
        </w:tc>
        <w:tc>
          <w:tcPr>
            <w:tcW w:w="900" w:type="dxa"/>
          </w:tcPr>
          <w:p>
            <w:r>
              <w:rPr/>
              <w:t xml:space="preserve">中</w:t>
            </w:r>
          </w:p>
        </w:tc>
      </w:tr>
      <w:tr>
        <w:tc>
          <w:tcPr>
            <w:tcW w:w="900" w:type="dxa"/>
          </w:tcPr>
          <w:p>
            <w:r>
              <w:rPr/>
              <w:t xml:space="preserve">0B-11</w:t>
            </w:r>
          </w:p>
        </w:tc>
        <w:tc>
          <w:tcPr>
            <w:tcW w:w="2400" w:type="dxa"/>
          </w:tcPr>
          <w:p>
            <w:r>
              <w:rPr/>
              <w:t xml:space="preserve">北部極育土體積熱容（飽和含水）</w:t>
            </w:r>
          </w:p>
        </w:tc>
        <w:tc>
          <w:tcPr>
            <w:tcW w:w="3200" w:type="dxa"/>
          </w:tcPr>
          <w:p>
            <w:r>
              <w:rPr/>
              <w:t xml:space="preserve">1.55–3.50 MJ/m³·°C</w:t>
            </w:r>
          </w:p>
        </w:tc>
        <w:tc>
          <w:tcPr>
            <w:tcW w:w="900" w:type="dxa"/>
          </w:tcPr>
          <w:p>
            <w:r>
              <w:rPr/>
              <w:t xml:space="preserve">高</w:t>
            </w:r>
          </w:p>
        </w:tc>
      </w:tr>
      <w:tr>
        <w:tc>
          <w:tcPr>
            <w:tcW w:w="900" w:type="dxa"/>
          </w:tcPr>
          <w:p>
            <w:r>
              <w:rPr/>
              <w:t xml:space="preserve">0B-12</w:t>
            </w:r>
          </w:p>
        </w:tc>
        <w:tc>
          <w:tcPr>
            <w:tcW w:w="2400" w:type="dxa"/>
          </w:tcPr>
          <w:p>
            <w:r>
              <w:rPr/>
              <w:t xml:space="preserve">南部砂質弱育土體積熱容</w:t>
            </w:r>
          </w:p>
        </w:tc>
        <w:tc>
          <w:tcPr>
            <w:tcW w:w="3200" w:type="dxa"/>
          </w:tcPr>
          <w:p>
            <w:r>
              <w:rPr/>
              <w:t xml:space="preserve">1.06–3.00 MJ/m³·°C</w:t>
            </w:r>
          </w:p>
        </w:tc>
        <w:tc>
          <w:tcPr>
            <w:tcW w:w="900" w:type="dxa"/>
          </w:tcPr>
          <w:p>
            <w:r>
              <w:rPr/>
              <w:t xml:space="preserve">高</w:t>
            </w:r>
          </w:p>
        </w:tc>
      </w:tr>
      <w:tr>
        <w:tc>
          <w:tcPr>
            <w:tcW w:w="900" w:type="dxa"/>
          </w:tcPr>
          <w:p>
            <w:r>
              <w:rPr/>
              <w:t xml:space="preserve">0B-14</w:t>
            </w:r>
          </w:p>
        </w:tc>
        <w:tc>
          <w:tcPr>
            <w:tcW w:w="2400" w:type="dxa"/>
          </w:tcPr>
          <w:p>
            <w:r>
              <w:rPr/>
              <w:t xml:space="preserve">北部 Fe²⁺ 釋放門檻與速率</w:t>
            </w:r>
          </w:p>
        </w:tc>
        <w:tc>
          <w:tcPr>
            <w:tcW w:w="3200" w:type="dxa"/>
          </w:tcPr>
          <w:p>
            <w:r>
              <w:rPr/>
              <w:t xml:space="preserve">Eh &lt; 0 mV &amp; T &gt; 20°C；10–50 mmol/m²/day</w:t>
            </w:r>
          </w:p>
        </w:tc>
        <w:tc>
          <w:tcPr>
            <w:tcW w:w="900" w:type="dxa"/>
          </w:tcPr>
          <w:p>
            <w:r>
              <w:rPr/>
              <w:t xml:space="preserve">中</w:t>
            </w:r>
          </w:p>
        </w:tc>
      </w:tr>
      <w:tr>
        <w:tc>
          <w:tcPr>
            <w:tcW w:w="900" w:type="dxa"/>
          </w:tcPr>
          <w:p>
            <w:r>
              <w:rPr/>
              <w:t xml:space="preserve">0B-15</w:t>
            </w:r>
          </w:p>
        </w:tc>
        <w:tc>
          <w:tcPr>
            <w:tcW w:w="2400" w:type="dxa"/>
          </w:tcPr>
          <w:p>
            <w:r>
              <w:rPr/>
              <w:t xml:space="preserve">南部 H₂S 釋放門檻與速率</w:t>
            </w:r>
          </w:p>
        </w:tc>
        <w:tc>
          <w:tcPr>
            <w:tcW w:w="3200" w:type="dxa"/>
          </w:tcPr>
          <w:p>
            <w:r>
              <w:rPr/>
              <w:t xml:space="preserve">Eh &lt; −150 mV；19–281 mmol/m²/day</w:t>
            </w:r>
          </w:p>
        </w:tc>
        <w:tc>
          <w:tcPr>
            <w:tcW w:w="900" w:type="dxa"/>
          </w:tcPr>
          <w:p>
            <w:r>
              <w:rPr/>
              <w:t xml:space="preserve">高</w:t>
            </w:r>
          </w:p>
        </w:tc>
      </w:tr>
      <w:tr>
        <w:tc>
          <w:tcPr>
            <w:tcW w:w="900" w:type="dxa"/>
          </w:tcPr>
          <w:p>
            <w:r>
              <w:rPr/>
              <w:t xml:space="preserve">0B-16</w:t>
            </w:r>
          </w:p>
        </w:tc>
        <w:tc>
          <w:tcPr>
            <w:tcW w:w="2400" w:type="dxa"/>
          </w:tcPr>
          <w:p>
            <w:r>
              <w:rPr/>
              <w:t xml:space="preserve">厭氧還原 Q10 溫度係數</w:t>
            </w:r>
          </w:p>
        </w:tc>
        <w:tc>
          <w:tcPr>
            <w:tcW w:w="3200" w:type="dxa"/>
          </w:tcPr>
          <w:p>
            <w:r>
              <w:rPr/>
              <w:t xml:space="preserve">2.08（20 °C → 30 °C 速率倍增 2–2.8 倍）</w:t>
            </w:r>
          </w:p>
        </w:tc>
        <w:tc>
          <w:tcPr>
            <w:tcW w:w="900" w:type="dxa"/>
          </w:tcPr>
          <w:p>
            <w:r>
              <w:rPr/>
              <w:t xml:space="preserve">高</w:t>
            </w:r>
          </w:p>
        </w:tc>
      </w:tr>
      <w:tr>
        <w:tc>
          <w:tcPr>
            <w:tcW w:w="900" w:type="dxa"/>
          </w:tcPr>
          <w:p>
            <w:r>
              <w:rPr/>
              <w:t xml:space="preserve">0C-01</w:t>
            </w:r>
          </w:p>
        </w:tc>
        <w:tc>
          <w:tcPr>
            <w:tcW w:w="2400" w:type="dxa"/>
          </w:tcPr>
          <w:p>
            <w:r>
              <w:rPr/>
              <w:t xml:space="preserve">管理池水車停機後分層重建時間</w:t>
            </w:r>
          </w:p>
        </w:tc>
        <w:tc>
          <w:tcPr>
            <w:tcW w:w="3200" w:type="dxa"/>
          </w:tcPr>
          <w:p>
            <w:r>
              <w:rPr/>
              <w:t xml:space="preserve">4–6 hr（夏季正午無風條件）</w:t>
            </w:r>
          </w:p>
        </w:tc>
        <w:tc>
          <w:tcPr>
            <w:tcW w:w="900" w:type="dxa"/>
          </w:tcPr>
          <w:p>
            <w:r>
              <w:rPr/>
              <w:t xml:space="preserve">高</w:t>
            </w:r>
          </w:p>
        </w:tc>
      </w:tr>
      <w:tr>
        <w:tc>
          <w:tcPr>
            <w:tcW w:w="900" w:type="dxa"/>
          </w:tcPr>
          <w:p>
            <w:r>
              <w:rPr/>
              <w:t xml:space="preserve">0C-04</w:t>
            </w:r>
          </w:p>
        </w:tc>
        <w:tc>
          <w:tcPr>
            <w:tcW w:w="2400" w:type="dxa"/>
          </w:tcPr>
          <w:p>
            <w:r>
              <w:rPr/>
              <w:t xml:space="preserve">北部宏觀絮體終端沉降速度</w:t>
            </w:r>
          </w:p>
        </w:tc>
        <w:tc>
          <w:tcPr>
            <w:tcW w:w="3200" w:type="dxa"/>
          </w:tcPr>
          <w:p>
            <w:r>
              <w:rPr/>
              <w:t xml:space="preserve">3 cm/s（= 108 m/hr）；濁度恢復 48–72 hr</w:t>
            </w:r>
          </w:p>
        </w:tc>
        <w:tc>
          <w:tcPr>
            <w:tcW w:w="900" w:type="dxa"/>
          </w:tcPr>
          <w:p>
            <w:r>
              <w:rPr/>
              <w:t xml:space="preserve">高</w:t>
            </w:r>
          </w:p>
        </w:tc>
      </w:tr>
      <w:tr>
        <w:tc>
          <w:tcPr>
            <w:tcW w:w="900" w:type="dxa"/>
          </w:tcPr>
          <w:p>
            <w:r>
              <w:rPr/>
              <w:t xml:space="preserve">0C-05</w:t>
            </w:r>
          </w:p>
        </w:tc>
        <w:tc>
          <w:tcPr>
            <w:tcW w:w="2400" w:type="dxa"/>
          </w:tcPr>
          <w:p>
            <w:r>
              <w:rPr/>
              <w:t xml:space="preserve">南部黏土微粒單粒沉降速度</w:t>
            </w:r>
          </w:p>
        </w:tc>
        <w:tc>
          <w:tcPr>
            <w:tcW w:w="3200" w:type="dxa"/>
          </w:tcPr>
          <w:p>
            <w:r>
              <w:rPr/>
              <w:t xml:space="preserve">0.35 m/day；高濁度持續 14–30 day</w:t>
            </w:r>
          </w:p>
        </w:tc>
        <w:tc>
          <w:tcPr>
            <w:tcW w:w="900" w:type="dxa"/>
          </w:tcPr>
          <w:p>
            <w:r>
              <w:rPr/>
              <w:t xml:space="preserve">高</w:t>
            </w:r>
          </w:p>
        </w:tc>
      </w:tr>
      <w:tr>
        <w:tc>
          <w:tcPr>
            <w:tcW w:w="900" w:type="dxa"/>
          </w:tcPr>
          <w:p>
            <w:r>
              <w:rPr/>
              <w:t xml:space="preserve">0C-06</w:t>
            </w:r>
          </w:p>
        </w:tc>
        <w:tc>
          <w:tcPr>
            <w:tcW w:w="2400" w:type="dxa"/>
          </w:tcPr>
          <w:p>
            <w:r>
              <w:rPr/>
              <w:t xml:space="preserve">溫躍層秋季翻轉觸發門檻</w:t>
            </w:r>
          </w:p>
        </w:tc>
        <w:tc>
          <w:tcPr>
            <w:tcW w:w="3200" w:type="dxa"/>
          </w:tcPr>
          <w:p>
            <w:r>
              <w:rPr/>
              <w:t xml:space="preserve">表層降溫 2–4 °C ＋ 風速 &gt;5 m/s ＋ 持續 48 hr</w:t>
            </w:r>
          </w:p>
        </w:tc>
        <w:tc>
          <w:tcPr>
            <w:tcW w:w="900" w:type="dxa"/>
          </w:tcPr>
          <w:p>
            <w:r>
              <w:rPr/>
              <w:t xml:space="preserve">高</w:t>
            </w:r>
          </w:p>
        </w:tc>
      </w:tr>
      <w:tr>
        <w:tc>
          <w:tcPr>
            <w:tcW w:w="900" w:type="dxa"/>
          </w:tcPr>
          <w:p>
            <w:r>
              <w:rPr/>
              <w:t xml:space="preserve">0C-08</w:t>
            </w:r>
          </w:p>
        </w:tc>
        <w:tc>
          <w:tcPr>
            <w:tcW w:w="2400" w:type="dxa"/>
          </w:tcPr>
          <w:p>
            <w:r>
              <w:rPr/>
              <w:t xml:space="preserve">0.8 m 水深 H₂S 極端累積估算</w:t>
            </w:r>
          </w:p>
        </w:tc>
        <w:tc>
          <w:tcPr>
            <w:tcW w:w="3200" w:type="dxa"/>
          </w:tcPr>
          <w:p>
            <w:r>
              <w:rPr/>
              <w:t xml:space="preserve">8.5 mg/L（夏季泛池條件推估）</w:t>
            </w:r>
          </w:p>
        </w:tc>
        <w:tc>
          <w:tcPr>
            <w:tcW w:w="900" w:type="dxa"/>
          </w:tcPr>
          <w:p>
            <w:r>
              <w:rPr/>
              <w:t xml:space="preserve">中</w:t>
            </w:r>
          </w:p>
        </w:tc>
      </w:tr>
    </w:tbl>
    <w:p>
      <w:pPr/>
      <w:r>
        <w:rPr/>
        <w:t xml:space="preserve">本卷整合直接引用以下上游量化數值。來源代碼格式為 [卷號]-[事實編號]，對應各上游卷之 Carry_Forward 輸出。</w:t>
      </w:r>
    </w:p>
    <w:p>
      <w:pPr>
        <w:pStyle w:val="Heading2"/>
      </w:pPr>
      <w:r>
        <w:rPr/>
        <w:t xml:space="preserve">六(補)、Inherited_Baseline（上游量化引用彙整）</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Baseline_Facts (法定基準事實)</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為確保下游棲地工程與生態存活率運算之一致性，下表萃取本卷（整合 0A、0B、0C）所有具備高信心等級之硬性邊界條件與物理化學量化閾值，作為模型代入之法定基準：</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事實編號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變數維度與作用區間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法定量化基準與物理化學閾值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適用水體與季節條件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颱風極端動量與水量替換強迫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最大持續風速 25–40 m/s，產生 1.5–2.5 N/m² 風應力；梅雨降水達 40–100 mm/day，單月潛在水量替換率達 33.2–52.2%。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全台開放水域，夏季至初秋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冷鋒降溫幅度與熱容量緩衝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北部冷鋒降溫 4–8 °C/event，極育土（熱容 1.55–3.50 MJ/m³·°C）緩衝 &gt;72 hr；南部降溫 2–5 °C/event，砂質弱育土（熱容 1.06–3.00 MJ/m³·°C）緩衝 &lt;24 hr，日夜溫差達 3.5–5.0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全台淺水區，冬季大陸冷氣團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斯托克斯絮凝沉降動力學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基於流體黏滯度 0.89 mPa·s (25°C)：北部酸性（pH 4.5–5.5）宏觀絮體沉降速度達 3 cm/s（108 m/hr），濁度於 48–72 hr 恢復；南部鹼性（pH 6.5–7.5，Zeta -42~-52 mV）微粒沉降僅 0.35 m/day，高濁度持續 14–30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暴雨沖刷後之濁度消散期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溫躍層秋季翻轉物理門檻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觸發條件嚴格鎖定於：表層水溫驟降 2–4 °C，且伴隨東北季風風速 &gt; 5 m/s，並持續 48 小時以上。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水庫水體 (Type 2, 5)，秋末冬初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水車停機動態與溶氧崩潰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夏季無風（&lt; 2 m/s）正午停機，4–6 hr 即重建穩定溫度分層；中斷 &gt;6–8 hr 底層 DO 耗盡，Eh 跌破 -150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管理池 (Type 3, 6)，夏季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旱季極端蒸發與水質濃縮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南部旱季淨水分虧損達 80 mm/month，水深由 1.5m 降至 0.8m 時，引發水質溶質與離子強度高達 1.88 倍的物理濃縮。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南部野生埤塘 (Type 4)，春末旱季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地球化學水文傳導脫鉤遲滯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0.8m 淺層受蒸發與有機質交換阻滯，溶質訊號遲滯期達 30–60 天；1.5m 深層受優先流主導，抵達時間僅需 7–14 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全台具底質泥層之水體，全年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極端生化耗氧與硫化氫釋放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厭氧分解 </w:t>
            </w:r>
            <w:r w:rsidDel="00000000" w:rsidR="00000000" w:rsidRPr="00000000">
              <w:rPr>
                <w:rFonts w:ascii="Google Sans" w:cs="Google Sans" w:eastAsia="Google Sans" w:hAnsi="Google Sans"/>
                <w:color w:val="1f1f1f"/>
              </w:rPr>
              <w:drawing>
                <wp:inline distB="19050" distT="19050" distL="19050" distR="19050">
                  <wp:extent cx="284262" cy="227410"/>
                  <wp:effectExtent b="0" l="0" r="0" t="0"/>
                  <wp:docPr id="8"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284262" cy="22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係數為 2.08；當 Eh &lt; -150 mV，</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釋放率達 19–281 mmol/m²/day，0.8m 淺水累積濃度可達 8.5 mg/L。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高負載管理池，夏季底層缺氧</w:t>
            </w:r>
          </w:p>
        </w:tc>
      </w:tr>
    </w:tbl>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八、 Open_Assumptions (系統性開放假設)</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限於台灣全島微觀尺度大數據（如個別埤塘之即時高頻感測陣列）之缺乏，為確保下游生態存活率與毒理學風險評估具備足夠的防護彈性與安全邊際，本整合模型於後續數值計算中，無條件採納以下基於物理定律之保守假設（Conservative Assumptions）：</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[Assumption-01] 宏觀絮體有效密度極小化遞減假設</w:t>
      </w:r>
      <w:r w:rsidDel="00000000" w:rsidR="00000000" w:rsidRPr="00000000">
        <w:rPr>
          <w:rFonts w:ascii="Google Sans" w:cs="Google Sans" w:eastAsia="Google Sans" w:hAnsi="Google Sans"/>
          <w:color w:val="1f1f1f"/>
          <w:rtl w:val="0"/>
        </w:rPr>
        <w:t xml:space="preserve">：在應用斯托克斯定律估算北部極育土水域暴雨後的濁度恢復速率時，雖已知高分子架橋能產生直徑 1-2 mm 之龐大絮體，但其內部呈疏鬆蜂窩狀結構且含水率極高。模型強制保守假設所有生成之宏觀絮體，其扣除純水浮力後之有效密度差（</w:t>
      </w:r>
      <w:r w:rsidDel="00000000" w:rsidR="00000000" w:rsidRPr="00000000">
        <w:rPr>
          <w:rFonts w:ascii="Google Sans" w:cs="Google Sans" w:eastAsia="Google Sans" w:hAnsi="Google Sans"/>
          <w:color w:val="1f1f1f"/>
        </w:rPr>
        <w:drawing>
          <wp:inline distB="19050" distT="19050" distL="19050" distR="19050">
            <wp:extent cx="576411" cy="226785"/>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6411" cy="226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）在任何情況下皆不超過 50 kg/m³。此極端下修旨在防止模型過度樂觀地高估水庫雨後的自我淨化與濁度清除速度，以保障視覺掠食魚類覓食效率預估的嚴謹性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[Assumption-02] 硫酸鹽還原 Eh 崩塌強制觸發假設</w:t>
      </w:r>
      <w:r w:rsidDel="00000000" w:rsidR="00000000" w:rsidRPr="00000000">
        <w:rPr>
          <w:rFonts w:ascii="Google Sans" w:cs="Google Sans" w:eastAsia="Google Sans" w:hAnsi="Google Sans"/>
          <w:color w:val="1f1f1f"/>
          <w:rtl w:val="0"/>
        </w:rPr>
        <w:t xml:space="preserve">：由於全台各大湖庫缺乏安裝於 0.8m 泥水界面的高解析度連續氧化還原電極（ORP probes）陣列，模型於生態毒理子系統中設定強制觸發條件：一旦依據耗氧模型偵測到近底層水體溶解氧（DO）濃度探底低於 2.0 mg/L，即自動假設該微環境的氧化還原電位（Eh）已全面崩塌並跌破硫酸鹽還原電位（即 Eh &lt; -150 mV）。同時，強制以最高釋放速率（19–281 mmol/m²/day）推算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3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累積濃度上限（8.5 mg/L），以最嚴苛標準提前示警夏日泛池與春季棄巢風險 [1, 1]。</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[Assumption-03] 大孔隙優先流無阻礙極端穿透假設</w:t>
      </w:r>
      <w:r w:rsidDel="00000000" w:rsidR="00000000" w:rsidRPr="00000000">
        <w:rPr>
          <w:rFonts w:ascii="Google Sans" w:cs="Google Sans" w:eastAsia="Google Sans" w:hAnsi="Google Sans"/>
          <w:color w:val="1f1f1f"/>
          <w:rtl w:val="0"/>
        </w:rPr>
        <w:t xml:space="preserve">：在建構 1.5m 深度的水文地球化學三維傳輸矩陣時，針對農業化肥（如硝酸鹽）及工業微量重金屬之擴散，模型保守假設所有地表污染源在遭遇降雨強度 &gt; 50 mm/hr 的大雨沖刷下，皆能 100% 透過大孔隙與乾裂縫隙的「優先流」路徑，完全繞過 0.8m 含有機質的生物緩衝區與吸附帶。該假設定義溶質將以零耗損狀態，於最短時間軸（7 至 14 天）內直接衝擊 1.5m 深度的底棲環境，確保毒理學暴露風險絕不被高估的土壤自淨能力所掩蓋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[Assumption-04] 表面電荷介面化學之單一礦物主導性簡化假設</w:t>
      </w:r>
      <w:r w:rsidDel="00000000" w:rsidR="00000000" w:rsidRPr="00000000">
        <w:rPr>
          <w:rFonts w:ascii="Google Sans" w:cs="Google Sans" w:eastAsia="Google Sans" w:hAnsi="Google Sans"/>
          <w:color w:val="1f1f1f"/>
          <w:rtl w:val="0"/>
        </w:rPr>
        <w:t xml:space="preserve">：真實世界的底床沉積物為成分極度繁雜的多礦物、多相態混合體（包含各式次生矽酸鹽、腐植酸等）。為維持 DLVO 膠體交互作用力積分方程式的運算收斂性，模型建立降維簡化防護網：保守假設北部水域所有懸浮微粒的 Zeta 電位演變與絮凝行為，完全且排他性地由「高嶺石」晶格矽氧面與鋁氧邊緣的電荷特性絕對主導；同理，南部水域則 100% 由「伊利石與蒙脫石」主導。此設定刻意忽略了次要礦物與極微量有機質的表面遮蔽效應（Surface coating effects）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[Assumption-05] 淨溶氧（NEP）持續負成長之異營模型假設</w:t>
      </w:r>
      <w:r w:rsidDel="00000000" w:rsidR="00000000" w:rsidRPr="00000000">
        <w:rPr>
          <w:rFonts w:ascii="Google Sans" w:cs="Google Sans" w:eastAsia="Google Sans" w:hAnsi="Google Sans"/>
          <w:color w:val="1f1f1f"/>
          <w:rtl w:val="0"/>
        </w:rPr>
        <w:t xml:space="preserve">：在淺水優養化埤塘與管理池中，缺乏各水體特定的高頻連續 DO 感測陣列以精確分離藻相光合作用與底泥呼吸的獨立耗氧率。因此，模型保守採用夏季總初級生產（GPP）小於底泥與微生物呼吸耗氧（R）之異營模型（Heterotrophic Model）。在無大氣擾動（如水車停機）的狀況下，強制假設水體全日淨效應（NEP）呈持續負成長，導致 0D 矩陣在評估夏夜缺氧風險時採納最嚴格之衰減曲線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[Assumption-06] 南部溫躍層秋季翻轉最劣情境時間點假設</w:t>
      </w:r>
      <w:r w:rsidDel="00000000" w:rsidR="00000000" w:rsidRPr="00000000">
        <w:rPr>
          <w:rFonts w:ascii="Google Sans" w:cs="Google Sans" w:eastAsia="Google Sans" w:hAnsi="Google Sans"/>
          <w:color w:val="1f1f1f"/>
          <w:rtl w:val="0"/>
        </w:rPr>
        <w:t xml:space="preserve">：因氣候變遷導致冬季延遲，南部水庫具體翻轉觸發日隨每年冷鋒強度波動極大。模型保守假設南部深水水庫（水體 5）的翻轉固定落於 11 月下旬，且假設內部營養鹽（TP）負載的底泥翻攪釋放率達到夏季極端狀態的 100%（即 50–120 </w:t>
      </w:r>
      <w:r w:rsidDel="00000000" w:rsidR="00000000" w:rsidRPr="00000000">
        <w:rPr>
          <w:rFonts w:ascii="Google Sans" w:cs="Google Sans" w:eastAsia="Google Sans" w:hAnsi="Google Sans"/>
          <w:color w:val="1f1f1f"/>
        </w:rPr>
        <w:drawing>
          <wp:inline distB="19050" distT="19050" distL="19050" distR="19050">
            <wp:extent cx="423714" cy="231117"/>
            <wp:effectExtent b="0" l="0" r="0" t="0"/>
            <wp:docPr id="39"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23714" cy="231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），以最大化評估秋末水質惡化對生物避險深度的衝擊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[Assumption-07] 底邊界層黏滯度對艾克曼混合時間之延遲假設</w:t>
      </w:r>
      <w:r w:rsidDel="00000000" w:rsidR="00000000" w:rsidRPr="00000000">
        <w:rPr>
          <w:rFonts w:ascii="Google Sans" w:cs="Google Sans" w:eastAsia="Google Sans" w:hAnsi="Google Sans"/>
          <w:color w:val="1f1f1f"/>
          <w:rtl w:val="0"/>
        </w:rPr>
        <w:t xml:space="preserve">：在計算颱風極端風應力造成淺水層混合時，雖然純理論流體動力學推導 2–4m 淺水體將在 1–2 小時內達到完全混合，但此模型未納入台灣高優養化管理池底泥之高黏滯度（High Viscosity of Benthic Mud）。泥層的高黏滯力會產生強大的底邊界層摩擦阻力（Bottom Boundary Layer Friction），大幅削弱向下傳遞的紊流動能。因此，模型保守假設，實際導致沉積物大量再懸浮、使能見度降至 &lt; 5 cm 的所需強風持續時間，存在被低估的可能，物理干擾的消散時間將被適度延長計算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補充一：排序彙整表</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颱風暴雨／溫度劇變緩衝能力排序（由強至弱）</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水體名稱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緩衝時間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緩衝機制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深水體積與極育土高熱容雙重緩衝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水淺但底泥體積熱容高達1.55-3.50 MJ/m³·C，釋放熱能鎖定溫差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高熱容底泥提供緩衝，但暴雨水體替換率高削弱部分熱慣性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弱育土熱容較低，主要依賴深水體積積蓄之熱量抗衡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砂質底床孔隙多空氣，熱容僅1.06-3.00 MJ/m³·C，水淺易受冷水入侵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極端淺水與低熱容砂質底，幾乎無熱慣性抵抗降溫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颱風暴雨／溶氧崩潰風險排序（由高至低）</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水體名稱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 降至 &lt;3 mg/L 估算時間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最低 DO 預期值 (mg/L) 及持續時間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崩潰機制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mg/L，持續 &gt;24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水車因暴雨斷電，Q10=2.08高溫加速耗氧，Eh急墜誘發H2S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mg/L，持續 12-24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斷電4-6 hr內建立分層，底層高有機質耗盡殘氧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mg/L，持續 12-48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旱季有機物回淹，暴雨底泥徹底再懸浮耗氧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mg/L，持續 12-24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異營微生物耗氧，微酸性環境減緩部分生化耗氧速率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表層不崩潰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mg/L (表層)，持續 10-15 days (內部脈衝)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暴雨引發內部TP脈衝(50-120 ug/L)誘發後續生物耗氧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無顯著崩潰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mg/L (表層)，持續 24-48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異重流潛入底部補充部分溶氧，無顯著全層崩潰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颱風暴雨／濁度恢復時間排序（由快至慢）</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水體名稱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濁度恢復至基線時間 (hr/day)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量化沉降依據 (Stokes' Law)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48-72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 4.5-5.5 形成 1-2 mm 絮體，沉降率 3 cm/s (108 m/hr)，深水不易再懸浮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72-96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沉降率 3 cm/s，但水淺受風浪餘波干擾略微延長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沉降率 3 cm/s，復電後水車強迫擾動底泥抵銷部分沉積效益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14-30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 6.5-7.5，Zeta電位 -42 至 -52 mV，單粒沉降極慢 (0.35 m/day)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21-40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沉降率 0.35 m/day，水深淺，微風即引發懸浮微粒再次混合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&gt;30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沉降率 0.35 m/day，水車持續將未沉降之微粒重新打散入水柱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冷氣團／溫度劇變緩衝能力排序（由強至弱）</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水體名稱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緩衝時間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緩衝機制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深水龐大熱容量，表層冷卻需克服數十米水柱之對流混合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極育土壓實黏土層體積熱容達 1.55-3.50 MJ/m³·C，向水體釋放潛熱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高熱容底泥 (1.55-3.50 MJ/m³·C) 提供緩衝，但水車運轉加速感熱散失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深水體自身熱容抵抗降溫，南部冷鋒降溫遲滯且降幅僅 2-5 C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砂質底床熱容僅 1.06-3.00 MJ/m³·C，日夜溫差高達 3.5-5.0 C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低熱容砂質底加極淺水，水車強制冷卻致水溫隨氣溫同步墜落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冷氣團／翻水風險排序（由高至低）</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水體名稱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翻水觸發條件 (水溫差 C + 風速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翻水後缺氧水影響時間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機制與反作用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降溫 2-4 C + 風速 &gt;5 m/s 持續 48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10月中下旬秋季翻轉，底層累積之厭氧水體大規模上湧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降溫 2-4 C + 風速 &gt;5 m/s 持續 48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11月中下旬翻轉，伴隨內部高濃度TP脈衝釋放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冷鋒驟降 6-9 C + 風速 &gt;5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極端降溫致表層水密度激增，引發重力不穩定強烈翻轉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降溫 2-5 C + 風速 &gt;5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南部降溫幅度較小，翻水規模與缺氧強度較弱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水車關閉 + 降溫 5-8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水車常態開啟會破壞溫躍層，反作用抑制了突發翻水之熱力學條件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水車關閉 + 降溫 2-5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水車擾動的反作用使水體長年無強烈分層，缺乏累積之厭氧底水供翻攪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冷氣團／濁度恢復時間排序（由快至慢）</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水體名稱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風生混合深度 (m) 估算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濁度恢復時間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底泥再懸浮機制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深度遠大於風生混合層，無大規模底泥再懸浮，僅表層擾動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&gt;3 m (穿透池底)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全水柱混合引發底泥再懸浮，極育土H+絮凝機制快速沉降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&gt;2 m (穿透池底)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絮凝沉降快，但受復歸之水車強迫對流干擾延長恢復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南部深水水庫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未觸及底泥，但表層原有微粒受冷空氣擾動持續懸浮 (0.35 m/day)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&gt;1.5 m (穿透池底)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淺水強風引發徹底再懸浮，Zeta電位排斥導致漫長濁度期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&gt;2 m (穿透池底)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水車持續運作加上狂風，使高負電荷泥沙處於永續懸浮狀態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補充二：極端事件後 Lag Effect</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颱風暴雨結束後的 Lag Effect</w:t>
      </w:r>
    </w:p>
    <w:p w:rsidR="00000000" w:rsidDel="00000000" w:rsidP="00000000" w:rsidRDefault="00000000" w:rsidRPr="00000000" w14:paraId="000001B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物理沉澱 Lag：</w:t>
      </w:r>
      <w:r w:rsidDel="00000000" w:rsidR="00000000" w:rsidRPr="00000000">
        <w:rPr>
          <w:rFonts w:ascii="Google Sans" w:cs="Google Sans" w:eastAsia="Google Sans" w:hAnsi="Google Sans"/>
          <w:color w:val="1f1f1f"/>
          <w:rtl w:val="0"/>
        </w:rPr>
        <w:t xml:space="preserve"> 颱風暴雨帶來的極端動量與降水會將底泥全面翻攪。北部極育土水系（水體 1、2）在暴雨後，因酸性環境（pH 4.5–5.5）促使黏土微粒形成 1–2 mm 宏觀絮體，終端沉降速率達 3 cm/s（即 108 m/hr），懸浮固體從峰值恢復至季均基線的物理 Lag 僅需 </w:t>
      </w:r>
      <w:r w:rsidDel="00000000" w:rsidR="00000000" w:rsidRPr="00000000">
        <w:rPr>
          <w:rFonts w:ascii="Google Sans" w:cs="Google Sans" w:eastAsia="Google Sans" w:hAnsi="Google Sans"/>
          <w:b w:val="1"/>
          <w:bCs w:val="1"/>
          <w:color w:val="1f1f1f"/>
          <w:rtl w:val="0"/>
        </w:rPr>
        <w:t xml:space="preserve">48–72 hr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。相對地，南部弱育土水系（水體 4、5）受極端負 Zeta 電位（-42 至 -52 mV）同性排斥影響，單一黏土微粒沉降速率極慢，僅約 0.35 m/day，其物理沉澱 Lag 長達 </w:t>
      </w:r>
      <w:r w:rsidDel="00000000" w:rsidR="00000000" w:rsidRPr="00000000">
        <w:rPr>
          <w:rFonts w:ascii="Google Sans" w:cs="Google Sans" w:eastAsia="Google Sans" w:hAnsi="Google Sans"/>
          <w:b w:val="1"/>
          <w:bCs w:val="1"/>
          <w:color w:val="1f1f1f"/>
          <w:rtl w:val="0"/>
        </w:rPr>
        <w:t xml:space="preserve">14–30 days</w:t>
      </w:r>
      <w:r w:rsidDel="00000000" w:rsidR="00000000" w:rsidRPr="00000000">
        <w:rPr>
          <w:rFonts w:ascii="Google Sans" w:cs="Google Sans" w:eastAsia="Google Sans" w:hAnsi="Google Sans"/>
          <w:color w:val="1f1f1f"/>
          <w:rtl w:val="0"/>
        </w:rPr>
        <w:t xml:space="preserve"> 才能恢復原有能見度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地球化學平衡 Lag：</w:t>
      </w:r>
      <w:r w:rsidDel="00000000" w:rsidR="00000000" w:rsidRPr="00000000">
        <w:rPr>
          <w:rFonts w:ascii="Google Sans" w:cs="Google Sans" w:eastAsia="Google Sans" w:hAnsi="Google Sans"/>
          <w:color w:val="1f1f1f"/>
          <w:rtl w:val="0"/>
        </w:rPr>
        <w:t xml:space="preserve"> 暴雨將大量陸源有機質沖入水體，導致底泥強烈耗氧。若南部高負載水體（水體 6）微環境 Eh 跌破 -150 mV 觸發 H2S 釋放，或北部酸性水體（水體 1）跌破 0 mV 釋放 Fe2+，風暴平息並恢復大氣擴散後，底泥膠體要重新穩定並使 Eh 恢復至 &gt;+200 mV 的有氧條件，以完成 Fe2+ 的重新氧化沉澱或硫化物氧化，依據鐵動力學氧化速率與底層溶氧擴散限制，北部水體約需 </w:t>
      </w:r>
      <w:r w:rsidDel="00000000" w:rsidR="00000000" w:rsidRPr="00000000">
        <w:rPr>
          <w:rFonts w:ascii="Google Sans" w:cs="Google Sans" w:eastAsia="Google Sans" w:hAnsi="Google Sans"/>
          <w:b w:val="1"/>
          <w:bCs w:val="1"/>
          <w:color w:val="1f1f1f"/>
          <w:rtl w:val="0"/>
        </w:rPr>
        <w:t xml:space="preserve">7–14 days</w:t>
      </w:r>
      <w:r w:rsidDel="00000000" w:rsidR="00000000" w:rsidRPr="00000000">
        <w:rPr>
          <w:rFonts w:ascii="Google Sans" w:cs="Google Sans" w:eastAsia="Google Sans" w:hAnsi="Google Sans"/>
          <w:color w:val="1f1f1f"/>
          <w:rtl w:val="0"/>
        </w:rPr>
        <w:t xml:space="preserve"> 達成地球化學平衡，而南部高負載水體因持續發酵，地球化學 Lag 可長達 </w:t>
      </w:r>
      <w:r w:rsidDel="00000000" w:rsidR="00000000" w:rsidRPr="00000000">
        <w:rPr>
          <w:rFonts w:ascii="Google Sans" w:cs="Google Sans" w:eastAsia="Google Sans" w:hAnsi="Google Sans"/>
          <w:b w:val="1"/>
          <w:bCs w:val="1"/>
          <w:color w:val="1f1f1f"/>
          <w:rtl w:val="0"/>
        </w:rPr>
        <w:t xml:space="preserve">14–21 days</w:t>
      </w:r>
      <w:r w:rsidDel="00000000" w:rsidR="00000000" w:rsidRPr="00000000">
        <w:rPr>
          <w:rFonts w:ascii="Google Sans" w:cs="Google Sans" w:eastAsia="Google Sans" w:hAnsi="Google Sans"/>
          <w:color w:val="1f1f1f"/>
          <w:rtl w:val="0"/>
        </w:rPr>
        <w:t xml:space="preserve"> 才能完全解除底棲毒理風險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冷氣團結束後的 Lag Effect</w:t>
      </w:r>
    </w:p>
    <w:p w:rsidR="00000000" w:rsidDel="00000000" w:rsidP="00000000" w:rsidRDefault="00000000" w:rsidRPr="00000000" w14:paraId="000001B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物理平衡 Lag：</w:t>
      </w:r>
      <w:r w:rsidDel="00000000" w:rsidR="00000000" w:rsidRPr="00000000">
        <w:rPr>
          <w:rFonts w:ascii="Google Sans" w:cs="Google Sans" w:eastAsia="Google Sans" w:hAnsi="Google Sans"/>
          <w:color w:val="1f1f1f"/>
          <w:rtl w:val="0"/>
        </w:rPr>
        <w:t xml:space="preserve"> 冷鋒過境後水溫回升速度受區域輻射量嚴格控制。北部迎風面（Zone-A）因春季或冬季雲雨帶持續遮蔽短波輻射，日均輻射接收量僅 8–11 MJ/m²，水溫回升遭遇 -2.0 至 -2.8 °C/週的物理遲滯，恢復至事件前水準需耗時 </w:t>
      </w:r>
      <w:r w:rsidDel="00000000" w:rsidR="00000000" w:rsidRPr="00000000">
        <w:rPr>
          <w:rFonts w:ascii="Google Sans" w:cs="Google Sans" w:eastAsia="Google Sans" w:hAnsi="Google Sans"/>
          <w:b w:val="1"/>
          <w:bCs w:val="1"/>
          <w:color w:val="1f1f1f"/>
          <w:rtl w:val="0"/>
        </w:rPr>
        <w:t xml:space="preserve">14–21 days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。南部背風面（Zone-C）日射量達 18–22 MJ/m²，無顯著遲滯效應，水溫以 1.0–1.5 °C/週快速回升，物理平衡 Lag 僅需 </w:t>
      </w:r>
      <w:r w:rsidDel="00000000" w:rsidR="00000000" w:rsidRPr="00000000">
        <w:rPr>
          <w:rFonts w:ascii="Google Sans" w:cs="Google Sans" w:eastAsia="Google Sans" w:hAnsi="Google Sans"/>
          <w:b w:val="1"/>
          <w:bCs w:val="1"/>
          <w:color w:val="1f1f1f"/>
          <w:rtl w:val="0"/>
        </w:rPr>
        <w:t xml:space="preserve">5–7 days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地球化學平衡 Lag：</w:t>
      </w:r>
      <w:r w:rsidDel="00000000" w:rsidR="00000000" w:rsidRPr="00000000">
        <w:rPr>
          <w:rFonts w:ascii="Google Sans" w:cs="Google Sans" w:eastAsia="Google Sans" w:hAnsi="Google Sans"/>
          <w:color w:val="1f1f1f"/>
          <w:rtl w:val="0"/>
        </w:rPr>
        <w:t xml:space="preserve"> 冷氣團若引發深水水庫（如水體 2、5）發生溫躍層翻轉（Turnover），會將底層積累的低溫、厭氧水體（Eh &lt; 0 mV）及還原態營養鹽翻攪至透光層。翻水事件結束後，水體透過光合作用產氧與大氣交換，使底泥表層 Eh 逆轉並恢復正常有氧條件（&gt;+200 mV）所需的時間，估算約耗時 </w:t>
      </w:r>
      <w:r w:rsidDel="00000000" w:rsidR="00000000" w:rsidRPr="00000000">
        <w:rPr>
          <w:rFonts w:ascii="Google Sans" w:cs="Google Sans" w:eastAsia="Google Sans" w:hAnsi="Google Sans"/>
          <w:b w:val="1"/>
          <w:bCs w:val="1"/>
          <w:color w:val="1f1f1f"/>
          <w:rtl w:val="0"/>
        </w:rPr>
        <w:t xml:space="preserve">10–15 days</w:t>
      </w:r>
      <w:r w:rsidDel="00000000" w:rsidR="00000000" w:rsidRPr="00000000">
        <w:rPr>
          <w:rFonts w:ascii="Google Sans" w:cs="Google Sans" w:eastAsia="Google Sans" w:hAnsi="Google Sans"/>
          <w:color w:val="1f1f1f"/>
          <w:rtl w:val="0"/>
        </w:rPr>
        <w:t xml:space="preserve">，此時間常數與南部水庫內部 TP 負載脈衝被重新吸附與消耗的週期高度吻合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補充三：Baseline_Facts（完整版）</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編號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事實描述，含量化數值/估算區間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來源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信心等級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北部春雨短波輻射遮蔽，削弱率達 55–65%，日均接收輻射量降至 8–11 MJ/m²。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0A-01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北部水體水溫回升遲滯，受雲層與降雨冷卻影響，升溫速率較理論軌跡延遲 -2.0 至 -2.8 °C/週。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0A-01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颱風極端強迫動量，最大持續風速達 25–40 m/s，水面承受風應力高達 1.5–2.5 N/m²。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0A-07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梅雨季潛在水量替換率，連續 5–8 天強降雨可使南部封閉水體單月水量替換率達 33.2–52.2%。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0A-06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南部旱季極端水分虧損，淨蒸發量達 80 mm/month，水深降至 0.8m 時引發水質 1.88 倍物理濃縮。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0B-09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水車停機溫度分層重建時間，夏季無風正午停機後，水體僅需 4–6 hr 即可重新建立穩固溫度分層。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0C-01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北部極育土體積熱容峰值，在含水飽和下高達 1.55–3.50 MJ/m³·°C，提供大於 72 hr 的降溫緩衝。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0B-11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南部砂質弱育土體積熱容，因孔隙含水率低僅 1.06–3.00 MJ/m³·°C，夏季日夜溫差擴大至 3.5–5.0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0B-12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溫躍層秋季翻轉物理門檻，需表層水溫驟降 2–4 °C 且伴隨東北季風風速大於 5 m/s 持續 48 hr 以上。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0C-06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北部宏觀絮體終端沉降速度，酸性環境下 1–2 mm 絮體沉降率達 3 cm/s (108 m/hr)，濁度於 48–72 hr 恢復。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0C-04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南部單一黏土微粒沉降速度，受極端 Zeta 電位排斥影響，沉降率僅 0.35 m/day，高濁度持續 14–30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0C-05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淺層水文傳導同位素遲滯，0.8m 深度受蒸發阻滯與植物根系干擾，地表溶質訊號遲滯期達 30–60 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0B-07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深層大孔隙優先流傳輸時間，1.5m 深度脫離蒸發主導區，化學溶質訊號僅需 7–14 天即可抵達。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0B-08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台灣南北環境基底 pH 分化，北部極育土常態分布於 4.5–5.5，南部弱育土穩定於 6.5–7.5。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0B-01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鹼性環境 Zeta 電位極端排斥閾值，南部 pH 7–8 時 Zeta 電位低於 -35 mV，pH 10 時深潛至 -42 至 -52 mV。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0B-04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微酸性環境 Zeta 電位絮凝帶，北部 pH 4.5–5.5 時 Zeta 電位介於 -15 至 -40 mV，誘發邊對面自發絮凝。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0B-03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北部底泥鐵還原與 Fe2+ 釋放門檻，水溫大於 20 °C 且微環境 Eh 跌破 0 mV 時觸發，還原速率 10–50 mmol/m²/day。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0B-14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南部硫酸鹽還原與 H2S 釋放門檻，高負載底泥 Eh 跌破 -150 mV 觸發，釋放速率達 19–281 mmol/m²/day。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0B-15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淺水微環境 H2S 極端累積濃度，夏季泛池條件下 0.8m 築巢區單日 H2S 累積濃度估算可飆升至 8.5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0C-08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[B0-20]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厭氧還原反應高溫放大係數，Q10 溫度係數為 2.08，夏季 30–35 °C 較春季 20 °C 反應速率呈 2–2.8 倍非線性倍增。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0B-16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bl>
    <w:p w:rsidR="00000000" w:rsidDel="00000000" w:rsidP="00000000" w:rsidRDefault="00000000" w:rsidRPr="00000000" w14:paraId="000002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2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0A1_台灣氣候forcing與區域差異研究.docx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33.png"/><Relationship Id="rId42" Type="http://schemas.openxmlformats.org/officeDocument/2006/relationships/image" Target="media/image3.png"/><Relationship Id="rId41"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image" Target="media/image38.png"/><Relationship Id="rId43" Type="http://schemas.openxmlformats.org/officeDocument/2006/relationships/image" Target="media/image10.png"/><Relationship Id="rId24" Type="http://schemas.openxmlformats.org/officeDocument/2006/relationships/image" Target="media/image34.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5.png"/><Relationship Id="rId25" Type="http://schemas.openxmlformats.org/officeDocument/2006/relationships/image" Target="media/image16.png"/><Relationship Id="rId28" Type="http://schemas.openxmlformats.org/officeDocument/2006/relationships/image" Target="media/image1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36.png"/><Relationship Id="rId11" Type="http://schemas.openxmlformats.org/officeDocument/2006/relationships/image" Target="media/image35.png"/><Relationship Id="rId33" Type="http://schemas.openxmlformats.org/officeDocument/2006/relationships/image" Target="media/image17.png"/><Relationship Id="rId10" Type="http://schemas.openxmlformats.org/officeDocument/2006/relationships/image" Target="media/image27.png"/><Relationship Id="rId32" Type="http://schemas.openxmlformats.org/officeDocument/2006/relationships/image" Target="media/image22.png"/><Relationship Id="rId13" Type="http://schemas.openxmlformats.org/officeDocument/2006/relationships/image" Target="media/image32.png"/><Relationship Id="rId35" Type="http://schemas.openxmlformats.org/officeDocument/2006/relationships/image" Target="media/image8.png"/><Relationship Id="rId12" Type="http://schemas.openxmlformats.org/officeDocument/2006/relationships/image" Target="media/image19.png"/><Relationship Id="rId34" Type="http://schemas.openxmlformats.org/officeDocument/2006/relationships/image" Target="media/image25.png"/><Relationship Id="rId15" Type="http://schemas.openxmlformats.org/officeDocument/2006/relationships/image" Target="media/image37.png"/><Relationship Id="rId37" Type="http://schemas.openxmlformats.org/officeDocument/2006/relationships/image" Target="media/image11.png"/><Relationship Id="rId14" Type="http://schemas.openxmlformats.org/officeDocument/2006/relationships/image" Target="media/image18.png"/><Relationship Id="rId36" Type="http://schemas.openxmlformats.org/officeDocument/2006/relationships/image" Target="media/image2.png"/><Relationship Id="rId17" Type="http://schemas.openxmlformats.org/officeDocument/2006/relationships/image" Target="media/image20.png"/><Relationship Id="rId39" Type="http://schemas.openxmlformats.org/officeDocument/2006/relationships/image" Target="media/image14.png"/><Relationship Id="rId16" Type="http://schemas.openxmlformats.org/officeDocument/2006/relationships/image" Target="media/image28.png"/><Relationship Id="rId38" Type="http://schemas.openxmlformats.org/officeDocument/2006/relationships/image" Target="media/image23.png"/><Relationship Id="rId19" Type="http://schemas.openxmlformats.org/officeDocument/2006/relationships/image" Target="media/image31.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