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台灣大嘴黑鱸釣魚環境生態白皮書：多尺度物理化學與神經行為學整合報告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緒論與多尺度物理化學耦合系統架構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在探討淡水生態系統的流體動力學、熱力學以及地球化學演化時，封閉與半封閉水體（如水庫、埤塘與管理池）的物理與化學狀態，受到大氣邊界條件（Atmospheric Forcing）與底層成土母質（Soil Parent Materials）的雙重且嚴格之制約。大嘴黑鱸（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）作為頂級視覺掠食者，其棲地適宜性、索餌效率與繁衍成功率，被此一無形的物理化學網絡所嚴密控制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報告旨在統整台灣本島北部與南部截然不同的氣候強迫機制與地質化學基底，建立涵蓋全台典型水體之標準化基底資料矩陣，並透過深度解析視覺處理極限、機械波感知網絡及內分泌應激機制，導出最具權威性的戰術預測模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台灣本島的氣候與地質空間分布呈現極端顯著的南北二元特徵。北部區域（包含無地形遮蔽的 Zone-A 迎風面與受局部地形屏障的 Zone-B 背風面）受冬季東北季風與春季鋒面強烈影響，年降水量高達 2500 至 3000 mm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。在極端豐沛的降水沖刷下，集水區母質歷經百萬年級的強烈風化與淋溶作用，發生顯著的「去矽作用」（Desilication），鹼性陽離子（如鈣、鎂、鉀、鈉）大量流失，形成微酸性（pH 4.5–5.5）之極育土（Ultisols）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。極育土的礦物相富含高嶺石與難溶的鐵鋁游離氧化物，其土壤特性賦予了北部水體獨特的膠體絮凝優勢與極高的熱緩衝容量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相對地，南部區域（Zone-C 背風面）位處中央山脈南段西側，具備極端的乾濕季分野，冬季完全處於乾燥之沉降區，面臨高達 80 mm/月的淨水分虧損與強烈蒸發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。其集水區底質主要源自板岩、頁岩與石灰岩的近代沖積物，地質學上歸類為新成土與弱育土（Entisols/Inceptisols）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。由於風化年代較短，這類土壤保留了大量原生矽酸鹽礦物（如伊利石與蒙脫石）及碳酸鈣，具備高鹽基飽和度與中性至微鹼性（pH 6.5–7.5）特徵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。此種微鹼性基底使得南部水域的懸浮微粒帶有極端的永久負電荷，徹底改變了暴雨後的濁度消散時間與光學能見度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深度耦合大氣物理學的動量與熱量傳遞（如颱風極端風應力、大氣壓降、冷氣團熱通量崩潰）、底質化學的膠體介面動力學，以及大嘴黑鱸的生理代謝與神經極限，本評估系統性地量化了水體在經歷極端氣候事件下的動態響應。這些分析不僅解構了鱸魚在面對溶氧崩潰與毒理學威脅時的棲位擠壓機制，更為後續之高壓誘咬戰術與棲地工程提供最具科學基礎的法定演算基底。</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核心神經行為學與生理代謝量化參數</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為了精確預測大嘴黑鱸在複雜流體環境中的行為，必須將環境變數與其神經解剖學、視覺光學及內分泌系統的物理極限進行映射。以下定義主導大嘴黑鱸決策與生存的絕對核心參數。</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視覺處理極限：CFF 頻率、空間解析度與 Follower Rejection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大嘴黑鱸的視覺威脅偵測與獵物攔截機制，在神經演化上高度依賴中腦的視頂蓋（Optic Tectum）與端腦的認知審查路徑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。在動態視覺中，臨界閃爍融合頻率（Critical Flicker Fusion, CFF）扮演著決定性角色。CFF 是指視覺系統將快速閃爍的光源或高頻對比度變化，誤認為連續平滑影像的最低物理頻率閾值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。真骨魚類的 CFF 閾值主要介於 30 至 60 Hz 之間，且其數值嚴格依賴於環境光照強度與水溫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。在照度下降的黃昏或高濁度水體中，光學傳遞從 DeVries-Rose 區間過渡至 Weber 區間，視網膜感光受體的整合時間拉長，導致 CFF 顯著下降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。當水下物體的閃爍頻率高於此閾值時，黑鱸會看到模糊的連續實體；反之，若釣手透過「Mid-Strolling」技術創造 10–20 Hz 的低頻對比脈衝，此頻率嚴格低於 30–60 Hz 的 CFF 閾值，視網膜便能清晰解析明暗交替，迫使視頂蓋進入「視覺催眠」（Visual Hypnosis）的持續追蹤狀態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然而，這種跟隨行為常被「Follower Rejection」（追隨拒絕）所中斷。此現象源於魚類眼球缺乏睫狀肌，對焦純粹依賴牽引肌（Retractor lentis muscle）物理性移動球形水晶體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。體長 43 cm 的大嘴黑鱸，其最短物理對焦距離（近點，Near point）約為 13.5 至 24 cm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。當黑鱸逼近假餌至 13.5 cm 以內時，影像在視網膜上不可避免地發生嚴重的「近場失焦」（Near-Field Defocus）。配合其極低的空間解析度（1.18–4.5 cpd），假餌邊緣高頻細節徹底模糊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。依據韋伯定律（Weber's Law），黑鱸需要約 5%（韋伯分數 0.05）的對比度梯度才能辨識物體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。近場失焦導致光子散射，若此時假餌停頓超過 60–100 ms（端腦認知決策的潛伏期），大腦將整合視覺崩潰與氣味缺失的特徵，瞬間發出煞車拒食指令，導致追隨拒絕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內分泌應激與生理重置：皮質醇門檻與 Alert Reset Time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在台灣高度商業化的休閒管理池中，大嘴黑鱸的群落結構被頻繁的「釣獲與釋放」（Catch-and-release, C&amp;R）行為深刻重塑。這種物理壓迫被轉化為強大的神經內分泌壓力，由下視丘-腦下垂體-間腎軸（HPI axis）分泌的皮質醇（Cortisol）主導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。在平靜無壓的自然水體中，黑鱸的基礎靜息血漿皮質醇濃度嚴密調控於 1.68 至 10.69 ng/mL（平均約 6.0 ng/mL）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。然而，C&amp;R 的急性創傷會瞬間啟動 HPI 軸，使血漿皮質醇在 15 到 30 分鐘內指數級飆升，突破 150 ng/mL 的大關，極端情況可達 300 ng/mL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這種急性皮質醇脈衝不僅調動肝醣原，更在端腦中充當神經調節劑，迅速鞏固對假餌負面特徵的情節記憶，驅動漁業誘發演化（FIE）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。皮質醇的代謝清除率（Metabolic Clearance Rate, MCR）極其緩慢，且受水溫（</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效應）的熱力學嚴格驅動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16–20°C 的適溫區間，黑鱸的血乳酸與葡萄糖水平約需 24 小時回落；但在 11–13°C 的冷水中，滲透壓與氯離子平衡的完全恢復需長達 72 小時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。這段由皮質醇主導的代謝紊亂期定義了黑鱸的「Alert Reset Time」（警報重置時間），其長度介於 24 至 72 小時之間，期間魚群處於絕對代謝休眠（Lockjaw）。若在高溫（&gt;30°C）且伴隨底棲缺氧（DO &lt; 2.0 mg/L）的環境下進行搏鬥，皮質醇的清除將受阻，Alert Reset Time 被無限延長，甚至引發延遲性酸中毒死亡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最佳覓食理論 (OFT) 與基礎代謝率 (MO2)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大嘴黑鱸作為機會主義掠食者，遵循最佳覓食理論（Optimal Foraging Theory, OFT）以最大化淨能量獲取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。透過流體生物力學與消化能量收支計算，黑鱸的數學最佳獵物長度嚴格落在其總長度（TL）的 22% 至 29% 之間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。超過 0.29 TL 的獵物會導致吞嚥時間延長，並使白肌中乳酸脫氫酶（LDH）的累積量飆升 20%，大幅增加無氧代謝成本與後續的消化遲鈍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環境溫度對黑鱸的標準代謝率（Standard Metabolic Rate, MO2）具有絕對控制力。實驗指出，當水溫由 20°C 攀升至 33°C 時，大嘴黑鱸的氧氣消耗率由 48.8 mg O2/kg/h 顯著增加至 69.4 mg O2/kg/h，其溫度商數（</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）介於 1.37 至 2.00 之間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。此外，臨界氧氣閾值（Pcrit）亦隨溫度變動，在 15°C 時 Pcrit 為 1.15 mg/L，但在 20°C 時微降至 1.12 mg/L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。當環境溶氧（DO）低於 4 mg/L 時，黑鱸會啟動行為學逃避並停止索餌；逼近 Pcrit 時則面臨急性失衡與窒息風險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機械波感知：側線響應、內耳聽石與聲學遮蔽</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在視覺受限的濁水或夜間環境中，大嘴黑鱸絕對依賴由側線系統與內耳聽石構成的機械感受器網絡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。側線系統的表淺神經丘（SNs）擔任低通濾波器，對流體絕對速度變化具備極端敏感度，響應範圍為 1 Hz 至 30 Hz，峰值靈敏度集中於 ~20 Hz（&lt;30 Hz）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。管狀神經丘（CNs）則對加速度與微小壓力梯度敏感，主導 30–100 Hz 以上的機械波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。側線的有效感知距離受近場擴散限制，通常小於 40–80 cm，但能精確偵測獵物游動留下的卡門渦街（Kármán vortex street），甚至在獵物通過 3 分鐘後仍能感測到殘留的流體位移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內耳聽石則作為生物加速度計，主導大於 80 cm 的遠場感知，頻率範圍為 100–600 Hz（峰值 100 Hz），最低粒子加速度閾值落在 30 至 40 dB re 1 μm/s² 之間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。然而，在現代養殖池或管理池中，常態運作的水車（Paddlewheel aerators）會產生巨大的聲學遮蔽效應（Acoustic Masking）。水車運轉產生的低頻噪音（25–1000 Hz）聲壓級高達 125 至 135 dB re 1 μPa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。這股強大的背景噪音完美覆蓋了黑鱸內耳與側線的感知頻帶，將其對細微獵物或假餌的聽覺探測半徑嚴重壓縮。</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四大極端情境之量化推演與系統響應</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情境一：南部夏季高溫與溶氧崩潰動力學</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在南部區域（Zone-C）的夏季，極端短波輻射與大氣熱通量迫使淺水體表面溫度飆升至 30–35.5°C。依據熱力學溶解度定律，30°C 純水的溶氧飽和極限僅 7.55 mg/L，35°C 時更被壓縮至 6.94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。在商業管理池中，水質因高有機負載與 80 mm/月的旱季蒸發濃縮而極度優養化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當提供混合動能的水車在無風正午非預期停機時，流體的湍流動能迅速耗散。受強烈輻射加熱，水體在短短 4 至 6 小時內即可重建極度穩固的溫度分層，表面與底層溫差可達 2.5–4.0°C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。物理分層的重建徹底切斷了大氣氧氣向下的擴散。同時，底泥中的異營微生物代謝受 </w:t>
      </w:r>
      <w:r w:rsidDel="00000000" w:rsidR="00000000" w:rsidRPr="00000000">
        <w:rPr>
          <w:rFonts w:ascii="Google Sans" w:cs="Google Sans" w:eastAsia="Google Sans" w:hAnsi="Google Sans"/>
          <w:color w:val="1f1f1f"/>
        </w:rPr>
        <w:drawing>
          <wp:inline distB="19050" distT="19050" distL="19050" distR="19050">
            <wp:extent cx="858143" cy="228838"/>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8143"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的溫度係數驅動，在 30–35°C 下耗氧速率呈 2–2.8 倍非線性倍增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。研究指出，夏季 1 公尺深池底的 24 小時耗氧量可達 1 至 3 mg/L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。水車停機超過 6 至 8 小時後，被隔離的底層微環境將徹底耗盡殘存溶氧，DO 急遽跌破 2.0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。【VSUP-B12 補充】重要：水車停機 ≥ 4 hr 後重新啟動時，底部累積之高濃度 H₂S 被對流湧浪短暫衝升，重啟後頭 1–2 hr 為 H₂S 危險帶最高點（暫升至水面下 30–50 cm），此窗口水底附近作釣風險最高。</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伴隨底層溶氧歸零，泥水介面的氧化還原電位（Eh）將毫無阻力地跌破 -150 mV，進入硫酸鹽還原帶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。硫酸鹽還原菌將開始以 19 至 281 mmol/m²/day 的極端速率釋放劇毒的硫化氫（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）氣體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0.8m 的淺水層內，單日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累積濃度可飆升至 8.5 mg/L，遠超大嘴黑鱸 96 小時 LC50 的致死閾值（0.02–0.05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。黑鱸面臨殘酷的「棲位擠壓」：為了逃避底層致死的缺氧與毒氣，被迫向上遷移；但表層水溫高達 34°C 引發熱緊迫與代謝率（MO2）狂飆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。魚群只能懸浮於極度狹窄的中段躍層帶，進入化學與熱力學雙重強迫的絕對「關機狀態」（Lockjaw），覓食行為徹底中止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情境二：北部冷水翻水期與 Zone-A/B 微觀地理分化</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 10 月中下旬起，大陸冷氣團頻繁南下，成為破壞冬季水體熱力學穩定的主要強迫力量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。在北部深水水庫中，夏季建立的穩固溫躍層（深度 3–5 m，溫度梯度 2–5°C/m）將面臨崩解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。流體動力學確立了「秋季翻轉」（Fall Turnover）的嚴格物理門檻：表層水溫驟降 2–4°C，伴隨風速大於 5 m/s 且持續吹拂 48 小時以上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。表層水體冷卻變重引發重力不穩定，造成強烈的對流混合，將底層積累了半年的低溫、厭氧水體及高濃度還原態物質（硫化氫、亞鐵離子）強迫翻攪至透光層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台灣北部的 Zone-A（如台北、宜蘭）與 Zone-B（桃竹苗區域）在此一氣候強迫下展現出截然不同的動態響應。Zone-A 缺乏地形保護，常態風速 3–6 m/s，翻水通常率先發生於 10 月中下旬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。而 Zone-B 受林口台地與雪山山脈的地形狹管效應影響，常態季風風速高達 6–10 m/s，這使得翻水觸發門檻（&gt;5 m/s）極易在任何冷鋒過境時達成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。這導致 Zone-B 的翻水頻次高達每年 2–4 次，每次翻水後需耗時 10–15 天方能恢復地球化學平衡，嚴重壓縮了 Zone-B 的冬季有效作釣期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此外，北部極育土富含三價鐵氧化物。當春末底層 Eh 跌破 0 mV 時，鐵還原菌會釋放高溶解度的亞鐵離子（</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），釋放率達 10–50 mmol/m²/day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接觸含氧表水時，會迅速氧化析出氫氧化鐵膠體，若濃度超過 0.35 mg/L 將導致鱸魚次級鰓絲機械性堵塞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。由於 Zone-B 春季短波輻射遮蔽率較低（25–35%），其水溫遲滯效應較小，使得 Zone-B 達到 22°C 熱力激活閾值的時間較 Zone-A 超前 12–18 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。這導致 Zone-B 底層 Eh &lt; 0 mV 的首次觸發時機落在 5 月下旬，較 Zone-A 提早約 3–4 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。因此，Zone-B 的底棲毒理危險期提前到來，迫使魚群提早離開底床。</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情境三：高壓舊魚常態期、Schreckstoff 死區與雙模態疊加</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在高壓管理池中，頻繁的 C&amp;R 行為不僅帶來皮質醇的急性飆升，更在長期選擇壓力下驅動了「漁業誘發演化」（Fisheries-Induced Evolution, FIE）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。經歷淘汰後存活的老魚（Low Vulnerability Fish, LVF）遺傳了高皮質醇反應性與極端的新恐懼症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。端腦的認知迴路被高度強化，傳統基於 OFT 的大體積假餌（接近 0.29 TL）極易被視覺皮層審查並拒絕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更致命的集體防禦機制源於「警報物質」（Schreckstoff）。當黑鱸被釣鉤刺穿，表皮巨大杵狀細胞破裂，釋放含次黃嘌呤-3-N-氧化物（H3NO）與軟骨素片段（5DS）的化學混合物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。在靜水管理池中，分子擴散與掙扎擾動產生半徑可達 2 至 8 公尺的半球狀污染區（面積達 201 m²）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。即使在 </w:t>
      </w:r>
      <w:r w:rsidDel="00000000" w:rsidR="00000000" w:rsidRPr="00000000">
        <w:rPr>
          <w:rFonts w:ascii="Google Sans" w:cs="Google Sans" w:eastAsia="Google Sans" w:hAnsi="Google Sans"/>
          <w:color w:val="1f1f1f"/>
        </w:rPr>
        <w:drawing>
          <wp:inline distB="19050" distT="19050" distL="19050" distR="19050">
            <wp:extent cx="423267" cy="221253"/>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3267" cy="221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的極端稀釋度下，5DS 片段仍能突破嗅覺閾值，觸發 Mauthner 細胞引發區域內同類的絕對凍結（Freezing）與集體拒食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。此「死區」（Dead-zone）的消除依賴微生物降解，在夏季高溫（25–30°C）且具備高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代謝率的環境下，化學半衰期約為數小時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對付此類高壓舊魚，必須繞過皮層認知，直接劫持中腦與後腦的神經反射。透過 Mid-Strolling 技巧，釣手使假餌以 0.5–1.0 m/s 慢速推進並伴隨 2–5 Hz 滾動，產生 10–20 Hz 的視覺對比脈衝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。此頻率嚴格低於魚類 30–60 Hz 的 CFF 閾值，避免了視覺殘影，成功催眠視頂蓋表層抑制性神經元（SINs）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。同時，假餌在流體中產生 1–30 Hz 的卡門渦街，完美覆蓋側線表淺神經丘（SNs）1–30 Hz（峰值 ~20 Hz） 的峰值靈敏度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。視覺與機械波在近場（&lt;80 cm）發生跨模態疊加（Cross-modal Superposition），創造出強大的「瀕死獵物」錯覺，迫使舊魚在無戒心的狀態下發動攻擊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情境四：颱風過境之氣壓強迫與 Stokes' Law 濁度消散</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月至 9 月的颱風季節帶來極端的天氣強迫。颱風前緣伴隨劇烈的大氣壓力驟降。當氣壓由 1013 hPa 驟降至 960 hPa（降幅 53 hPa）時，波以耳-馬略特定律迫使閉鰾類黑鱸的魚鰾發生被動膨脹（約 2.27 cm³）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。為了在缺乏生化排氣補償的情況下維持中性浮力，黑鱸必須強制垂直下潛 53 cm 以抵消壓力差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。在水深僅 1.5–2.0 m 的管理池中，這種強制下潛將魚逼入缺氧且富含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的底泥邊界層。鱸魚需依靠胸鰭持續逆向撥水，消耗高達 137 W/kg 的軸上肌功率來對抗正浮力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。這導致嚴重的乳酸堆積與代謝疲勞，瞬間切斷覓食驅力，引發持續 24–72 小時的颱風性絕對 Lockjaw。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此外，大氣壓力的驟降（Pressure Drop）會破壞底泥中甲烷（</w:t>
      </w:r>
      <w:r w:rsidDel="00000000" w:rsidR="00000000" w:rsidRPr="00000000">
        <w:rPr>
          <w:rFonts w:ascii="Google Sans" w:cs="Google Sans" w:eastAsia="Google Sans" w:hAnsi="Google Sans"/>
          <w:color w:val="1f1f1f"/>
        </w:rPr>
        <w:drawing>
          <wp:inline distB="19050" distT="19050" distL="19050" distR="19050">
            <wp:extent cx="371922" cy="228875"/>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）與硫化氫氣泡的靜水壓力平衡，觸發黏彈性斷裂機制（Viscoelastic-fracture mechanism），引發強烈的氣體冒泡（Ebullition）事件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。這些底泥氣泡的上湧進一步將毒性物質帶入水柱中。</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暴雨過後的濁度消散速度，完全受控於南北地質的微觀膠體化學。</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北部極育土水域（pH 4.5–5.5）：</w:t>
      </w:r>
      <w:r w:rsidDel="00000000" w:rsidR="00000000" w:rsidRPr="00000000">
        <w:rPr>
          <w:rFonts w:ascii="Google Sans" w:cs="Google Sans" w:eastAsia="Google Sans" w:hAnsi="Google Sans"/>
          <w:color w:val="1f1f1f"/>
          <w:rtl w:val="0"/>
        </w:rPr>
        <w:t xml:space="preserve"> 高嶺石的零電荷點接近環境 pH 值，顆粒邊緣質子化帶正電，底面帶負電。Zeta 電位落於 -15 至 -40 mV 的熱力學不穩定帶，引發強烈的高分子架橋與邊對面絮凝作用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。形成直徑達 1 mm 的宏觀絮體後，依據斯托克斯定律（Stokes' Law），沉降速度與直徑的平方成正比。直徑放大帶來的非線性加速使得終端沉降速度高達 3 cm/s（108 m/hr）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。因此，北部水域在極端濁度干擾後，能見度可在短短 48 至 72 小時內恢復至基準線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南部新成土水域（pH 6.5–7.5）：</w:t>
      </w:r>
      <w:r w:rsidDel="00000000" w:rsidR="00000000" w:rsidRPr="00000000">
        <w:rPr>
          <w:rFonts w:ascii="Google Sans" w:cs="Google Sans" w:eastAsia="Google Sans" w:hAnsi="Google Sans"/>
          <w:color w:val="1f1f1f"/>
          <w:rtl w:val="0"/>
        </w:rPr>
        <w:t xml:space="preserve"> 伊利石與蒙脫石的同晶替代作用使其表面帶有極高密度的永久負電荷。在微鹼性環境下，Zeta 電位深潛至 -42 至 -52 mV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。強大的擴散雙電層（DDL）產生難以克服的靜電排斥能障，微米級黏土顆粒無法絮凝。代入斯托克斯定律，其終端沉降速度極度緩慢，僅約 0.35 m/day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。南部水域的濁度恢復耗時長達 14 至 30 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。在漫長的光學遮蔽期內，韋伯對比度（5%）崩潰，黑鱸被迫徹底放棄視覺狩獵，轉為依賴側線感知的低效盲索模式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Inherited_Baseline 最終輸出區塊</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本區塊萃取並彙整四大極端情境與神經行為學所需之硬性邊界條件。對於部分受環境波動影響或未在單一文獻完全固定之參數，提供基於流體力學與生理學模型之 Fallback (預設保守) 估算。</w:t>
      </w:r>
    </w:p>
    <w:p>
      <w:r>
        <w:t xml:space="preserve">【繼承基準值彙整】以下為本卷 25 條戰術守則所依賴的量化基準，均來自上游已確認文件：
[B0-22]（0D1）：Zone-B Eh&lt;0mV 首觸 = 5月下旬；Zone-A = 6月中旬，提前 3–4 週。
[V1B-05]（1B1）：北部極育土水體 Fe²⁺ 垂直安全距離 = 40 cm（Fick 穩態模型精算，Zone-A/B）。信心：高。
[V1B-06]（1B1）：南部弱育土水體 H₂S 安全距離：靜水停機 = 55–65 cm；微弱流場 = ≥86 cm；水車正常擾動 = 120–160 cm；重啟瞬態（停機≥4 hr 後頭 1–2 hr）H₂S 湧升至水面下 30–50 cm。信心：高。
[VSUP-A04]（SUP-A）：Alert Reset Time 完整溫度矩陣（Q₁₀=2.0，錨點 20°C=24.0 hr）：10°C=48.0 hr；15°C=33.9 hr；20°C=24.0 hr；22°C=20.9 hr；25°C=17.0 hr；30°C=12.0 hr；35°C=8.5 hr。&gt;30°C + DO&lt;2.0 mg/L 時模型失效（肝臟細胞色素鏈受損）。
[VSUP-B11]（SUP-B）：Zone-C（南部弱育土水體）Schreckstoff 有效死區半徑 4–7 m（CDOM 錯合延長留存），警報熱點持續 12–36 hr。Zone-A/B（北部極育土，pH&lt;5.5）：H3NO 酸水解，有效半徑 &lt; 0.5 m，可忽略。信心：低（理論外推）。
[VSUP-B12]（SUP-B）：H₂S 危險帶在水車停機後重啟對比：靜水=55–65 cm；微弱流場=86 cm；輕度擾動=120–160 cm；停機≥4 hr 後重啟頭 1–2 hr 瞬態湧升至水面下 30–50 cm。信心：中。
[V3A-06]（3A）：LVF 慢性皮質醇基線上移至 ≥30 ng/mL；ART 分叉門檻 ≥30 ng/mL；C&amp;R 急性峰值 &gt;150 ng/mL（劇烈個體 200–300+ ng/mL）。
[V2B-02]（2B）：側線表淺神經丘（SNs）峰值靈敏度 ~20 Hz，頻響上限 &lt;30 Hz；管狀神經丘（CNs）響應 30–200 Hz。</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參數代碼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變數維度與物理/化學意義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法定量化基準與文獻引用值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Fallback 保守估算與邊界設定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CFF-01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臨界閃爍融合頻率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真骨魚視覺時間解析度閾值：</w:t>
            </w:r>
            <w:r w:rsidDel="00000000" w:rsidR="00000000" w:rsidRPr="00000000">
              <w:rPr>
                <w:rFonts w:ascii="Google Sans" w:cs="Google Sans" w:eastAsia="Google Sans" w:hAnsi="Google Sans"/>
                <w:b w:val="1"/>
                <w:bCs w:val="1"/>
                <w:color w:val="1f1f1f"/>
                <w:shd w:fill="auto" w:val="clear"/>
                <w:rtl w:val="0"/>
              </w:rPr>
              <w:t xml:space="preserve">30–60 Hz</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於夏季高溫 (35°C) 缺乏實測數據時，強制保守取下限 </w:t>
            </w:r>
            <w:r w:rsidDel="00000000" w:rsidR="00000000" w:rsidRPr="00000000">
              <w:rPr>
                <w:rFonts w:ascii="Google Sans" w:cs="Google Sans" w:eastAsia="Google Sans" w:hAnsi="Google Sans"/>
                <w:b w:val="1"/>
                <w:bCs w:val="1"/>
                <w:color w:val="1f1f1f"/>
                <w:shd w:fill="auto" w:val="clear"/>
                <w:rtl w:val="0"/>
              </w:rPr>
              <w:t xml:space="preserve">30 Hz</w:t>
            </w:r>
            <w:r w:rsidDel="00000000" w:rsidR="00000000" w:rsidRPr="00000000">
              <w:rPr>
                <w:rFonts w:ascii="Google Sans" w:cs="Google Sans" w:eastAsia="Google Sans" w:hAnsi="Google Sans"/>
                <w:color w:val="1f1f1f"/>
                <w:shd w:fill="auto" w:val="clear"/>
                <w:rtl w:val="0"/>
              </w:rPr>
              <w:t xml:space="preserve"> 作為 Mid-Strolling 閃爍上限防護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Follower Rejection 空間極限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物理近場散焦距離：水晶體近點 </w:t>
            </w:r>
            <w:r w:rsidDel="00000000" w:rsidR="00000000" w:rsidRPr="00000000">
              <w:rPr>
                <w:rFonts w:ascii="Google Sans" w:cs="Google Sans" w:eastAsia="Google Sans" w:hAnsi="Google Sans"/>
                <w:b w:val="1"/>
                <w:bCs w:val="1"/>
                <w:color w:val="1f1f1f"/>
                <w:shd w:fill="auto" w:val="clear"/>
                <w:rtl w:val="0"/>
              </w:rPr>
              <w:t xml:space="preserve">13.5–24 cm</w:t>
            </w:r>
            <w:r w:rsidDel="00000000" w:rsidR="00000000" w:rsidRPr="00000000">
              <w:rPr>
                <w:rFonts w:ascii="Google Sans" w:cs="Google Sans" w:eastAsia="Google Sans" w:hAnsi="Google Sans"/>
                <w:color w:val="1f1f1f"/>
                <w:shd w:fill="auto" w:val="clear"/>
                <w:rtl w:val="0"/>
              </w:rPr>
              <w:t xml:space="preserve">；視覺解析度 1.18–4.5 cpd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假餌進入 </w:t>
            </w:r>
            <w:r w:rsidDel="00000000" w:rsidR="00000000" w:rsidRPr="00000000">
              <w:rPr>
                <w:rFonts w:ascii="Google Sans" w:cs="Google Sans" w:eastAsia="Google Sans" w:hAnsi="Google Sans"/>
                <w:b w:val="1"/>
                <w:bCs w:val="1"/>
                <w:color w:val="1f1f1f"/>
                <w:shd w:fill="auto" w:val="clear"/>
                <w:rtl w:val="0"/>
              </w:rPr>
              <w:t xml:space="preserve">15 cm</w:t>
            </w:r>
            <w:r w:rsidDel="00000000" w:rsidR="00000000" w:rsidRPr="00000000">
              <w:rPr>
                <w:rFonts w:ascii="Google Sans" w:cs="Google Sans" w:eastAsia="Google Sans" w:hAnsi="Google Sans"/>
                <w:color w:val="1f1f1f"/>
                <w:shd w:fill="auto" w:val="clear"/>
                <w:rtl w:val="0"/>
              </w:rPr>
              <w:t xml:space="preserve"> 半徑內，視為影像絕對崩潰區，韋伯對比度失效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Follower Rejection 決策窗口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端腦認知潛伏期與煞車指令：假餌停頓 </w:t>
            </w:r>
            <w:r w:rsidDel="00000000" w:rsidR="00000000" w:rsidRPr="00000000">
              <w:rPr>
                <w:rFonts w:ascii="Google Sans" w:cs="Google Sans" w:eastAsia="Google Sans" w:hAnsi="Google Sans"/>
                <w:b w:val="1"/>
                <w:bCs w:val="1"/>
                <w:color w:val="1f1f1f"/>
                <w:shd w:fill="auto" w:val="clear"/>
                <w:rtl w:val="0"/>
              </w:rPr>
              <w:t xml:space="preserve">60–100+ ms</w:t>
            </w:r>
            <w:r w:rsidDel="00000000" w:rsidR="00000000" w:rsidRPr="00000000">
              <w:rPr>
                <w:rFonts w:ascii="Google Sans" w:cs="Google Sans" w:eastAsia="Google Sans" w:hAnsi="Google Sans"/>
                <w:color w:val="1f1f1f"/>
                <w:shd w:fill="auto" w:val="clear"/>
                <w:rtl w:val="0"/>
              </w:rPr>
              <w:t xml:space="preserve"> 觸發拒咬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若受邊界層水動力擠壓，決策窗口強制壓縮至 </w:t>
            </w:r>
            <w:r w:rsidDel="00000000" w:rsidR="00000000" w:rsidRPr="00000000">
              <w:rPr>
                <w:rFonts w:ascii="Google Sans" w:cs="Google Sans" w:eastAsia="Google Sans" w:hAnsi="Google Sans"/>
                <w:b w:val="1"/>
                <w:bCs w:val="1"/>
                <w:color w:val="1f1f1f"/>
                <w:shd w:fill="auto" w:val="clear"/>
                <w:rtl w:val="0"/>
              </w:rPr>
              <w:t xml:space="preserve">60–70 ms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 Reset Time (警覺重置)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皮質醇清除驅動，適溫 (16-20°C) </w:t>
            </w:r>
            <w:r w:rsidDel="00000000" w:rsidR="00000000" w:rsidRPr="00000000">
              <w:rPr>
                <w:rFonts w:ascii="Google Sans" w:cs="Google Sans" w:eastAsia="Google Sans" w:hAnsi="Google Sans"/>
                <w:b w:val="1"/>
                <w:bCs w:val="1"/>
                <w:color w:val="1f1f1f"/>
                <w:shd w:fill="auto" w:val="clear"/>
                <w:rtl w:val="0"/>
              </w:rPr>
              <w:t xml:space="preserve">24 hr</w:t>
            </w:r>
            <w:r w:rsidDel="00000000" w:rsidR="00000000" w:rsidRPr="00000000">
              <w:rPr>
                <w:rFonts w:ascii="Google Sans" w:cs="Google Sans" w:eastAsia="Google Sans" w:hAnsi="Google Sans"/>
                <w:color w:val="1f1f1f"/>
                <w:shd w:fill="auto" w:val="clear"/>
                <w:rtl w:val="0"/>
              </w:rPr>
              <w:t xml:space="preserve">；冷水 (11-13°C) 滲透壓恢復需 </w:t>
            </w:r>
            <w:r w:rsidDel="00000000" w:rsidR="00000000" w:rsidRPr="00000000">
              <w:rPr>
                <w:rFonts w:ascii="Google Sans" w:cs="Google Sans" w:eastAsia="Google Sans" w:hAnsi="Google Sans"/>
                <w:b w:val="1"/>
                <w:bCs w:val="1"/>
                <w:color w:val="1f1f1f"/>
                <w:shd w:fill="auto" w:val="clear"/>
                <w:rtl w:val="0"/>
              </w:rPr>
              <w:t xml:space="preserve">72 hr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於夏季南部底棲缺氧 (DO&lt;2.0) 環境中，假設重置時間為</w:t>
            </w:r>
            <w:r w:rsidDel="00000000" w:rsidR="00000000" w:rsidRPr="00000000">
              <w:rPr>
                <w:rFonts w:ascii="Google Sans" w:cs="Google Sans" w:eastAsia="Google Sans" w:hAnsi="Google Sans"/>
                <w:b w:val="1"/>
                <w:bCs w:val="1"/>
                <w:color w:val="1f1f1f"/>
                <w:shd w:fill="auto" w:val="clear"/>
                <w:rtl w:val="0"/>
              </w:rPr>
              <w:t xml:space="preserve">無限大 (延遲性死亡)</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皮質醇門檻 (ng/mL)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靜息基線 </w:t>
            </w:r>
            <w:r w:rsidDel="00000000" w:rsidR="00000000" w:rsidRPr="00000000">
              <w:rPr>
                <w:rFonts w:ascii="Google Sans" w:cs="Google Sans" w:eastAsia="Google Sans" w:hAnsi="Google Sans"/>
                <w:b w:val="1"/>
                <w:bCs w:val="1"/>
                <w:color w:val="1f1f1f"/>
                <w:shd w:fill="auto" w:val="clear"/>
                <w:rtl w:val="0"/>
              </w:rPr>
              <w:t xml:space="preserve">1.68–10.69 ng/mL</w:t>
            </w:r>
            <w:r w:rsidDel="00000000" w:rsidR="00000000" w:rsidRPr="00000000">
              <w:rPr>
                <w:rFonts w:ascii="Google Sans" w:cs="Google Sans" w:eastAsia="Google Sans" w:hAnsi="Google Sans"/>
                <w:color w:val="1f1f1f"/>
                <w:shd w:fill="auto" w:val="clear"/>
                <w:rtl w:val="0"/>
              </w:rPr>
              <w:t xml:space="preserve">；急性創傷峰值 </w:t>
            </w:r>
            <w:r w:rsidDel="00000000" w:rsidR="00000000" w:rsidRPr="00000000">
              <w:rPr>
                <w:rFonts w:ascii="Google Sans" w:cs="Google Sans" w:eastAsia="Google Sans" w:hAnsi="Google Sans"/>
                <w:b w:val="1"/>
                <w:bCs w:val="1"/>
                <w:color w:val="1f1f1f"/>
                <w:shd w:fill="auto" w:val="clear"/>
                <w:rtl w:val="0"/>
              </w:rPr>
              <w:t xml:space="preserve">&gt;150 ng/mL</w:t>
            </w:r>
            <w:r w:rsidDel="00000000" w:rsidR="00000000" w:rsidRPr="00000000">
              <w:rPr>
                <w:rFonts w:ascii="Google Sans" w:cs="Google Sans" w:eastAsia="Google Sans" w:hAnsi="Google Sans"/>
                <w:color w:val="1f1f1f"/>
                <w:shd w:fill="auto" w:val="clear"/>
                <w:rtl w:val="0"/>
              </w:rPr>
              <w:t xml:space="preserve"> (極端達 300+)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 適應之高壓舊魚，基礎皮質醇保守假設維持在 </w:t>
            </w:r>
            <w:r w:rsidDel="00000000" w:rsidR="00000000" w:rsidRPr="00000000">
              <w:rPr>
                <w:rFonts w:ascii="Google Sans" w:cs="Google Sans" w:eastAsia="Google Sans" w:hAnsi="Google Sans"/>
                <w:b w:val="1"/>
                <w:bCs w:val="1"/>
                <w:color w:val="1f1f1f"/>
                <w:shd w:fill="auto" w:val="clear"/>
                <w:rtl w:val="0"/>
              </w:rPr>
              <w:t xml:space="preserve">≥30 ng/mL</w:t>
            </w:r>
            <w:r w:rsidDel="00000000" w:rsidR="00000000" w:rsidRPr="00000000">
              <w:rPr>
                <w:rFonts w:ascii="Google Sans" w:cs="Google Sans" w:eastAsia="Google Sans" w:hAnsi="Google Sans"/>
                <w:color w:val="1f1f1f"/>
                <w:shd w:fill="auto" w:val="clear"/>
                <w:rtl w:val="0"/>
              </w:rPr>
              <w:t xml:space="preserve"> 的慢性應激狀態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Zeta 電位與南北濁度恢復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北部極育土 (絮凝)：</w:t>
            </w:r>
            <w:r w:rsidDel="00000000" w:rsidR="00000000" w:rsidRPr="00000000">
              <w:rPr>
                <w:rFonts w:ascii="Google Sans" w:cs="Google Sans" w:eastAsia="Google Sans" w:hAnsi="Google Sans"/>
                <w:b w:val="1"/>
                <w:bCs w:val="1"/>
                <w:color w:val="1f1f1f"/>
                <w:shd w:fill="auto" w:val="clear"/>
                <w:rtl w:val="0"/>
              </w:rPr>
              <w:t xml:space="preserve">-15 至 -40 mV</w:t>
            </w:r>
            <w:r w:rsidDel="00000000" w:rsidR="00000000" w:rsidRPr="00000000">
              <w:rPr>
                <w:rFonts w:ascii="Google Sans" w:cs="Google Sans" w:eastAsia="Google Sans" w:hAnsi="Google Sans"/>
                <w:color w:val="1f1f1f"/>
                <w:shd w:fill="auto" w:val="clear"/>
                <w:rtl w:val="0"/>
              </w:rPr>
              <w:t xml:space="preserve"> (沉降 3 cm/s，48-72h 恢復)；南部新成土 (相斥)：</w:t>
            </w:r>
            <w:r w:rsidDel="00000000" w:rsidR="00000000" w:rsidRPr="00000000">
              <w:rPr>
                <w:rFonts w:ascii="Google Sans" w:cs="Google Sans" w:eastAsia="Google Sans" w:hAnsi="Google Sans"/>
                <w:b w:val="1"/>
                <w:bCs w:val="1"/>
                <w:color w:val="1f1f1f"/>
                <w:shd w:fill="auto" w:val="clear"/>
                <w:rtl w:val="0"/>
              </w:rPr>
              <w:t xml:space="preserve">-42 至 -52 mV</w:t>
            </w:r>
            <w:r w:rsidDel="00000000" w:rsidR="00000000" w:rsidRPr="00000000">
              <w:rPr>
                <w:rFonts w:ascii="Google Sans" w:cs="Google Sans" w:eastAsia="Google Sans" w:hAnsi="Google Sans"/>
                <w:color w:val="1f1f1f"/>
                <w:shd w:fill="auto" w:val="clear"/>
                <w:rtl w:val="0"/>
              </w:rPr>
              <w:t xml:space="preserve"> (沉降 0.35 m/day，14-30d 恢復)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計算颱風過境光學衰減時，南部一律套用 30 天之最大光學遮蔽期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氧化還原 (Eh) 與毒理學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 </w:t>
            </w:r>
            <w:r w:rsidDel="00000000" w:rsidR="00000000" w:rsidRPr="00000000">
              <w:rPr>
                <w:rFonts w:ascii="Google Sans" w:cs="Google Sans" w:eastAsia="Google Sans" w:hAnsi="Google Sans"/>
                <w:color w:val="1f1f1f"/>
                <w:shd w:fill="auto" w:val="clear"/>
              </w:rPr>
              <w:drawing>
                <wp:inline distB="19050" distT="19050" distL="19050" distR="19050">
                  <wp:extent cx="404366" cy="231066"/>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釋放閾值 </w:t>
            </w:r>
            <w:r w:rsidDel="00000000" w:rsidR="00000000" w:rsidRPr="00000000">
              <w:rPr>
                <w:rFonts w:ascii="Google Sans" w:cs="Google Sans" w:eastAsia="Google Sans" w:hAnsi="Google Sans"/>
                <w:b w:val="1"/>
                <w:bCs w:val="1"/>
                <w:color w:val="1f1f1f"/>
                <w:shd w:fill="auto" w:val="clear"/>
                <w:rtl w:val="0"/>
              </w:rPr>
              <w:t xml:space="preserve">Eh &lt; 0 mV</w:t>
            </w:r>
            <w:r w:rsidDel="00000000" w:rsidR="00000000" w:rsidRPr="00000000">
              <w:rPr>
                <w:rFonts w:ascii="Google Sans" w:cs="Google Sans" w:eastAsia="Google Sans" w:hAnsi="Google Sans"/>
                <w:color w:val="1f1f1f"/>
                <w:shd w:fill="auto" w:val="clear"/>
                <w:rtl w:val="0"/>
              </w:rPr>
              <w:t xml:space="preserve">；南部 </w:t>
            </w:r>
            <w:r w:rsidDel="00000000" w:rsidR="00000000" w:rsidRPr="00000000">
              <w:rPr>
                <w:rFonts w:ascii="Google Sans" w:cs="Google Sans" w:eastAsia="Google Sans" w:hAnsi="Google Sans"/>
                <w:color w:val="1f1f1f"/>
                <w:shd w:fill="auto" w:val="clear"/>
              </w:rPr>
              <w:drawing>
                <wp:inline distB="19050" distT="19050" distL="19050" distR="19050">
                  <wp:extent cx="350639" cy="227442"/>
                  <wp:effectExtent b="0" l="0" r="0" t="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釋放閾值 </w:t>
            </w:r>
            <w:r w:rsidDel="00000000" w:rsidR="00000000" w:rsidRPr="00000000">
              <w:rPr>
                <w:rFonts w:ascii="Google Sans" w:cs="Google Sans" w:eastAsia="Google Sans" w:hAnsi="Google Sans"/>
                <w:b w:val="1"/>
                <w:bCs w:val="1"/>
                <w:color w:val="1f1f1f"/>
                <w:shd w:fill="auto" w:val="clear"/>
                <w:rtl w:val="0"/>
              </w:rPr>
              <w:t xml:space="preserve">Eh &lt; -150 mV</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只要 DO 探底 &lt;2.0 mg/L，強制假設南部微環境已跌破 -150 mV，啟動毒氣行為迴避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OFT-01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最佳覓食理論與反射速度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最佳獵物尺寸 </w:t>
            </w:r>
            <w:r w:rsidDel="00000000" w:rsidR="00000000" w:rsidRPr="00000000">
              <w:rPr>
                <w:rFonts w:ascii="Google Sans" w:cs="Google Sans" w:eastAsia="Google Sans" w:hAnsi="Google Sans"/>
                <w:b w:val="1"/>
                <w:bCs w:val="1"/>
                <w:color w:val="1f1f1f"/>
                <w:shd w:fill="auto" w:val="clear"/>
                <w:rtl w:val="0"/>
              </w:rPr>
              <w:t xml:space="preserve">22–29% TL</w:t>
            </w:r>
            <w:r w:rsidDel="00000000" w:rsidR="00000000" w:rsidRPr="00000000">
              <w:rPr>
                <w:rFonts w:ascii="Google Sans" w:cs="Google Sans" w:eastAsia="Google Sans" w:hAnsi="Google Sans"/>
                <w:color w:val="1f1f1f"/>
                <w:shd w:fill="auto" w:val="clear"/>
                <w:rtl w:val="0"/>
              </w:rPr>
              <w:t xml:space="preserve">；視頂蓋反射咬餌 (Reaction Strike) 線性觸發速度 </w:t>
            </w:r>
            <w:r w:rsidDel="00000000" w:rsidR="00000000" w:rsidRPr="00000000">
              <w:rPr>
                <w:rFonts w:ascii="Google Sans" w:cs="Google Sans" w:eastAsia="Google Sans" w:hAnsi="Google Sans"/>
                <w:b w:val="1"/>
                <w:bCs w:val="1"/>
                <w:color w:val="1f1f1f"/>
                <w:shd w:fill="auto" w:val="clear"/>
                <w:rtl w:val="0"/>
              </w:rPr>
              <w:t xml:space="preserve">1.5–1.8 m/s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若獵物大於 0.30 TL，強迫施加 LDH 代謝懲罰，淨能量獲取率 (NPP) 呈負值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側線神經丘頻率響應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表淺神經丘 (SNs) 響應 </w:t>
            </w:r>
            <w:r w:rsidDel="00000000" w:rsidR="00000000" w:rsidRPr="00000000">
              <w:rPr>
                <w:rFonts w:ascii="Google Sans" w:cs="Google Sans" w:eastAsia="Google Sans" w:hAnsi="Google Sans"/>
                <w:b w:val="1"/>
                <w:bCs w:val="1"/>
                <w:color w:val="1f1f1f"/>
                <w:shd w:fill="auto" w:val="clear"/>
                <w:rtl w:val="0"/>
              </w:rPr>
              <w:t xml:space="preserve">1–30 Hz</w:t>
            </w:r>
            <w:r w:rsidDel="00000000" w:rsidR="00000000" w:rsidRPr="00000000">
              <w:rPr>
                <w:rFonts w:ascii="Google Sans" w:cs="Google Sans" w:eastAsia="Google Sans" w:hAnsi="Google Sans"/>
                <w:color w:val="1f1f1f"/>
                <w:shd w:fill="auto" w:val="clear"/>
                <w:rtl w:val="0"/>
              </w:rPr>
              <w:t xml:space="preserve"> (峰值 20-50 Hz)；粒子加速度閾值 </w:t>
            </w:r>
            <w:r w:rsidDel="00000000" w:rsidR="00000000" w:rsidRPr="00000000">
              <w:rPr>
                <w:rFonts w:ascii="Google Sans" w:cs="Google Sans" w:eastAsia="Google Sans" w:hAnsi="Google Sans"/>
                <w:b w:val="1"/>
                <w:bCs w:val="1"/>
                <w:color w:val="1f1f1f"/>
                <w:shd w:fill="auto" w:val="clear"/>
                <w:rtl w:val="0"/>
              </w:rPr>
              <w:t xml:space="preserve">30–40 dB re 1 μm/s²</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流場位移加速度小於 </w:t>
            </w:r>
            <w:r w:rsidDel="00000000" w:rsidR="00000000" w:rsidRPr="00000000">
              <w:rPr>
                <w:rFonts w:ascii="Google Sans" w:cs="Google Sans" w:eastAsia="Google Sans" w:hAnsi="Google Sans"/>
                <w:color w:val="1f1f1f"/>
                <w:shd w:fill="auto" w:val="clear"/>
              </w:rPr>
              <w:drawing>
                <wp:inline distB="19050" distT="19050" distL="19050" distR="19050">
                  <wp:extent cx="1181843" cy="200151"/>
                  <wp:effectExtent b="0" l="0" r="0" t="0"/>
                  <wp:docPr id="2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181843" cy="2001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視為對側線無效之水動力訊號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Zone-B 春季熱力平移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桃竹苗背風面短波輻射遮蔽率較低，達到 22°C 激活閾值之時機較 Zone-A </w:t>
            </w:r>
            <w:r w:rsidDel="00000000" w:rsidR="00000000" w:rsidRPr="00000000">
              <w:rPr>
                <w:rFonts w:ascii="Google Sans" w:cs="Google Sans" w:eastAsia="Google Sans" w:hAnsi="Google Sans"/>
                <w:b w:val="1"/>
                <w:bCs w:val="1"/>
                <w:color w:val="1f1f1f"/>
                <w:shd w:fill="auto" w:val="clear"/>
                <w:rtl w:val="0"/>
              </w:rPr>
              <w:t xml:space="preserve">超前 12–18 天</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設定 Zone-B 之春季 Lockjaw 解除與 </w:t>
            </w:r>
            <w:r w:rsidDel="00000000" w:rsidR="00000000" w:rsidRPr="00000000">
              <w:rPr>
                <w:rFonts w:ascii="Google Sans" w:cs="Google Sans" w:eastAsia="Google Sans" w:hAnsi="Google Sans"/>
                <w:color w:val="1f1f1f"/>
                <w:shd w:fill="auto" w:val="clear"/>
              </w:rPr>
              <w:drawing>
                <wp:inline distB="19050" distT="19050" distL="19050" distR="19050">
                  <wp:extent cx="404366" cy="231066"/>
                  <wp:effectExtent b="0" l="0" r="0" t="0"/>
                  <wp:docPr id="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毒理帶出現時機，強制平移超前 14 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Tactical_Rules 戰術守則矩陣</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基於前述神經行為學、流體聲學與環境邊界條件，以下產出嚴格遵循標準格式之 25 條極端情境與高壓場域實戰戰術守則。</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V3B-01｜情境：情境四（颱風過境）｜觸發條件：颱風氣壓驟降 53 hPa 期間｜操作規則：暫停作釣或鎖定極淺底層｜機制來源： 波以耳定律導致魚鰾被動膨脹 2.27 cm³，魚體需強制下潛 53 cm 抗浮。軸上肌高功率消耗 (137 W/kg) 導致急性乳酸堆積與代謝休眠，覓食驅力被完全切斷。</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V3B-02｜情境：情境四（颱風過境）｜觸發條件：氣壓驟降觸發 Ebullition｜操作規則：避開軟泥底質區域，轉向硬底或礫石區｜機制來源： 大氣壓力下降破壞底泥靜水壓平衡，觸發黏彈性斷裂機制釋放  與劇毒  氣泡，造成底層水質極度惡化，引發魚群化學迴避。</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V3B-03｜情境：情境四（颱風過境）｜觸發條件：颱風暴雨後 48-72 小時內｜操作規則：換用具備高對比與低頻震動之假餌（如 Colorado 亮片 Spinnerbait）｜機制來源： 極育土微粒 Zeta 電位 (-15~-40 mV) 誘發高分子架橋絮凝，終端沉降率達 3 cm/s，濁度消散極快。此窗口期黑鱸由側線盲索轉回視覺主導。</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V3B-04｜情境：情境四（颱風過境）｜觸發條件：颱風暴雨後 14-30 天內｜操作規則：徹底放棄視覺系假餌，改用強噪音與大水阻震動型假餌｜機制來源： 新成土微粒極端負 Zeta 電位 (-42~-52 mV) 造成同性排斥，沉降率僅 0.35 m/day。光學衰減嚴重導致韋伯對比度（5%）失效，黑鱸完全依賴側線 SNs (1-30 Hz) 進行盲索。</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V3B-05｜情境：情境一（南部高溫）｜觸發條件：夏季無風正午水車停機 &gt; 6 小時｜操作規則：切換至中水層 (躍層帶) 懸浮作釣，嚴禁觸底｜機制來源： 熱分層重建且  使底層 DO 耗盡。Eh 跌破 -150 mV 觸發  巨量釋放 (8.5 mg/L)，魚群面臨 34°C 表水熱緊迫與毒氣的雙重「棲位擠壓」，被迫上浮。</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V3B-06｜情境：情境二（北部翻水期）｜觸發條件：春夏之交底溫升高｜操作規則：避免重型 Jig 敲底停留，減少拖底頻率｜機制來源： 微酸性極育土在 Eh &lt; 0 mV 時釋放  (10-50 mmol/m²/day)。底棲擾動會使  氧化為無定形氫氧化鐵膠體，堵塞魚鰓（&gt;0.35 mg/L 引發損傷），引發鱸魚底質防禦性迴避。</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V3B-07｜情境：情境二（北部翻水期）｜觸發條件：春末（5月下旬）｜操作規則：提早將敲底戰術切換為中層泳層搜索｜機制來源： 較強常態風與較少輻射遮蔽使 Zone-B 達到 22°C 激活閾值的時間較 Zone-A 超前 12-18 天。底層 Eh &lt; 0 mV 的  釋放風險提早 3-4 週到來。</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V3B-08｜情境：情境二（北部翻水期）｜觸發條件：冷鋒過境降溫 2-4°C 且風速 &gt;5m/s 達 48h｜操作規則：避開主湖區，轉往有活水注入之淺水灣澳 (Coves)｜機制來源： 達到秋季溫躍層翻轉 (Fall Turnover) 物理門檻，底層厭氧水、硫化氫與二氧化碳上湧，DO 斷崖下跌。活水灣澳提供高氧與毒物稀釋的唯一避難所。</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V3B-09｜情境：情境二（北部翻水期）｜觸發條件：冬季與初春常態季風期 (6-10 m/s)｜操作規則：採用「絕對伏擊」模式作釣，鎖定結構物背風面渦流區｜機制來源： 區域強風導致風生流與艾克曼混合輕易穿透淺水底床。為避免無氧代謝消耗 (遵循 OFT 原則)，鱸魚放棄巡游，於二級緩流區朝來流方向靜態伏擊。</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V3B-10｜情境：情境三（高壓舊魚管理池）｜觸發條件：中魚或嚴重跑魚脫鉤後立即｜操作規則：（1）廣播 Schreckstoff 後立即後退至警報半徑（Zone-A/B 北部 &gt; 0.5 m，死區可忽略；Zone-C 南部 ≥ 7 m）外；（2）標點輪替冷卻時間依 ART 矩陣嚴格綁定：10°C=48.0 hr、15°C=33.9 hr、20°C=24.0 hr、22°C=20.9 hr、25°C=17.0 hr、30°C=12.0 hr（注：&gt;30°C 且底層 DO&lt;2.0 mg/L 時，肝臟 MCR 崩潰，ART 模型失效，需依現場 DO 監測另行判斷）；（3）相鄰標點距離保持 ≥10 m 以防 Schreckstoff 場重疊｜機制來源： 表皮杵狀細胞破裂釋放 Schreckstoff (H3NO 與 5DS 片段)，擴散半徑：Zone-A/B 北部 &lt; 0.5 m（H3NO 酸水解失效）；Zone-C 南部 4–7 m（VSUP-B11，信心等級：低）。嗅覺突破  閾值即觸發 M 細胞，引發絕對凍結與區域性集體拒食。</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V3B-11｜情境：情境三（高壓舊魚管理池）｜觸發條件：舊標點爆發 Schreckstoff 污染後｜操作規則：需等待至少數小時 (夏季) 或更久 (冬季) 始可回訪｜機制來源： 警報物質的清除依賴溶解氧氧化與異營微生物降解。夏季水溫高，受  效應加速分解（半衰期數小時）；冬季低溫代謝停滯，死區效應將持續更久。</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V3B-12｜情境：情境三（高壓舊魚管理池）｜觸發條件：面對高壓舊魚 (FIE 適應體)｜操作規則：（1）HVF（高易感性個體）：適度加大假餌至 0.22–0.29 TL 以突破 OFT 閾值；（2）LVF（低易感性個體，長期高壓管理池老魚）：假餌尺寸嚴格限制在 TL 的 10–15%（40 cm 成魚 = 4–6 cm），採低截面積、低水阻 Finesse 設計，以符合 GR 脫敏後有氧代謝空間永久壓縮（&lt; HVF 20–30%）的突進能力上限｜機制來源： 舊魚遺傳了高皮質醇反應性與新恐懼症。大餌會引發高 LDH 代謝預期與強烈認知排斥，微物釣組能降低入侵感與能量消耗預算，規避皮層審查。</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V3B-13｜情境：情境三（高壓舊魚管理池）｜觸發條件：實施 Mid-Strolling 釣法時｜操作規則：（明視覺高照度）收線 0.5–1.0 m/s，竿尖抖動 2–5 Hz，製造 10–20 Hz 視覺對比脈衝低於明視覺 CFF（30–60 Hz）；（暗視覺/低照度）或觀察到目標魚進入 Target Foveation（視線對齊假餌）時，強制降低收線速度至 0.2–0.4 m/s，對比脈衝降至 5–8 Hz（低於暗視覺 CFF 10–15 Hz）；【側線相容性】降速不影響 SNs（表淺神經丘）刺激效果，SNs 對 ~20 Hz 水流擾動的響應由假餌本身的擺動幾何決定，與收線線速無直接關聯｜機制來源： 此手法創造 10-20 Hz 的視覺對比脈衝，嚴格低於魚類 30-60 Hz CFF 閾值，避免視覺融合成殘影，達成持續追蹤之「視覺催眠」效應。</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V3B-14｜情境：情境三（高壓舊魚管理池）｜觸發條件：Mid-Strolling 近場引誘階段｜操作規則：確保軟餌尾部產生 1-30 Hz 的穩定卡門渦街尾流｜機制來源： 1-30 Hz 頻譜完美重疊側線表淺神經丘 (SNs) 的峰值靈敏度。低頻視覺脈衝與近場側線渦流發生跨模態疊加，創造無法抗拒的瀕死獵物神經信號。</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V3B-15｜情境：情境三（高壓舊魚管理池）｜觸發條件：鱸魚進入近場跟隨 (距離 &lt; 24 cm)｜操作規則：嚴禁假餌靜態停頓超過 60-100 毫秒｜機制來源： 進入水晶體近點 (13.5-24 cm) 內將發生嚴重近場失焦。若停頓超過端腦認知潛伏期 (60-100 ms)，端腦將整合散焦特徵與韋伯對比崩潰，觸發 Follower Rejection。</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V3B-16｜情境：情境三（高壓舊魚管理池）｜觸發條件：瀕臨 Follower Rejection 危險距離｜操作規則：實施橫向高速跳躍或不對稱逃竄 (ΔV &gt; 30 cm/s)｜機制來源： 透過突然改變在視網膜上的角速度，強迫刺激重啟視頂蓋 (Optic Tectum) 神經元的定向反射，瞬間中斷端腦正在發出的煞車拒咬指令。</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V3B-17｜情境：情境一（南部高溫）｜觸發條件：梅雨季/暴雨回淹消落帶｜操作規則：放棄深水陡坡，往新淹沒的極淺水 (&lt;1.5m) 植被區搜索｜機制來源： 淹水瓦解旱季乾燥建立的鐵氧化物化學閘門，釋放 50-120 μg/L 內部磷脈衝引發藍綠菌藻華。底層缺氧迫使鱸魚強制上移至植被區尋求光合作用溶氧綠洲。</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V3B-18｜情境：情境二（北部翻水期）｜觸發條件：選擇假餌顏色時｜操作規則：使用黑色或高對比深色，絕對避免使用與背景相近之紅色｜機制來源： CDOM (有色溶解有機物) 指數級吸收藍/紫/綠光，背景充斥紅光。黑色假餌能產生完美的負對比，輕易突破韋伯對比閾值 (5%) 被雙錐細胞捕捉。</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V3B-19｜情境：情境一（南部高溫）｜觸發條件：選擇假餌顏色時｜操作規則：使用查特綠 (Chartreuse) 或不透光黑色，避免暗綠色｜機制來源： 藍綠菌的藻藍蛋白強烈吸收 620 nm 紅光，使背景光以綠光 (550 nm) 為主。查特綠能反射高強度綠光，黑色提供負對比，兩者皆能突破 SC 探測閾值。</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V3B-20｜情境：情境二（北部翻水期）｜觸發條件：冬季極端冷鋒期間｜操作規則：優先作釣極育土厚實泥底區域，避免砂石底｜機制來源： 極育土具備高達 1.55-3.50 MJ/m³·°C 的體積熱容，可持續向水體釋放儲備潛熱達 72-96 小時，宛如熱力學緩衝盾，該區域底水溫度較高且穩定。</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V3B-21｜情境：情境一（南部水域）｜觸發條件：冬季淺水區作釣｜操作規則：鎖定午後水溫回升時段，避開清晨｜機制來源： 南部砂質底床熱容極低 (1.06-3.00 MJ/m³·°C)，夜間輻射冷卻致日夜溫差達 3.5-5.0°C。清晨處於溫度低谷，鱸魚因滲透壓緊迫而代謝節流，停止索餌。</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V3B-22｜情境：情境三（高壓舊魚管理池）｜觸發條件：高壓捕撈池作釣頻率｜操作規則：作釣循環需配合 Alert Reset Time (24-72h)，避免連續施壓｜機制來源： 釣獲後皮質醇飆升 &gt;150 ng/mL，肝臟 11β-氧化清除受  限制，需耗時 24-72 小時。未待其重置即反覆施壓，將使全池魚群陷入長期慢性 Lockjaw。</w:t>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V3B-23｜情境：情境三（高壓舊魚管理池）｜觸發條件：觸發 Reaction Strike (反射咬餌)｜操作規則：操控假餌瞬間直線加速至 1.5 - 1.8 m/s 以上｜機制來源： 視網膜角速度超過慢肌視覺路徑整合閾值，視頂蓋在 30-50 ms 內發出吞噬指令。超過 1.5 m/s 的線性速度能完全繞過皮層 60-100 ms 的認知審查與負面記憶。</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V3B-24｜情境：情境三（高壓舊魚管理池）｜觸發條件：運轉水車 (Paddlewheel aerator) 附近作釣｜操作規則：改用低頻、大位移的尾波假餌 (如大號 Swimbait)，避免依賴微弱聲響｜機制來源： 水車產生 125-135 dB re 1 μPa 的低頻噪音 (25-1000 Hz)，對黑鱸側線與內耳聽石產生嚴重的聲學遮蔽效應 (Acoustic Masking)，微弱假餌訊號無法被感知。</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V3B-25｜情境：情境三（高壓舊魚管理池）｜觸發條件：放流養殖新魚 (Naive fish) 初期｜操作規則：使用垂直下沉、幾何對稱且具特定落水聲的假餌｜機制來源： 養殖魚具備強烈的飼料印記 (Feed Imprinting)。其神經網路尚未衰減對擠壓顆粒飼料的視覺與聲學制約，對活體獵物辨識度極低，極易受下沉型假餌欺騙。</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Unresolved_Dependencies 缺失數據盤點</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在建構大嘴黑鱸多尺度生態與戰術模型時，部分高解析度生化參數與跨物種生理邊界仍存在學理上的不確定性或文獻外推瑕疵。以下盤點關鍵的缺失數據與待解相依性：</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高溫環境下 </w:t>
      </w:r>
      <w:r w:rsidDel="00000000" w:rsidR="00000000" w:rsidRPr="00000000">
        <w:rPr>
          <w:rFonts w:ascii="Google Sans" w:cs="Google Sans" w:eastAsia="Google Sans" w:hAnsi="Google Sans"/>
          <w:b w:val="1"/>
          <w:bCs w:val="1"/>
          <w:i w:val="1"/>
          <w:iCs w:val="1"/>
          <w:color w:val="1f1f1f"/>
          <w:rtl w:val="0"/>
        </w:rPr>
        <w:t xml:space="preserve">M. salmoides</w:t>
      </w:r>
      <w:r w:rsidDel="00000000" w:rsidR="00000000" w:rsidRPr="00000000">
        <w:rPr>
          <w:rFonts w:ascii="Google Sans" w:cs="Google Sans" w:eastAsia="Google Sans" w:hAnsi="Google Sans"/>
          <w:b w:val="1"/>
          <w:bCs w:val="1"/>
          <w:color w:val="1f1f1f"/>
          <w:rtl w:val="0"/>
        </w:rPr>
        <w:t xml:space="preserve"> 之真實 CFF 偏移率與光適應：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目前模型引用真骨魚類通用 CFF 閾值（30–60 Hz）。然而，視覺時間解析度對溫度及光照強度高度敏感。在台灣南部夏季極端水溫（35°C）下，黑鱸視網膜光感受器的離子通道動力學加速，其真實 CFF 峰值是否會突破 60 Hz 尚未經實測驗證。若 CFF 上移，則 Mid-Strolling 的有效操作速度區間將被低估。</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Schreckstoff 在腐植酸水體中的化學束縛效應 (Binding Kinetics)：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模型依據純水擴散計算 5DS 警報物質的 8 公尺死區半徑。但在北部極育土埤塘中，高濃度的有色溶解有機物（CDOM）與腐植酸可能與 H3NO 或糖胺聚糖片段發生大分子錯合（Complexation），從而大幅縮短警報物質的空間活性距離與半衰期。缺乏在 CDOM 水體中的滴定實驗，目前對北部水域死區面積（201 m²）的估算可能過於保守。</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高壓管理池的慢性皮質醇基線平移 (Chronic Cortisol Baseline Shift)：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Alert Reset Time (24–72 hr) 的計算基於自然界靜息皮質醇（~6.0 ng/mL）恢復至基線的時間。然而，在高密度且連續承受 C&amp;R 壓力的台灣管理池中，FIE 適應後的老魚（LVF）其慢性皮質醇基線可能已永久性上移（推測 ≥30 ng/mL）。在這種長期內分泌紊亂狀態下，MCR（代謝清除率）的真實運作曲線以及對次級應激的鈍化反應，尚缺乏現場血液學抽樣支持。</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t>【SUP-B 已部分解決】毒理帶擴散梯度與鱸魚底棲安全距離：</w:t>
        <w:br/>
        <w:t>雖然已知 Zone-A/B 北部水系 Eh &lt; 0 mV 時會大量釋放亞鐵離子（引發鰓部機械性堵塞），SUP-B VSUP-B04 基於 Fick 擴散穩態模型已給出精算值：北部 Fe²⁺ 安全距離 = 40 cm（引用 CI-01）；南部 H₂S 安全距離 = ≥86 cm（引用 CI-02）。此為模型估算值，仍假設靜水條件；風生對流擾動下的動態梯度仍需微米級孔隙水探針實地量測驗證。（原不確定性已由 SUP-B CI-01/CI-02 大幅縮減，保留動態擾動項為殘餘不確定性。）</w:t>
        <w:br/>
        <w:t>【SUP-B 新增（VSUP-B12）】H₂S 危險帶高度靜水/擾動對比與水車重啟瞬態風險：靜水（停機）H₂S 危險帶高度 55–65 cm；微弱流場（低速水車）86 cm；輕度擾動（正常水車）120–160 cm（反直覺：擾動越強，H₂S 被攜帶越高）。關鍵風險：水車停機 ≥ 4 hr 後重啟的頭 1–2 hr 為最高危險窗口——底泥累積之高濃度 H₂S 被對流湧浪短暫衝升至水面下 30–50 cm，超越正常停機靜水狀態之 55–65 cm 危險帶，進入中水層魚群棲息深度。操作建議：水車停機 ≥ 4 hr 後重啟前後 1–2 hr 應避免水底附近作釣，改至表中層操作；信心等級：中（Fick D_eff 比值推算）。</w:t>
      </w:r>
      <w:r w:rsidDel="00000000" w:rsidR="00000000" w:rsidRPr="00000000">
        <w:rPr>
          <w:rFonts w:ascii="Google Sans" w:cs="Google Sans" w:eastAsia="Google Sans" w:hAnsi="Google Sans"/>
          <w:b w:val="1"/>
          <w:bCs w:val="1"/>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color w:val="1f1f1f"/>
        </w:rPr>
      </w:r>
      <w:r w:rsidDel="00000000" w:rsidR="00000000" w:rsidRPr="00000000">
        <w:rPr>
          <w:rFonts w:ascii="Google Sans" w:cs="Google Sans" w:eastAsia="Google Sans" w:hAnsi="Google Sans"/>
          <w:color w:val="1f1f1f"/>
          <w:rtl w:val="0"/>
        </w:rPr>
      </w:r>
    </w:p>
    <w:p>
      <w:r>
        <w:t xml:space="preserve">H₂S 亞急性暴露對 Alert Reset Time 的定量縮短效應：
現有 ART 模型（VSUP-A04）基於急性 C&amp;R 或視覺刺激壓力後的皮質醇清除動力學建立，未考量黑鱸在底棲缺氧與 H₂S 微量暴露（低於行為迴避閾值 0.005 mg/L 之亞急性濃度）下，慢性氧化緊迫是否造成皮質醇清除速率的額外延遲。初始規劃預期值為縮短 80–120 min（即在亞急性 H₂S 暴露情境下 ART 可能延長 80–120 min），但目前 M. salmoides 的直接實驗證據付之闕如。此缺口主要影響 Zone-C 南部管理池底棲策略（V3B-03、V3B-04、V3B-21）及停機前後的標點輪替冷卻時間估算。建議後續實驗取得亞急性 H₂S 暴露（0.001–0.01 mg/L，48–96 hr）後黑鱸血液皮質醇恢復曲線數據。</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0D1_基底資料矩陣與極端事件整合.docx</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Twelve Soil Orders | Rangelands Gateway, 檢索日期：5月 8, 2026， </w:t>
      </w:r>
      <w:hyperlink r:id="rId13">
        <w:r w:rsidDel="00000000" w:rsidR="00000000" w:rsidRPr="00000000">
          <w:rPr>
            <w:rFonts w:ascii="Google Sans" w:cs="Google Sans" w:eastAsia="Google Sans" w:hAnsi="Google Sans"/>
            <w:color w:val="0000ee"/>
            <w:sz w:val="24"/>
            <w:szCs w:val="24"/>
            <w:u w:val="single"/>
            <w:rtl w:val="0"/>
          </w:rPr>
          <w:t xml:space="preserve">https://rangelandsgateway.org/topics/rangeland-ecology/twelve-soil-orders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Profiles - Soils 4 Teachers, 檢索日期：5月 8, 2026， </w:t>
      </w:r>
      <w:hyperlink r:id="rId14">
        <w:r w:rsidDel="00000000" w:rsidR="00000000" w:rsidRPr="00000000">
          <w:rPr>
            <w:rFonts w:ascii="Google Sans" w:cs="Google Sans" w:eastAsia="Google Sans" w:hAnsi="Google Sans"/>
            <w:color w:val="0000ee"/>
            <w:sz w:val="24"/>
            <w:szCs w:val="24"/>
            <w:u w:val="single"/>
            <w:rtl w:val="0"/>
          </w:rPr>
          <w:t xml:space="preserve">https://www.soils4teachers.org/profiles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Illustrated Guide to Soil Taxonomy - Natural Resources Conservation Service - USDA, 檢索日期：5月 8, 2026， </w:t>
      </w:r>
      <w:hyperlink r:id="rId15">
        <w:r w:rsidDel="00000000" w:rsidR="00000000" w:rsidRPr="00000000">
          <w:rPr>
            <w:rFonts w:ascii="Google Sans" w:cs="Google Sans" w:eastAsia="Google Sans" w:hAnsi="Google Sans"/>
            <w:color w:val="0000ee"/>
            <w:sz w:val="24"/>
            <w:szCs w:val="24"/>
            <w:u w:val="single"/>
            <w:rtl w:val="0"/>
          </w:rPr>
          <w:t xml:space="preserve">https://www.nrcs.usda.gov/sites/default/files/2022-06/Illustrated_Guide_to_Soil_Taxonomy.pdf</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Clay Mineralogy in Soil - Spectral Evolution, 檢索日期：5月 8, 2026， </w:t>
      </w:r>
      <w:hyperlink r:id="rId16">
        <w:r w:rsidDel="00000000" w:rsidR="00000000" w:rsidRPr="00000000">
          <w:rPr>
            <w:rFonts w:ascii="Google Sans" w:cs="Google Sans" w:eastAsia="Google Sans" w:hAnsi="Google Sans"/>
            <w:color w:val="0000ee"/>
            <w:sz w:val="24"/>
            <w:szCs w:val="24"/>
            <w:u w:val="single"/>
            <w:rtl w:val="0"/>
          </w:rPr>
          <w:t xml:space="preserve">https://spectralevolution.com/application-notes-soil/clay-mineralogy-in-soil/</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Flicker Fusion Frequency: A Narrative Review - PMC, 檢索日期：5月 8,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https://pmc.ncbi.nlm.nih.gov/articles/PMC8537539/</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upper flicker frequency (FF) thresholds (Hz) from highest to lowest rates of select taxonomic species in comparison to the tuatara - ResearchGate, 檢索日期：5月 8,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https://www.researchgate.net/figure/List-of-upper-flicker-frequency-FF-thresholds-Hz-from-highest-to-lowest-rates-of_tbl1_23670287</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light intensity and flicker fusion frequency... - ResearchGate, 檢索日期：5月 8,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https://www.researchgate.net/figure/Fig3-The-relationship-between-light-intensity-and-flicker-fusion-frequency-FFF-for_fig2_43534819</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cortisol, the major stress hormone in fishes - Archimer, 檢索日期：5月 8, 2026， </w:t>
      </w:r>
      <w:hyperlink r:id="rId20">
        <w:r w:rsidDel="00000000" w:rsidR="00000000" w:rsidRPr="00000000">
          <w:rPr>
            <w:rFonts w:ascii="Google Sans" w:cs="Google Sans" w:eastAsia="Google Sans" w:hAnsi="Google Sans"/>
            <w:color w:val="0000ee"/>
            <w:sz w:val="24"/>
            <w:szCs w:val="24"/>
            <w:u w:val="single"/>
            <w:rtl w:val="0"/>
          </w:rPr>
          <w:t xml:space="preserve">https://archimer.ifremer.fr/doc/00478/59001/61616.pdf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Cortisol as a Stress Indicator in Fish: Sampling Methods, Analytical Techniques, and Organic Pollutant Exposure Assessments - PMC, 檢索日期：5月 8,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https://pmc.ncbi.nlm.nih.gov/articles/PMC10341563/</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profiles of cortisol accumulation and clearance support scale cortisol content as an indicator of chronic stress in fish - PMC, 檢索日期：5月 8,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https://pmc.ncbi.nlm.nih.gov/articles/PMC6788491/</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temperature on feeding and digestive processes in fish - PMC, 檢索日期：5月 8,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https://pmc.ncbi.nlm.nih.gov/articles/PMC7678922/</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Response to Hooking Stress in Largemouth Bass (</w:t>
      </w:r>
      <w:r w:rsidDel="00000000" w:rsidR="00000000" w:rsidRPr="00000000">
        <w:rPr>
          <w:rFonts w:ascii="Google Sans" w:cs="Google Sans" w:eastAsia="Google Sans" w:hAnsi="Google Sans"/>
          <w:i w:val="1"/>
          <w:iCs w:val="1"/>
          <w:sz w:val="24"/>
          <w:szCs w:val="24"/>
          <w:rtl w:val="0"/>
        </w:rPr>
        <w:t xml:space="preserve">Micro" by A. Wayne Gustaveson - DigitalCommons@USU, 檢索日期：5月 8, 2026， </w:t>
      </w:r>
      <w:hyperlink r:id="rId24">
        <w:r w:rsidDel="00000000" w:rsidR="00000000" w:rsidRPr="00000000">
          <w:rPr>
            <w:rFonts w:ascii="Google Sans" w:cs="Google Sans" w:eastAsia="Google Sans" w:hAnsi="Google Sans"/>
            <w:i w:val="1"/>
            <w:iCs w:val="1"/>
            <w:color w:val="0000ee"/>
            <w:sz w:val="24"/>
            <w:szCs w:val="24"/>
            <w:u w:val="single"/>
            <w:rtl w:val="0"/>
          </w:rPr>
          <w:t xml:space="preserve">https://digitalcommons.usu.edu/etd/6328/</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 Production rate, metabolic clearance rate and mean plasma concentration of cortisol in hyperthyroidism (author's transl)] - PubMed, 檢索日期：5月 8,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https://pubmed.ncbi.nlm.nih.gov/1190711/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preference and oxygen consumption of the largemouth bass Micropterus salmoides (Lac p de) acclimated to different temperatures | Request PDF - ResearchGate, 檢索日期：5月 8,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https://www.researchgate.net/publication/230171110_Temperature_preference_and_oxygen_consumption_of_the_largemouth_bass_Micropterus_salmoides_Lacpde_acclimated_to_different_temperatures</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and Dissolved Oxygen Lead to Behavior and Respiration Changes in Juvenile Largemouth Bass (Micropterus salmoides) during Transport - MDPI, 檢索日期：5月 8, 2026， </w:t>
      </w:r>
      <w:hyperlink r:id="rId27">
        <w:r w:rsidDel="00000000" w:rsidR="00000000" w:rsidRPr="00000000">
          <w:rPr>
            <w:rFonts w:ascii="Google Sans" w:cs="Google Sans" w:eastAsia="Google Sans" w:hAnsi="Google Sans"/>
            <w:color w:val="0000ee"/>
            <w:sz w:val="24"/>
            <w:szCs w:val="24"/>
            <w:u w:val="single"/>
            <w:rtl w:val="0"/>
          </w:rPr>
          <w:t xml:space="preserve">https://www.mdpi.com/2410-3888/8/12/565</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Dissolved Oxygen Management and Related Costs in Pond Aquaculture Application Note A564-02 - Xylem, 檢索日期：5月 8, 2026， </w:t>
      </w:r>
      <w:hyperlink r:id="rId28">
        <w:r w:rsidDel="00000000" w:rsidR="00000000" w:rsidRPr="00000000">
          <w:rPr>
            <w:rFonts w:ascii="Google Sans" w:cs="Google Sans" w:eastAsia="Google Sans" w:hAnsi="Google Sans"/>
            <w:color w:val="0000ee"/>
            <w:sz w:val="24"/>
            <w:szCs w:val="24"/>
            <w:u w:val="single"/>
            <w:rtl w:val="0"/>
          </w:rPr>
          <w:t xml:space="preserve">https://www.xylem.com/siteassets/brand/ysi/resources/case-study/a564-02-dissolved-oxygen-in-aquaculture-ponds-4-.pdf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Response Properties of Lateral Line Superficial Neuromasts in a Vocal Fish, With Evidence for Acoustic Sensitivity | Journal of Neurophysiology | American Physiological Society, 檢索日期：5月 8, 2026， </w:t>
      </w:r>
      <w:hyperlink r:id="rId29">
        <w:r w:rsidDel="00000000" w:rsidR="00000000" w:rsidRPr="00000000">
          <w:rPr>
            <w:rFonts w:ascii="Google Sans" w:cs="Google Sans" w:eastAsia="Google Sans" w:hAnsi="Google Sans"/>
            <w:color w:val="0000ee"/>
            <w:sz w:val="24"/>
            <w:szCs w:val="24"/>
            <w:u w:val="single"/>
            <w:rtl w:val="0"/>
          </w:rPr>
          <w:t xml:space="preserve">https://journals.physiology.org/doi/full/10.1152/jn.2002.88.3.1252</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along the fish lateral line and beyonda - AIP Publishing, 檢索日期：5月 8, 2026， </w:t>
      </w:r>
      <w:hyperlink r:id="rId30">
        <w:r w:rsidDel="00000000" w:rsidR="00000000" w:rsidRPr="00000000">
          <w:rPr>
            <w:rFonts w:ascii="Google Sans" w:cs="Google Sans" w:eastAsia="Google Sans" w:hAnsi="Google Sans"/>
            <w:color w:val="0000ee"/>
            <w:sz w:val="24"/>
            <w:szCs w:val="24"/>
            <w:u w:val="single"/>
            <w:rtl w:val="0"/>
          </w:rPr>
          <w:t xml:space="preserve">https://pubs.aip.org/asa/jasa/article/154/2/1274/2908453/Life-along-the-fish-lateral-line-and-beyonda</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Underwater ambient noise measurements in aquaculture systems: A survey - ResearchGate, 檢索日期：5月 8,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https://www.researchgate.net/publication/223342119_Underwater_ambient_noise_measurements_in_aquaculture_systems_A_survey</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A564-01 Dissolved Oxygen Costs in Aquaculture - YSI, 檢索日期：5月 8, 2026， </w:t>
      </w:r>
      <w:hyperlink r:id="rId32">
        <w:r w:rsidDel="00000000" w:rsidR="00000000" w:rsidRPr="00000000">
          <w:rPr>
            <w:rFonts w:ascii="Google Sans" w:cs="Google Sans" w:eastAsia="Google Sans" w:hAnsi="Google Sans"/>
            <w:color w:val="0000ee"/>
            <w:sz w:val="24"/>
            <w:szCs w:val="24"/>
            <w:u w:val="single"/>
            <w:rtl w:val="0"/>
          </w:rPr>
          <w:t xml:space="preserve">https://www.ysi.com/File%20Library/Documents/Application%20Notes/A564-DO-Costs-in-Aquaculture.pdf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and gut responses of post-smolt Atlantic salmon (Salmo salar) to elevated levels of hydrogen sulphide - Nofima, 檢索日期：5月 8, 2026， </w:t>
      </w:r>
      <w:hyperlink r:id="rId33">
        <w:r w:rsidDel="00000000" w:rsidR="00000000" w:rsidRPr="00000000">
          <w:rPr>
            <w:rFonts w:ascii="Google Sans" w:cs="Google Sans" w:eastAsia="Google Sans" w:hAnsi="Google Sans"/>
            <w:color w:val="0000ee"/>
            <w:sz w:val="24"/>
            <w:szCs w:val="24"/>
            <w:u w:val="single"/>
            <w:rtl w:val="0"/>
          </w:rPr>
          <w:t xml:space="preserve">https://nofima.com/publication/2210049/</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atmospheric pressure variations on methane ebullition and lake turbidity during ice-cover - ResearchGate, 檢索日期：5月 8,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https://www.researchgate.net/publication/351575435_Impact_of_atmospheric_pressure_variations_on_methane_ebullition_and_lake_turbidity_during_ice-cover</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Responses and Gut Health of Post-Smolt Atlantic salmon (Salmo salar) Exposed to Chronic Sub-Lethal Level of Hydrogen Sulphide in a Recirculating Aquaculture System - FAO AGRIS, 檢索日期：5月 8, 2026， </w:t>
      </w:r>
      <w:hyperlink r:id="rId35">
        <w:r w:rsidDel="00000000" w:rsidR="00000000" w:rsidRPr="00000000">
          <w:rPr>
            <w:rFonts w:ascii="Google Sans" w:cs="Google Sans" w:eastAsia="Google Sans" w:hAnsi="Google Sans"/>
            <w:color w:val="0000ee"/>
            <w:sz w:val="24"/>
            <w:szCs w:val="24"/>
            <w:u w:val="single"/>
            <w:rtl w:val="0"/>
          </w:rPr>
          <w:t xml:space="preserve">https://agris.fao.org/search/en/providers/125311/records/6748de957625988a37214b31</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of Methane Release From Lake Sediments - eScholarship, 檢索日期：5月 8, 2026， </w:t>
      </w:r>
      <w:hyperlink r:id="rId36">
        <w:r w:rsidDel="00000000" w:rsidR="00000000" w:rsidRPr="00000000">
          <w:rPr>
            <w:rFonts w:ascii="Google Sans" w:cs="Google Sans" w:eastAsia="Google Sans" w:hAnsi="Google Sans"/>
            <w:color w:val="0000ee"/>
            <w:sz w:val="24"/>
            <w:szCs w:val="24"/>
            <w:u w:val="single"/>
            <w:rtl w:val="0"/>
          </w:rPr>
          <w:t xml:space="preserve">https://escholarship.org/uc/item/64x687r4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chimer.ifremer.fr/doc/00478/59001/61616.pdf" TargetMode="External"/><Relationship Id="rId22" Type="http://schemas.openxmlformats.org/officeDocument/2006/relationships/hyperlink" Target="https://pmc.ncbi.nlm.nih.gov/articles/PMC6788491/" TargetMode="External"/><Relationship Id="rId21" Type="http://schemas.openxmlformats.org/officeDocument/2006/relationships/hyperlink" Target="https://pmc.ncbi.nlm.nih.gov/articles/PMC10341563/" TargetMode="External"/><Relationship Id="rId24" Type="http://schemas.openxmlformats.org/officeDocument/2006/relationships/hyperlink" Target="https://digitalcommons.usu.edu/etd/6328/" TargetMode="External"/><Relationship Id="rId23" Type="http://schemas.openxmlformats.org/officeDocument/2006/relationships/hyperlink" Target="https://pmc.ncbi.nlm.nih.gov/articles/PMC76789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researchgate.net/publication/230171110_Temperature_preference_and_oxygen_consumption_of_the_largemouth_bass_Micropterus_salmoides_Lacpde_acclimated_to_different_temperatures" TargetMode="External"/><Relationship Id="rId25" Type="http://schemas.openxmlformats.org/officeDocument/2006/relationships/hyperlink" Target="https://pubmed.ncbi.nlm.nih.gov/1190711/" TargetMode="External"/><Relationship Id="rId28" Type="http://schemas.openxmlformats.org/officeDocument/2006/relationships/hyperlink" Target="https://www.xylem.com/siteassets/brand/ysi/resources/case-study/a564-02-dissolved-oxygen-in-aquaculture-ponds-4-.pdf" TargetMode="External"/><Relationship Id="rId27" Type="http://schemas.openxmlformats.org/officeDocument/2006/relationships/hyperlink" Target="https://www.mdpi.com/2410-3888/8/12/565"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journals.physiology.org/doi/full/10.1152/jn.2002.88.3.1252" TargetMode="External"/><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hyperlink" Target="https://www.researchgate.net/publication/223342119_Underwater_ambient_noise_measurements_in_aquaculture_systems_A_survey" TargetMode="External"/><Relationship Id="rId30" Type="http://schemas.openxmlformats.org/officeDocument/2006/relationships/hyperlink" Target="https://pubs.aip.org/asa/jasa/article/154/2/1274/2908453/Life-along-the-fish-lateral-line-and-beyonda" TargetMode="External"/><Relationship Id="rId11" Type="http://schemas.openxmlformats.org/officeDocument/2006/relationships/image" Target="media/image2.png"/><Relationship Id="rId33" Type="http://schemas.openxmlformats.org/officeDocument/2006/relationships/hyperlink" Target="https://nofima.com/publication/2210049/" TargetMode="External"/><Relationship Id="rId10" Type="http://schemas.openxmlformats.org/officeDocument/2006/relationships/image" Target="media/image3.png"/><Relationship Id="rId32" Type="http://schemas.openxmlformats.org/officeDocument/2006/relationships/hyperlink" Target="https://www.ysi.com/File%20Library/Documents/Application%20Notes/A564-DO-Costs-in-Aquaculture.pdf" TargetMode="External"/><Relationship Id="rId13" Type="http://schemas.openxmlformats.org/officeDocument/2006/relationships/hyperlink" Target="https://rangelandsgateway.org/topics/rangeland-ecology/twelve-soil-orders" TargetMode="External"/><Relationship Id="rId35" Type="http://schemas.openxmlformats.org/officeDocument/2006/relationships/hyperlink" Target="https://agris.fao.org/search/en/providers/125311/records/6748de957625988a37214b31" TargetMode="External"/><Relationship Id="rId12" Type="http://schemas.openxmlformats.org/officeDocument/2006/relationships/image" Target="media/image6.png"/><Relationship Id="rId34" Type="http://schemas.openxmlformats.org/officeDocument/2006/relationships/hyperlink" Target="https://www.researchgate.net/publication/351575435_Impact_of_atmospheric_pressure_variations_on_methane_ebullition_and_lake_turbidity_during_ice-cover" TargetMode="External"/><Relationship Id="rId15" Type="http://schemas.openxmlformats.org/officeDocument/2006/relationships/hyperlink" Target="https://www.nrcs.usda.gov/sites/default/files/2022-06/Illustrated_Guide_to_Soil_Taxonomy.pdf" TargetMode="External"/><Relationship Id="rId14" Type="http://schemas.openxmlformats.org/officeDocument/2006/relationships/hyperlink" Target="https://www.soils4teachers.org/profiles" TargetMode="External"/><Relationship Id="rId36" Type="http://schemas.openxmlformats.org/officeDocument/2006/relationships/hyperlink" Target="https://escholarship.org/uc/item/64x687r4" TargetMode="External"/><Relationship Id="rId17" Type="http://schemas.openxmlformats.org/officeDocument/2006/relationships/hyperlink" Target="https://pmc.ncbi.nlm.nih.gov/articles/PMC8537539/" TargetMode="External"/><Relationship Id="rId16" Type="http://schemas.openxmlformats.org/officeDocument/2006/relationships/hyperlink" Target="https://spectralevolution.com/application-notes-soil/clay-mineralogy-in-soil/" TargetMode="External"/><Relationship Id="rId19" Type="http://schemas.openxmlformats.org/officeDocument/2006/relationships/hyperlink" Target="https://www.researchgate.net/figure/Fig3-The-relationship-between-light-intensity-and-flicker-fusion-frequency-FFF-for_fig2_43534819" TargetMode="External"/><Relationship Id="rId18" Type="http://schemas.openxmlformats.org/officeDocument/2006/relationships/hyperlink" Target="https://www.researchgate.net/figure/List-of-upper-flicker-frequency-FF-thresholds-Hz-from-highest-to-lowest-rates-of_tbl1_236702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