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r>
        <w:rPr/>
        <w:t xml:space="preserve">---</w:t>
      </w:r>
    </w:p>
    <w:p>
      <w:pPr/>
      <w:r>
        <w:rPr/>
        <w:t xml:space="preserve">Title: 卷 2A：覓食偏好、印記與反射咬餌</w:t>
      </w:r>
    </w:p>
    <w:p>
      <w:pPr/>
      <w:r>
        <w:rPr/>
        <w:t xml:space="preserve">Volume_ID: 2A</w:t>
      </w:r>
    </w:p>
    <w:p>
      <w:pPr/>
      <w:r>
        <w:rPr/>
        <w:t xml:space="preserve">Upstream_Required: 0D 報告（Baseline_Facts B0-*）；可選：1A 報告</w:t>
      </w:r>
    </w:p>
    <w:p>
      <w:pPr/>
      <w:r>
        <w:rPr/>
        <w:t xml:space="preserve">Core_Parameters: 獵物尺寸比 TL%、能量效益比 kcal/g、皮質醇閾值 ng/mL、最小反應速度閾值 m/s、Weber 分數</w:t>
      </w:r>
    </w:p>
    <w:p>
      <w:pPr/>
      <w:r>
        <w:rPr/>
        <w:t xml:space="preserve">Key_Mechanisms: OFT 能量最佳化、飼料印記、皮層下反射咬餌、光譜衰減視覺限制</w:t>
      </w:r>
    </w:p>
    <w:p>
      <w:pPr/>
      <w:r>
        <w:rPr/>
        <w:t xml:space="preserve">Version: v1.0（Gemini Deep Research 初版 ＋ 結構補強補丁）</w:t>
      </w:r>
    </w:p>
    <w:p>
      <w:pPr/>
      <w:r>
        <w:rPr/>
        <w:t xml:space="preserve">Carry_Forward_To: 2C（視線軸向與假餌操作）／3A（高壓誘咬）／3B（極端情境戰術）</w:t>
      </w:r>
    </w:p>
    <w:p>
      <w:pPr/>
      <w:r>
        <w:rPr/>
        <w:t xml:space="preserve">---</w:t>
      </w:r>
    </w:p>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卷 2A：大嘴黑鱸的覓食心理、感官解碼與神經閾值</w:t>
      </w:r>
    </w:p>
    <w:p>
      <w:r>
        <w:rPr>
          <w:b/>
        </w:rPr>
        <w:t xml:space="preserve">Inherited_Baseline（引自 0D_基底資料矩陣與極端事件整合.docx）</w:t>
      </w:r>
    </w:p>
    <w:p>
      <w:r>
        <w:t xml:space="preserve">本卷使用的基底假設直接引自 0D 報告，主要項目如下：</w:t>
      </w:r>
    </w:p>
    <w:p>
      <w:r>
        <w:t xml:space="preserve">• 六大水體四季能見度矩陣：已完整引入本文 Table 0（0D Waterbody_Model_Table）</w:t>
      </w:r>
    </w:p>
    <w:p>
      <w:r>
        <w:t>• 北部水體地球化學：極育土，pH 4.5–5.5，高嶺石 Zeta 電位 -15 至 -40 mV，絮凝沉降 &gt;0.35 m/day，濁度恢復 48–72 hr [B0-02]</w:t>
      </w:r>
    </w:p>
    <w:p>
      <w:r>
        <w:t>• 南部水體地球化學：新成土，pH 6.5–7.5+，伊利石/蒙脫石 Zeta 電位 -42 至 -52 mV，未絮凝沉降 0.35 m/day，濁度持續 14–30 天 [B0-03]</w:t>
      </w:r>
    </w:p>
    <w:p>
      <w:r>
        <w:t>• 季節水溫差：南部夏季水溫高出北部 3.4–3.8°C；30°C 溶氧飽和值 7.55 mg/L；35°C 為 6.94 mg/L [B0-08]</w:t>
      </w:r>
    </w:p>
    <w:p>
      <w:r>
        <w:t>• 底棲缺氧閾值：Eh &lt; -150 mV → H₂S 釋放（0.8 m 深峰值 8.5 mg/L）；甲烷氧化耗氧速率 10–60 nmol/g/hr [B0-11]</w:t>
      </w:r>
    </w:p>
    <w:p>
      <w:r>
        <w:t>• 淺水管理池深度基準：平均 1.5–2.0 m（南北共用）；氣壓驟降 53 hPa 對應強制下潛 53 cm [1A-01, 1A-02]</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熱力學、地球化學與流體靜力學基底</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大嘴黑鱸 (</w:t>
      </w:r>
      <w:r w:rsidDel="00000000" w:rsidR="00000000" w:rsidRPr="00000000">
        <w:rPr>
          <w:rFonts w:ascii="Google Sans" w:cs="Google Sans" w:eastAsia="Google Sans" w:hAnsi="Google Sans"/>
          <w:i w:val="1"/>
          <w:iCs w:val="1"/>
          <w:color w:val="1f1f1f"/>
          <w:rtl w:val="0"/>
        </w:rPr>
        <w:t xml:space="preserve">Micropterus salmoides</w:t>
      </w:r>
      <w:r w:rsidDel="00000000" w:rsidR="00000000" w:rsidRPr="00000000">
        <w:rPr>
          <w:rFonts w:ascii="Google Sans" w:cs="Google Sans" w:eastAsia="Google Sans" w:hAnsi="Google Sans"/>
          <w:color w:val="1f1f1f"/>
          <w:rtl w:val="0"/>
        </w:rPr>
        <w:t xml:space="preserve">) 的覓食心理、生物能量學及感官解碼機制，嚴格運作於其局部棲地的物理與地球化學邊界內。在台灣二元水文的背景下，這些基底條件決定了掠食者的代謝狀態、視覺與聲學刺激的傳遞，以及追擊獵物的熱力學可行性。[1, 1]</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地球化學膠體力學與視覺恢復</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台灣群島展現出嚴重的地理不對稱性，構建了內陸水域的物理強迫與微觀地球化學基底。北部與中北部主要由經歷更新世強烈風化與去矽作用的極育土（紅壤）主導。在年降水量 2500–3000 mm 的驅動下，這些環境被剝離了鹼性陽離子，形成 pH 4.5 至 5.5 的微酸性水體基底。</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在這些北部水域中，懸浮微粒以高嶺石為主。由於這些環境的零電荷點 (ZPC) 介於 pH 4.5 至 5.5 之間，高嶺石顆粒邊緣發生質子化，同時保留帶負電的矽氧底面。這種靜電配置產生 -15 至 -40 mV 的 Zeta 電位，促進宏觀絮體的快速形成。因此，北部水體展現出快速的濁度恢復時間；在極端物理強迫後，由於具備 3 cm/s 的高終端沉降速率，能見度通常在 48 至 72 小時內恢復至基線。[1, 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相反地，南部與西南部集水區由源自現代沖積物（包括板岩、頁岩與泥岩）的新成土與弱育土主導。這些土壤保留了原生矽酸鹽礦物與高濃度碳酸鈣，將水體環境緩衝至中性或微鹼性的 pH 6.5 至 7.5+。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南部水域的懸浮顆粒主要由伊利石與蒙脫石組成，由於其晶格內的同晶替代作用，具有高密度的永久負電荷。在 pH &gt; 7.0 的環境中，這些顆粒邊緣去質子化，產生極端的負 Zeta 電位（-42 至 -52 mV）。由此產生的靜電排斥力將未絮凝黏土顆粒的沉降速率大幅降低至僅 0.35 m/day。因此，遭受暴雨混合作用的南部水體會陷入長期的高濁度狀態，能見度嚴重受限長達 14 至 30 天。[1, 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水體類型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春季能見度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夏季能見度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秋季能見度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冬季能見度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地球化學主導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北部野生埤塘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30–50 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25–45 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30–50 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35–55 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極育土, 高嶺石 (pH 4.5-5.5)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北部深水庫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100–140 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20–150 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80–120 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120–180 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極育土, 高度絮凝</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北部管理池</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30–50 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25–40 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30–45 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35–50 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極育土, 高度絮凝</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南部野生埤塘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&lt;10–40 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15–30 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20–40 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30–50 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新成土, 伊利石/蒙脫石 (pH 6.5-7.5)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南部深水庫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60–100 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10–60 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40–80 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70–120 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新成土, 高 Zeta 排斥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南部管理池</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&lt;10–30 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10–25 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15–30 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25–40 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新成土, 藍綠菌藻華</w:t>
            </w:r>
          </w:p>
        </w:tc>
      </w:tr>
    </w:tbl>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熱力學動態、極端缺氧與空間擠壓</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大嘴黑鱸是外溫動物，其覓食驅力受水溫與溶氧 (DO) 的支配。在標準大氣壓下，純水在 30°C 時的溶氧飽和極限為 7.55 mg/L，而在 35°C 時進一步壓縮至 6.94 mg/L。[1, 1] 台灣南部水域每月日照高達 197 小時，且缺乏遮蔽北部的春季雲雨帶，使其在季初溫度穩定高出北部 3.4 至 3.8°C。在無風的夏日午後，當淺水管理池（平均水深 1.5–2.0 m）的人工曝氣停止時，熱分層會在 4 至 6 小時內重新建立。[1, 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在這些分層且高溫（30–35°C）的環境中，底棲異營細菌的代謝率呈非線性加速。基於 </w:t>
      </w:r>
      <w:r w:rsidDel="00000000" w:rsidR="00000000" w:rsidRPr="00000000">
        <w:rPr>
          <w:rFonts w:ascii="Google Sans" w:cs="Google Sans" w:eastAsia="Google Sans" w:hAnsi="Google Sans"/>
          <w:color w:val="1f1f1f"/>
        </w:rPr>
        <w:drawing>
          <wp:inline distB="19050" distT="19050" distL="19050" distR="19050">
            <wp:extent cx="284262" cy="227410"/>
            <wp:effectExtent b="0" l="0" r="0" t="0"/>
            <wp:docPr id="31"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284262" cy="227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溫度係數 2.08，底棲耗氧量呈指數型飆升，抽乾下層水體的溶氧，導致局部氧化還原電位 (Eh) 崩跌至 -150 mV 以下。[1, 1] 此缺氧級聯反應觸發硫酸鹽還原菌以 19 至 281 mmol/m²/day 的速率釋放劇毒的硫化氫 (</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33"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)，在 0.8 米深處累積高達 8.5 mg/L。[1, 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更嚴重的是，有機物的厭氧消化會釋放甲烷 (</w:t>
      </w:r>
      <w:r w:rsidDel="00000000" w:rsidR="00000000" w:rsidRPr="00000000">
        <w:rPr>
          <w:rFonts w:ascii="Google Sans" w:cs="Google Sans" w:eastAsia="Google Sans" w:hAnsi="Google Sans"/>
          <w:color w:val="1f1f1f"/>
        </w:rPr>
        <w:drawing>
          <wp:inline distB="19050" distT="19050" distL="19050" distR="19050">
            <wp:extent cx="371922" cy="228875"/>
            <wp:effectExtent b="0" l="0" r="0" t="0"/>
            <wp:docPr id="32"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371922" cy="2288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氣泡。當這些氣泡上升並接觸溫躍層下方的微氧過渡帶時，好氧甲烷氧化菌會積極氧化甲烷。此反應的化學計量 (</w:t>
      </w:r>
      <w:r w:rsidDel="00000000" w:rsidR="00000000" w:rsidRPr="00000000">
        <w:rPr>
          <w:rFonts w:ascii="Google Sans" w:cs="Google Sans" w:eastAsia="Google Sans" w:hAnsi="Google Sans"/>
          <w:color w:val="1f1f1f"/>
        </w:rPr>
        <w:drawing>
          <wp:inline distB="19050" distT="19050" distL="19050" distR="19050">
            <wp:extent cx="2240756" cy="228843"/>
            <wp:effectExtent b="0" l="0" r="0" t="0"/>
            <wp:docPr id="35"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2240756" cy="2288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顯示每氧化 1 莫耳甲烷需要 2 莫耳氧氣，形同生物真空吸塵器，以 10 至 60 nmol/g/hr 的速率剝奪中層水體僅存的氧氣。</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大嘴黑鱸同時遭受極端的「空間擠壓」——被迫放棄致命的底棲區，卻又無法利用過熱的表層水 (&gt;35°C)。這將魚群侷限於狹窄的中層微氧庇護所，其覓食行為被完全抑制以維持基礎代謝生存，從而引發化學強迫的絕對「關機狀態」 (Lockjaw)。</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流體靜力學限制與氣壓強迫</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大嘴黑鱸是閉鰾類真骨魚；缺乏連接魚鰾與食道的氣管，使其無法透過物理吞嚥或排出空氣來快速調節浮力。</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中性浮力必須透過氣腺與微血管網調控的緩慢生化交換來維持。當需要增加浮力時，乳酸被分泌至微血管網，降低局部血液 pH 值，並觸發波耳與魯特效應，迫使氧氣從血紅蛋白解離進入魚鰾。</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由於這種生化擴散本質上非常緩慢，大氣壓力的快速下降將帶來嚴重的流體靜力學懲罰。在標準條件下，處於 1.5 m 深度的黑鱸（水壓 150 hPa 加上表面 1013 hPa）承受 1163 hPa 的絕對總壓力，平均魚鰾體積為 47.6 cm³（約佔其總體積 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當熱帶氣旋使氣壓驟降至 960 hPa 時，波以耳-馬略特定律決定了魚鰾會發生被動的體積膨脹。為了在沒有生化補償的情況下維持中性浮力，黑鱸必須額外下潛 53 cm 以抵消 53 hPa 的壓力損失。</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然而，在台灣淺水管理池（總深 1.5–2.0 m）中，這種強制下潛會將魚逼入缺氧且充滿 </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34"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的底泥中。由於缺乏流體靜力代償所需的垂直空間，黑鱸必須依賴胸鰭持續逆向撥水來對抗誘發的正浮力，這會消耗高達 137 W/kg 的軸上肌功率。</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乳酸的快速累積導致嚴重的代謝疲勞，瞬間切斷覓食驅力，並使魚群鎖定在絕對休眠狀態，直到氣壓恢復穩定為止。</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最佳覓食理論 (OFT) 與能量效益比</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最佳覓食理論 (OFT) 預測掠食者將根據體型、形態與行為選擇獵物，以在覓食過程中消耗的時間與代謝成本下，最大化淨能量獲取。</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對於大嘴黑鱸這種機會主義的頂級掠食者而言，數學最佳化要求熱量獲取必須抵消追擊與捕獲時高昂的無氧成本。</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生物能量學模型與處理時間</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覓食事件產生的淨能量獲取 (</w:t>
      </w:r>
      <w:r w:rsidDel="00000000" w:rsidR="00000000" w:rsidRPr="00000000">
        <w:rPr>
          <w:rFonts w:ascii="Google Sans" w:cs="Google Sans" w:eastAsia="Google Sans" w:hAnsi="Google Sans"/>
          <w:color w:val="1f1f1f"/>
        </w:rPr>
        <w:drawing>
          <wp:inline distB="19050" distT="19050" distL="19050" distR="19050">
            <wp:extent cx="329803" cy="226151"/>
            <wp:effectExtent b="0" l="0" r="0" t="0"/>
            <wp:docPr id="38"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329803" cy="2261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由獵物總熱量乘以同化效率，減去搜索、追擊與處理的累積代謝成本決定：</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8956"/>
            <wp:effectExtent b="0" l="0" r="0" t="0"/>
            <wp:docPr id="37"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5905500" cy="448956"/>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追擊與處理代表了自由游泳真骨魚類中最高的代謝消耗。餵食實驗顯示，以白肌中乳酸脫氫酶 (LDH) 累積量為指標的活動成本，會隨獵物大小呈非線性增加。</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攻擊接近最大口裂極限獵物的黑鱸，其 LDH 活性水平比捕食最佳大小獵物時高出 20%，導致長期的代謝疲勞與消化相關的遲鈍。</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形態口裂限制與最佳尺寸閾值</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雖然大嘴黑鱸在解剖學上能夠吞嚥接近其總長度 (TL) 50% 的獵物，但 OFT 表明最大可食用尺寸與最佳效率尺寸有根本區別。</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最大水平口裂寬度 (</w:t>
      </w:r>
      <w:r w:rsidDel="00000000" w:rsidR="00000000" w:rsidRPr="00000000">
        <w:rPr>
          <w:rFonts w:ascii="Google Sans" w:cs="Google Sans" w:eastAsia="Google Sans" w:hAnsi="Google Sans"/>
          <w:color w:val="1f1f1f"/>
        </w:rPr>
        <w:drawing>
          <wp:inline distB="19050" distT="19050" distL="19050" distR="19050">
            <wp:extent cx="344686" cy="229791"/>
            <wp:effectExtent b="0" l="0" r="0" t="0"/>
            <wp:docPr id="43"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344686" cy="2297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與總長呈異速生長比例：</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41"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對於標準 350 mm 的成年黑鱸，最大口裂寬度約為 43.4 mm。</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對每單位消耗重量的處理時間進行實證分析表明，最佳獵物與掠食者長度比精確地隨獵物形態變化：兩棲類幼體（蝌蚪）為 0.22，紡錘形魚類與甲殼類為 0.24，深體型太陽魚或鯉科魚類為 0.29。</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因此，對於 350 mm 的黑鱸，數學上最佳的獵物長度嚴格落在 77 mm 到 101 mm 之間。在這個 22–29% TL 閾值內的獵物能提供最高 </w:t>
      </w:r>
      <w:r w:rsidDel="00000000" w:rsidR="00000000" w:rsidRPr="00000000">
        <w:rPr>
          <w:rFonts w:ascii="Google Sans" w:cs="Google Sans" w:eastAsia="Google Sans" w:hAnsi="Google Sans"/>
          <w:color w:val="1f1f1f"/>
        </w:rPr>
        <w:drawing>
          <wp:inline distB="19050" distT="19050" distL="19050" distR="19050">
            <wp:extent cx="329803" cy="226151"/>
            <wp:effectExtent b="0" l="0" r="0" t="0"/>
            <wp:docPr id="46"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329803" cy="2261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，傳遞大量熱量，而不會引發操作與長時間吞嚥最大口裂 (50% TL) 生物時指數增加的 LDH 懲罰。</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台灣常見獵物的能量效益比</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評估台灣大嘴黑鱸的覓食生態學需要將 OFT 直接應用於局部獵物矩陣。這些物種的特定能量密度（濕重 kcal/g）和形態逃避策略確立了嚴格的生物能量層級。</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獵物物種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俗名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估算能量密度 (kcal/g 濕重)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最佳掠食者獵物 TL 比</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OFT 效益與處理成本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Fejervarya limnocharis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澤蛙 (蝌蚪)</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1.10 - 1.25 (乾重約 5.4 kcal/g)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極高：</w:t>
            </w:r>
            <w:r w:rsidDel="00000000" w:rsidR="00000000" w:rsidRPr="00000000">
              <w:rPr>
                <w:rFonts w:ascii="Google Sans" w:cs="Google Sans" w:eastAsia="Google Sans" w:hAnsi="Google Sans"/>
                <w:color w:val="1f1f1f"/>
                <w:rtl w:val="0"/>
              </w:rPr>
              <w:t xml:space="preserve"> 無結構防禦；處理時間幾乎為零。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Gambusia affinis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大肚魚 (西部食蚊魚)</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0.85 - 1.10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高：</w:t>
            </w:r>
            <w:r w:rsidDel="00000000" w:rsidR="00000000" w:rsidRPr="00000000">
              <w:rPr>
                <w:rFonts w:ascii="Google Sans" w:cs="Google Sans" w:eastAsia="Google Sans" w:hAnsi="Google Sans"/>
                <w:color w:val="1f1f1f"/>
                <w:rtl w:val="0"/>
              </w:rPr>
              <w:t xml:space="preserve"> 密集魚群減少搜索時間；Jacobs 選擇指數呈高度正相關。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Carassius auratus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鯽魚 / 金魚 (幼魚)</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1.05 - 1.25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中等：</w:t>
            </w:r>
            <w:r w:rsidDel="00000000" w:rsidR="00000000" w:rsidRPr="00000000">
              <w:rPr>
                <w:rFonts w:ascii="Google Sans" w:cs="Google Sans" w:eastAsia="Google Sans" w:hAnsi="Google Sans"/>
                <w:color w:val="1f1f1f"/>
                <w:rtl w:val="0"/>
              </w:rPr>
              <w:t xml:space="preserve"> 深體型與鰭條需要頭部朝前的操作，增加 </w:t>
            </w:r>
            <w:r w:rsidDel="00000000" w:rsidR="00000000" w:rsidRPr="00000000">
              <w:rPr>
                <w:rFonts w:ascii="Google Sans" w:cs="Google Sans" w:eastAsia="Google Sans" w:hAnsi="Google Sans"/>
                <w:color w:val="1f1f1f"/>
              </w:rPr>
              <w:drawing>
                <wp:inline distB="19050" distT="19050" distL="19050" distR="19050">
                  <wp:extent cx="633413" cy="226894"/>
                  <wp:effectExtent b="0" l="0" r="0" t="0"/>
                  <wp:docPr id="44"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633413" cy="226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Oreochromis</w:t>
            </w:r>
            <w:r w:rsidDel="00000000" w:rsidR="00000000" w:rsidRPr="00000000">
              <w:rPr>
                <w:rFonts w:ascii="Google Sans" w:cs="Google Sans" w:eastAsia="Google Sans" w:hAnsi="Google Sans"/>
                <w:color w:val="1f1f1f"/>
                <w:rtl w:val="0"/>
              </w:rPr>
              <w:t xml:space="preserve"> sp.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吳郭魚 / 福壽魚 (幼魚)</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1.00 - 1.20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低至中等：</w:t>
            </w:r>
            <w:r w:rsidDel="00000000" w:rsidR="00000000" w:rsidRPr="00000000">
              <w:rPr>
                <w:rFonts w:ascii="Google Sans" w:cs="Google Sans" w:eastAsia="Google Sans" w:hAnsi="Google Sans"/>
                <w:color w:val="1f1f1f"/>
                <w:rtl w:val="0"/>
              </w:rPr>
              <w:t xml:space="preserve"> 深體型與硬棘背鰭防禦增加處理難度；LDH 消耗高（與鯽魚相近）。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Macrobrachium nipponense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日本沼蝦 (粗糙沼蝦)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0.80 - 0.95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低：</w:t>
            </w:r>
            <w:r w:rsidDel="00000000" w:rsidR="00000000" w:rsidRPr="00000000">
              <w:rPr>
                <w:rFonts w:ascii="Google Sans" w:cs="Google Sans" w:eastAsia="Google Sans" w:hAnsi="Google Sans"/>
                <w:color w:val="1f1f1f"/>
                <w:rtl w:val="0"/>
              </w:rPr>
              <w:t xml:space="preserve"> 底棲撤退與幾何質額角大幅增加處理時間；LDH 消耗極高。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Ctenogobius giurinus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頰紋鰕虎</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0.90 - 1.10 [理論推估]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低至中等：</w:t>
            </w:r>
            <w:r w:rsidDel="00000000" w:rsidR="00000000" w:rsidRPr="00000000">
              <w:rPr>
                <w:rFonts w:ascii="Google Sans" w:cs="Google Sans" w:eastAsia="Google Sans" w:hAnsi="Google Sans"/>
                <w:color w:val="1f1f1f"/>
                <w:rtl w:val="0"/>
              </w:rPr>
              <w:t xml:space="preserve"> 腹鰭吸盤緊附底質大幅增加搜索與追擊時間；LDH 消耗估算約為鯽魚的 1.1×。</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數據源自區域分類群的生物能量模型與彈式量熱法。</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獵物效益的機制分析：</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Fejervarya limnocharis (蝌蚪)：</w:t>
      </w:r>
      <w:r w:rsidDel="00000000" w:rsidR="00000000" w:rsidRPr="00000000">
        <w:rPr>
          <w:rFonts w:ascii="Google Sans" w:cs="Google Sans" w:eastAsia="Google Sans" w:hAnsi="Google Sans"/>
          <w:color w:val="1f1f1f"/>
          <w:rtl w:val="0"/>
        </w:rPr>
        <w:t xml:space="preserve"> 由於極高的乾重能量密度接近 5489 kcal/kg，且完全沒有結構防禦（棘刺、鱗片或堅硬甲殼），蝌蚪代表了 OFT 效率的熱力學巔峰。</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追擊階段被縮短，最小化 </w:t>
      </w:r>
      <w:r w:rsidDel="00000000" w:rsidR="00000000" w:rsidRPr="00000000">
        <w:rPr>
          <w:rFonts w:ascii="Google Sans" w:cs="Google Sans" w:eastAsia="Google Sans" w:hAnsi="Google Sans"/>
          <w:color w:val="1f1f1f"/>
        </w:rPr>
        <w:drawing>
          <wp:inline distB="19050" distT="19050" distL="19050" distR="19050">
            <wp:extent cx="564059" cy="229448"/>
            <wp:effectExtent b="0" l="0" r="0" t="0"/>
            <wp:docPr id="47"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564059" cy="2294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，且處理時間幾乎是瞬間的，使黑鱸能在每毫秒肌肉運作中最大化淨能量獲取。</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Gambusia affinis (大肚魚)：</w:t>
      </w:r>
      <w:r w:rsidDel="00000000" w:rsidR="00000000" w:rsidRPr="00000000">
        <w:rPr>
          <w:rFonts w:ascii="Google Sans" w:cs="Google Sans" w:eastAsia="Google Sans" w:hAnsi="Google Sans"/>
          <w:color w:val="1f1f1f"/>
          <w:rtl w:val="0"/>
        </w:rPr>
        <w:t xml:space="preserve"> 雖然個體熱量產出適中，但大肚魚會聚集在密集、可預測的魚群中。幼年與亞成體黑鱸對大肚魚表現出高度正向的 Jacobs 選擇指數，每次攻擊的捕獲成功率接近 90%。</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極短的搜索時間與幾乎保證的吞食使其在能量上極具優勢。</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Carassius auratus (鯽魚)：</w:t>
      </w:r>
      <w:r w:rsidDel="00000000" w:rsidR="00000000" w:rsidRPr="00000000">
        <w:rPr>
          <w:rFonts w:ascii="Google Sans" w:cs="Google Sans" w:eastAsia="Google Sans" w:hAnsi="Google Sans"/>
          <w:color w:val="1f1f1f"/>
          <w:rtl w:val="0"/>
        </w:rPr>
        <w:t xml:space="preserve"> 作為深體型的鯉科魚，鯽魚迫使黑鱸在吞嚥前必須將獵物調整為頭部朝前，以避開豎起的鰭條。</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這種結構防禦機制極大地增加了 </w:t>
      </w:r>
      <w:r w:rsidDel="00000000" w:rsidR="00000000" w:rsidRPr="00000000">
        <w:rPr>
          <w:rFonts w:ascii="Google Sans" w:cs="Google Sans" w:eastAsia="Google Sans" w:hAnsi="Google Sans"/>
          <w:color w:val="1f1f1f"/>
        </w:rPr>
        <w:drawing>
          <wp:inline distB="19050" distT="19050" distL="19050" distR="19050">
            <wp:extent cx="633413" cy="226894"/>
            <wp:effectExtent b="0" l="0" r="0" t="0"/>
            <wp:docPr id="48"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633413" cy="226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，隨後推高無氧 LDH 累積。除非獵物遠低於 0.29 TL 的最佳比例邊界，否則黑鱸捕食鯽魚的整體效率比會下降。</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Ctenogobius giurinus (頰紋鰕虎)：</w:t>
      </w:r>
      <w:r w:rsidDel="00000000" w:rsidR="00000000" w:rsidRPr="00000000">
        <w:rPr>
          <w:rFonts w:ascii="Google Sans" w:cs="Google Sans" w:eastAsia="Google Sans" w:hAnsi="Google Sans"/>
          <w:color w:val="1f1f1f"/>
          <w:rtl w:val="0"/>
        </w:rPr>
        <w:t xml:space="preserve"> 作為底棲物種，其腹鰭癒合形成吸盤，能緊密吸附於底床結構上。這種形態適應加上隱蔽的底棲逃竄行為，使得黑鱸的搜索與追擊時間大幅延長；相較於水層中的獵物，將其從底質中拔除並捕獲的過程需耗費更多無氧爆發力，推估其 LDH 消耗量高於大肚魚，並約為捕食鯽魚時的 1.1 倍。</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養殖印記、條件反射與記憶強化</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將大嘴黑鱸放流至台灣封閉或半封閉水體通常依賴水產養殖來源的個體。這些魚從高度控制的合成飼養環境轉移至競爭激烈的野生生態系統，其神經轉換徹底改變了牠們的感官解碼演算法、覓食行為及對釣魚的易感性。</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飼料印記與個體發育解碼</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在高強度的水產養殖中，大嘴黑鱸在早期發育階段（3.8 至 5.0 cm TL）被強制轉換（馴餌）從活體浮游動物改吃擠壓成型的人工顆粒飼料。</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這種密集的制約過程實質上重塑了魚類神經迴路中的視覺與聲學搜索圖像。養殖黑鱸在神經上會對顆粒擊打水面的特定聲學頻率產生印記，並與均勻、對稱下沉、高對比度輪廓的視覺特徵結合。</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當被釋放到野生環境時，帶有飼料印記的黑鱸在自然獵物識別上表現出嚴重缺陷。實驗遙測與競爭覓食試驗表明，吃飼料長大的黑鱸在初次暴露於野生黑鱸的競爭中，高達 91% 的情況下無法捕獲活體獵物。</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將飼料印記神經路徑覆蓋為野生獵物識別演算法所需的潛伏期——即養殖反射的「衰減時間」——可能長達數週至數月。</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在這個過渡性的衰減窗口期間，養殖黑鱸嚴重依賴先天、未經計算的「悄悄靠近」與盲目的反射性攻擊，而非深思熟慮的掠食跟蹤。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這種持久的神經印記使牠們暫時性地、但極度容易受到模擬水產飼料均勻下沉速率與落水聲頻率的垂直下沉人工假餌的影響。</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皮質醇驅動的記憶強化與假餌迴避</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隨著黑鱸適應自然化環境並經歷密集的釣魚壓力，複雜的神經內分泌學習機制塑造了牠們未來的易感性。真骨魚類的壓力反應由下視丘-腦下垂體-間腎軸 (HPI 軸) 調控，該軸協調糖皮質激素（皮質醇）的合成與全身釋放。</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在正常生理條件下，未受壓力的黑鱸基礎靜息血漿皮質醇狹窄分佈於 1.68 至 10.69 ng/mL（平均約 6.0 ng/mL）。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然而，被人工假餌欺騙、被鉤住，並經歷耗竭性無氧運動及隨後的空氣暴露所帶來的急性創傷，會觸發 HPI 軸內的劇烈級聯反應，使血漿皮質醇濃度飆升至 150 ng/mL 以上。</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這種巨大的皮質醇激增不僅僅是調動肝醣原以維持立即的生理生存；它在端腦中充當極強的神經調節劑，迅速鞏固被捕獲事件的情節記憶。</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這種皮質醇反應的幅度與負增強及隨後假餌迴避的強度直接相關。實驗證據顯示出倒 U 型的劑量反應關係：急性、嚴重的皮質醇升高會將冒犯假餌的特定視覺、聲學與振動特徵永久鎖定在黑鱸的長期陳述性記憶中。</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因此，具有先天高皮質醇反應性（「反應型」生理表型）的黑鱸，在學習識別與避開人工假餌方面，比低皮質醇反應性的個體更快且更持久。</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漁業誘發演化 (FIE) 與表型轉變</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在捕後放流 (Catch-and-release) 盛行的高壓環境（如台灣管理池）中，這種生理機制施加了深遠的選擇壓力。垂釣系統性地從活躍覓食的群體中移除了「大膽」、高度攻擊性、低皮質醇的個體（高易感性魚，HVF），而過度警覺、高皮質醇的個體（低易感性魚，LVF）則快速學習並存活下來繁衍後代。</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經過連續幾代，這種動態驅動了漁業誘發演化 (FIE)，轉變了整個族群的遺傳與代謝基底。</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產生的後代遺傳了更高的壓力反應性、誇張的新恐懼症（害怕新奇事物）行為傾向，以及對假餌迴避的先天預先編程神經傾向。</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結果，承受重壓的水體轉變為充滿敵意的垂釣環境，標準的基於 OFT 的餵食表現會被適應 FIE 的高皮質醇黑鱸透過視覺皮層仔細審查、分析並最終拒絕。</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Reaction Strike（反射性咬餌）的神經機制與運動學</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當認知飽足、熱緊迫或極端的皮質醇驅動假餌迴避抑制了主動基於 OFT 的覓食時，掠食行為會完全退化為「Reaction Strike（反射性咬餌）」。這種行為從根本上與代謝飢餓狀態脫鉤；它是一種非自願的皮層下神經反射，由空間防禦、競爭性搶食以及消除突發環境異常的硬編碼必要性所驅動。</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上丘（視頂蓋） vs. 視覺皮層潛伏期</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真骨魚類中，視覺處理被分岔為兩個在解剖學和時間上截然不同的路徑。複雜的物體識別、空間模式解碼與精確的色度辨別是透過丘腦-皮層等效路徑處理的。這種認知評估需要相對較長的神經潛伏期——通常為 60 到 100+ 毫秒 (ms)——用於高階處理並與負面情節記憶進行交叉比對。</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當黑鱸小心翼翼地跟蹤一個緩慢移動的汲頭鉤時，牠會參與這個皮層路徑，提供充足的時間來識別威脅並中止攻擊。</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相反，對突然、高速運動的檢測完全繞過了這個較慢的認知迴路。快速的視覺瞬變與逼近的刺激從視網膜直接路由到</w:t>
      </w:r>
      <w:r w:rsidDel="00000000" w:rsidR="00000000" w:rsidRPr="00000000">
        <w:rPr>
          <w:rFonts w:ascii="Google Sans" w:cs="Google Sans" w:eastAsia="Google Sans" w:hAnsi="Google Sans"/>
          <w:b w:val="1"/>
          <w:bCs w:val="1"/>
          <w:color w:val="1f1f1f"/>
          <w:rtl w:val="0"/>
        </w:rPr>
        <w:t xml:space="preserve">視頂蓋 (Optic Tectum)</w:t>
      </w:r>
      <w:r w:rsidDel="00000000" w:rsidR="00000000" w:rsidRPr="00000000">
        <w:rPr>
          <w:rFonts w:ascii="Google Sans" w:cs="Google Sans" w:eastAsia="Google Sans" w:hAnsi="Google Sans"/>
          <w:color w:val="1f1f1f"/>
          <w:rtl w:val="0"/>
        </w:rPr>
        <w:t xml:space="preserve">（相當於哺乳動物上丘 SC 的真骨魚類同源物）的淺層。</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SC 是一個演化古老的中腦結構，專為超快的感覺運動轉換而最佳化。電生理記錄表明，SC 中的神經元對視覺運動的反應具有驚人的極短潛伏期，僅為 30 至 50 ms。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SC 在不需要皮層確認的情況下觸發立即的運動前信號，迫使肌肉在 大腦完全識別該物體之前 執行吞噬動作。</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觸發 Reaction Strike 的最小速度閾值 (m/s)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要讓移動物體觸發 SC 介導的反射而不是皮層檢查，其在魚視網膜上的角速度 (</w:t>
      </w:r>
      <w:r w:rsidDel="00000000" w:rsidR="00000000" w:rsidRPr="00000000">
        <w:rPr>
          <w:rFonts w:ascii="Google Sans" w:cs="Google Sans" w:eastAsia="Google Sans" w:hAnsi="Google Sans"/>
          <w:color w:val="1f1f1f"/>
        </w:rPr>
        <w:drawing>
          <wp:inline distB="19050" distT="19050" distL="19050" distR="19050">
            <wp:extent cx="121295" cy="223930"/>
            <wp:effectExtent b="0" l="0" r="0" t="0"/>
            <wp:docPr id="4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21295" cy="223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必須超過慢肌視覺路徑的整合閾值。如果刺激在直接碰撞路徑上逼近（逼近刺激），SC 會數學計算光學擴張率 (</w:t>
      </w:r>
      <w:r w:rsidDel="00000000" w:rsidR="00000000" w:rsidRPr="00000000">
        <w:rPr>
          <w:rFonts w:ascii="Google Sans" w:cs="Google Sans" w:eastAsia="Google Sans" w:hAnsi="Google Sans"/>
          <w:color w:val="1f1f1f"/>
        </w:rPr>
        <w:drawing>
          <wp:inline distB="19050" distT="19050" distL="19050" distR="19050">
            <wp:extent cx="442615" cy="230930"/>
            <wp:effectExtent b="0" l="0" r="0" t="0"/>
            <wp:docPr id="50"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442615" cy="230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對大嘴黑鱸捕食運動學的實驗肌電圖 (EMG) 分析顯示，高速追擊（衝撞餵食）涉及在攻擊前夕的深刻生理減速。</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然而，要從靜止的黑鱸</w:t>
      </w:r>
      <w:r w:rsidDel="00000000" w:rsidR="00000000" w:rsidRPr="00000000">
        <w:rPr>
          <w:rFonts w:ascii="Google Sans" w:cs="Google Sans" w:eastAsia="Google Sans" w:hAnsi="Google Sans"/>
          <w:i w:val="1"/>
          <w:iCs w:val="1"/>
          <w:color w:val="1f1f1f"/>
          <w:rtl w:val="0"/>
        </w:rPr>
        <w:t xml:space="preserve">觸發</w:t>
      </w:r>
      <w:r w:rsidDel="00000000" w:rsidR="00000000" w:rsidRPr="00000000">
        <w:rPr>
          <w:rFonts w:ascii="Google Sans" w:cs="Google Sans" w:eastAsia="Google Sans" w:hAnsi="Google Sans"/>
          <w:color w:val="1f1f1f"/>
          <w:rtl w:val="0"/>
        </w:rPr>
        <w:t xml:space="preserve">非自願反射，目標移動的速度必須快到魚沒有時間頻寬來應用認知否決權。基於神經肌肉反應潛伏期和吸入式進食的流體動力學限制（需要約 20-25 ms 達到峰值口裂），獵物或假餌必須在不到 0.3 秒的時間內穿過黑鱸的直接立體攻擊窗口（約 0.5 米的雙眼重疊區）。</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這項生物識別限制確立了</w:t>
      </w:r>
      <w:r w:rsidDel="00000000" w:rsidR="00000000" w:rsidRPr="00000000">
        <w:rPr>
          <w:rFonts w:ascii="Google Sans" w:cs="Google Sans" w:eastAsia="Google Sans" w:hAnsi="Google Sans"/>
          <w:b w:val="1"/>
          <w:bCs w:val="1"/>
          <w:color w:val="1f1f1f"/>
          <w:rtl w:val="0"/>
        </w:rPr>
        <w:t xml:space="preserve">約 1.5 至 1.8 m/s 的最小線性速度閾值</w:t>
      </w:r>
      <w:r w:rsidDel="00000000" w:rsidR="00000000" w:rsidRPr="00000000">
        <w:rPr>
          <w:rFonts w:ascii="Google Sans" w:cs="Google Sans" w:eastAsia="Google Sans" w:hAnsi="Google Sans"/>
          <w:color w:val="1f1f1f"/>
          <w:rtl w:val="0"/>
        </w:rPr>
        <w:t xml:space="preserve">，以強制引發真正的 Reaction Strike。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低於此速度閾值，刺激在視野中停留的時間足以讓較慢的皮層路徑處理視覺數據，從而允許魚基於負面記憶增強中止攻擊。高於此速度，SC 命令軸上肌和胸骨舌骨肌產生立即、非自願的運動指令，在物體離開攻擊區之前將其吞噬。</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演化驅動力：領域性與競爭性偷食</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 介導的反應性攻擊與代謝飢餓狀態的脫鉤植根於兩種強烈的演化生存壓力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競爭性偷食 (Kleptoparasitism)：</w:t>
      </w:r>
      <w:r w:rsidDel="00000000" w:rsidR="00000000" w:rsidRPr="00000000">
        <w:rPr>
          <w:rFonts w:ascii="Google Sans" w:cs="Google Sans" w:eastAsia="Google Sans" w:hAnsi="Google Sans"/>
          <w:color w:val="1f1f1f"/>
          <w:rtl w:val="0"/>
        </w:rPr>
        <w:t xml:space="preserve"> 在群體環境或高密度管理池中，一毫秒的猶豫就會導致熱量資產被同類偷走。從屬與優勢黑鱸都在基因上被硬編碼，會對不規則、快速移動的目標發動瞬間攻擊，以便在競爭對手反應之前確保獵物。SC 路徑確保黑鱸先攻擊，然後再評估熱量效用（品嚐/拒絕）。實驗證據證實，在有優勢同類存在的情況下，從屬大嘴黑鱸會顯著增加機會性攻擊與攻擊頻率，依靠速度來繞過優勢階層。</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領域防衛：</w:t>
      </w:r>
      <w:r w:rsidDel="00000000" w:rsidR="00000000" w:rsidRPr="00000000">
        <w:rPr>
          <w:rFonts w:ascii="Google Sans" w:cs="Google Sans" w:eastAsia="Google Sans" w:hAnsi="Google Sans"/>
          <w:color w:val="1f1f1f"/>
          <w:rtl w:val="0"/>
        </w:rPr>
        <w:t xml:space="preserve"> 在產卵前與產卵階段，黑鱸的攻擊窗口經歷了徹底的行為變態，從餵食區轉變為防禦邊界。快速移動物體的入侵代表了對巢穴或空間優勢的生存威脅。由此產生的攻擊不是基於 OFT 獲取熱量的嘗試，而是旨在殺死或驅逐入侵者的侵略性生物力學拍打。</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因為這是由中腦介導的攻擊反射，來自飽胃的飽足信號會被完全覆蓋。</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二元水體的光譜衰減</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視覺刺激向黑鱸視網膜的傳遞嚴格受水柱固有光學特性 (IOPs) 的支配。在台灣，北部和南部之間鮮明的地球化學分歧創造了兩種根本對立的光學環境：腐植酸褐色水與優養化綠色水。</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 </w:t>
      </w:r>
      <w:r w:rsidDel="00000000" w:rsidR="00000000" w:rsidRPr="00000000">
        <w:rPr>
          <w:rFonts w:ascii="Google Sans" w:cs="Google Sans" w:eastAsia="Google Sans" w:hAnsi="Google Sans"/>
          <w:color w:val="1f1f1f"/>
        </w:rPr>
        <w:drawing>
          <wp:inline distB="19050" distT="19050" distL="19050" distR="19050">
            <wp:extent cx="93911" cy="225385"/>
            <wp:effectExtent b="0" l="0" r="0" t="0"/>
            <wp:docPr id="51"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93911" cy="225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處向下光譜輻照度 (</w:t>
      </w:r>
      <w:r w:rsidDel="00000000" w:rsidR="00000000" w:rsidRPr="00000000">
        <w:rPr>
          <w:rFonts w:ascii="Google Sans" w:cs="Google Sans" w:eastAsia="Google Sans" w:hAnsi="Google Sans"/>
          <w:color w:val="1f1f1f"/>
        </w:rPr>
        <w:drawing>
          <wp:inline distB="19050" distT="19050" distL="19050" distR="19050">
            <wp:extent cx="211038" cy="230223"/>
            <wp:effectExtent b="0" l="0" r="0" t="0"/>
            <wp:docPr id="52"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211038" cy="2302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的衰減遵循比爾-朗伯定律 (Beer-Lambert Law)：</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8083"/>
            <wp:effectExtent b="0" l="0" r="0" t="0"/>
            <wp:docPr id="53"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5905500" cy="328083"/>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其中 </w:t>
      </w:r>
      <w:r w:rsidDel="00000000" w:rsidR="00000000" w:rsidRPr="00000000">
        <w:rPr>
          <w:rFonts w:ascii="Google Sans" w:cs="Google Sans" w:eastAsia="Google Sans" w:hAnsi="Google Sans"/>
          <w:color w:val="1f1f1f"/>
        </w:rPr>
        <w:drawing>
          <wp:inline distB="19050" distT="19050" distL="19050" distR="19050">
            <wp:extent cx="483840" cy="227690"/>
            <wp:effectExtent b="0" l="0" r="0" t="0"/>
            <wp:docPr id="54"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483840" cy="2276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是光譜漫衰減係數 (m⁻¹)，計算為純水 (</w:t>
      </w:r>
      <w:r w:rsidDel="00000000" w:rsidR="00000000" w:rsidRPr="00000000">
        <w:rPr>
          <w:rFonts w:ascii="Google Sans" w:cs="Google Sans" w:eastAsia="Google Sans" w:hAnsi="Google Sans"/>
          <w:color w:val="1f1f1f"/>
        </w:rPr>
        <w:drawing>
          <wp:inline distB="19050" distT="19050" distL="19050" distR="19050">
            <wp:extent cx="137070" cy="234978"/>
            <wp:effectExtent b="0" l="0" r="0" t="0"/>
            <wp:docPr id="2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137070" cy="2349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)、有色溶解有機物 (</w:t>
      </w:r>
      <w:r w:rsidDel="00000000" w:rsidR="00000000" w:rsidRPr="00000000">
        <w:rPr>
          <w:rFonts w:ascii="Google Sans" w:cs="Google Sans" w:eastAsia="Google Sans" w:hAnsi="Google Sans"/>
          <w:color w:val="1f1f1f"/>
        </w:rPr>
        <w:drawing>
          <wp:inline distB="19050" distT="19050" distL="19050" distR="19050">
            <wp:extent cx="642491" cy="230146"/>
            <wp:effectExtent b="0" l="0" r="0" t="0"/>
            <wp:docPr id="22"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642491" cy="230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)、浮游植物 (</w:t>
      </w:r>
      <w:r w:rsidDel="00000000" w:rsidR="00000000" w:rsidRPr="00000000">
        <w:rPr>
          <w:rFonts w:ascii="Google Sans" w:cs="Google Sans" w:eastAsia="Google Sans" w:hAnsi="Google Sans"/>
          <w:color w:val="1f1f1f"/>
        </w:rPr>
        <w:drawing>
          <wp:inline distB="19050" distT="19050" distL="19050" distR="19050">
            <wp:extent cx="199132" cy="227579"/>
            <wp:effectExtent b="0" l="0" r="0" t="0"/>
            <wp:docPr id="2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199132" cy="2275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和非藻類顆粒 (</w:t>
      </w:r>
      <w:r w:rsidDel="00000000" w:rsidR="00000000" w:rsidRPr="00000000">
        <w:rPr>
          <w:rFonts w:ascii="Google Sans" w:cs="Google Sans" w:eastAsia="Google Sans" w:hAnsi="Google Sans"/>
          <w:color w:val="1f1f1f"/>
        </w:rPr>
        <w:drawing>
          <wp:inline distB="19050" distT="19050" distL="19050" distR="19050">
            <wp:extent cx="450652" cy="230120"/>
            <wp:effectExtent b="0" l="0" r="0" t="0"/>
            <wp:docPr id="24"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450652" cy="2301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吸收 (</w:t>
      </w:r>
      <w:r w:rsidDel="00000000" w:rsidR="00000000" w:rsidRPr="00000000">
        <w:rPr>
          <w:rFonts w:ascii="Google Sans" w:cs="Google Sans" w:eastAsia="Google Sans" w:hAnsi="Google Sans"/>
          <w:color w:val="1f1f1f"/>
        </w:rPr>
        <w:drawing>
          <wp:inline distB="19050" distT="19050" distL="19050" distR="19050">
            <wp:extent cx="97631" cy="234315"/>
            <wp:effectExtent b="0" l="0" r="0" t="0"/>
            <wp:docPr id="25"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97631" cy="234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和背向散射 (</w:t>
      </w:r>
      <w:r w:rsidDel="00000000" w:rsidR="00000000" w:rsidRPr="00000000">
        <w:rPr>
          <w:rFonts w:ascii="Google Sans" w:cs="Google Sans" w:eastAsia="Google Sans" w:hAnsi="Google Sans"/>
          <w:color w:val="1f1f1f"/>
        </w:rPr>
        <w:drawing>
          <wp:inline distB="19050" distT="19050" distL="19050" distR="19050">
            <wp:extent cx="143768" cy="230030"/>
            <wp:effectExtent b="0" l="0" r="0" t="0"/>
            <wp:docPr id="26"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143768" cy="2300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的總和。</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台灣北部：腐植酸褐色水</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北部台灣的埤塘與水庫由高度淋溶的極育土供應，負載了大量陸源富里酸與腐植酸。這創造了一個幾乎完全由 CDOM 主導的光學環境。</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CDOM 的吸收係數隨波長增加呈指數下降，模型化為：</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8083"/>
            <wp:effectExtent b="0" l="0" r="0" t="0"/>
            <wp:docPr id="27"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905500" cy="328083"/>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其中 </w:t>
      </w: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28"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是光譜斜率參數（通常在 0.011 至 0.018 nm⁻¹ 之間）。</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由於這條陡峭的指數曲線，腐植酸褐色水充當了無情的短波長過濾器。它大量吸收紫外線 (UV)、紫色與藍色光 (400–500 nm)，在高度染色條件下 </w:t>
      </w:r>
      <w:r w:rsidDel="00000000" w:rsidR="00000000" w:rsidRPr="00000000">
        <w:rPr>
          <w:rFonts w:ascii="Google Sans" w:cs="Google Sans" w:eastAsia="Google Sans" w:hAnsi="Google Sans"/>
          <w:color w:val="1f1f1f"/>
        </w:rPr>
        <w:drawing>
          <wp:inline distB="19050" distT="19050" distL="19050" distR="19050">
            <wp:extent cx="976760" cy="227595"/>
            <wp:effectExtent b="0" l="0" r="0" t="0"/>
            <wp:docPr id="29"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976760" cy="2275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經常超過 2.0 至 5.0 m⁻¹。</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因此，藍色與綠色光子在水柱的頂部一米內被迅速熄滅，只留下較長的波長（黃、橙、紅；550–700 nm）穿透至黑鱸進行伏擊的底棲區。</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台灣南部：優養化綠色水</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相反地，南部水體以鹼性 pH 值和極端蒸發驅動的營養鹽濃縮為特徵，絕大多數由浮游植物主導，特別是形成藻華的藍綠菌微囊藻 (</w:t>
      </w:r>
      <w:r w:rsidDel="00000000" w:rsidR="00000000" w:rsidRPr="00000000">
        <w:rPr>
          <w:rFonts w:ascii="Google Sans" w:cs="Google Sans" w:eastAsia="Google Sans" w:hAnsi="Google Sans"/>
          <w:i w:val="1"/>
          <w:iCs w:val="1"/>
          <w:color w:val="1f1f1f"/>
          <w:rtl w:val="0"/>
        </w:rPr>
        <w:t xml:space="preserve">Microcystis aeruginosa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與 CDOM 平滑的指數吸收曲線不同，浮游植物的衰減是由其組成色素具體、鋸齒狀的吸收峰所定義的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葉綠素-a (Chlorophyll-a)：</w:t>
      </w:r>
      <w:r w:rsidDel="00000000" w:rsidR="00000000" w:rsidRPr="00000000">
        <w:rPr>
          <w:rFonts w:ascii="Google Sans" w:cs="Google Sans" w:eastAsia="Google Sans" w:hAnsi="Google Sans"/>
          <w:color w:val="1f1f1f"/>
          <w:rtl w:val="0"/>
        </w:rPr>
        <w:t xml:space="preserve"> 在藍光波段 (~435 nm) 展現出巨大的主要吸收峰，並在紅光波段 (~670 nm) 有一個次要、高度明顯的吸收槽。</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藻藍蛋白 (Phycocyanin)：</w:t>
      </w:r>
      <w:r w:rsidDel="00000000" w:rsidR="00000000" w:rsidRPr="00000000">
        <w:rPr>
          <w:rFonts w:ascii="Google Sans" w:cs="Google Sans" w:eastAsia="Google Sans" w:hAnsi="Google Sans"/>
          <w:color w:val="1f1f1f"/>
          <w:rtl w:val="0"/>
        </w:rPr>
        <w:t xml:space="preserve"> 藍綠菌的標誌性色素，在橙紅色光譜的正好 </w:t>
      </w:r>
      <w:r w:rsidDel="00000000" w:rsidR="00000000" w:rsidRPr="00000000">
        <w:rPr>
          <w:rFonts w:ascii="Google Sans" w:cs="Google Sans" w:eastAsia="Google Sans" w:hAnsi="Google Sans"/>
          <w:b w:val="1"/>
          <w:bCs w:val="1"/>
          <w:color w:val="1f1f1f"/>
          <w:rtl w:val="0"/>
        </w:rPr>
        <w:t xml:space="preserve">620 nm</w:t>
      </w:r>
      <w:r w:rsidDel="00000000" w:rsidR="00000000" w:rsidRPr="00000000">
        <w:rPr>
          <w:rFonts w:ascii="Google Sans" w:cs="Google Sans" w:eastAsia="Google Sans" w:hAnsi="Google Sans"/>
          <w:color w:val="1f1f1f"/>
          <w:rtl w:val="0"/>
        </w:rPr>
        <w:t xml:space="preserve"> 處產生巨大的定義性吸收峰。</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由於微囊藻 (</w:t>
      </w:r>
      <w:r w:rsidDel="00000000" w:rsidR="00000000" w:rsidRPr="00000000">
        <w:rPr>
          <w:rFonts w:ascii="Google Sans" w:cs="Google Sans" w:eastAsia="Google Sans" w:hAnsi="Google Sans"/>
          <w:i w:val="1"/>
          <w:iCs w:val="1"/>
          <w:color w:val="1f1f1f"/>
          <w:rtl w:val="0"/>
        </w:rPr>
        <w:t xml:space="preserve">Microcystis aeruginosa</w:t>
      </w:r>
      <w:r w:rsidDel="00000000" w:rsidR="00000000" w:rsidRPr="00000000">
        <w:rPr>
          <w:rFonts w:ascii="Google Sans" w:cs="Google Sans" w:eastAsia="Google Sans" w:hAnsi="Google Sans"/>
          <w:color w:val="1f1f1f"/>
          <w:rtl w:val="0"/>
        </w:rPr>
        <w:t xml:space="preserve">) 積極吸收藍光 (435 nm) 與紅光 (620–670 nm)，成功散射並穿透水柱深處的唯一光子位於綠色光譜 (500–560 nm)。在嚴重的藻華期間，整體漫衰減係數 </w:t>
      </w:r>
      <w:r w:rsidDel="00000000" w:rsidR="00000000" w:rsidRPr="00000000">
        <w:rPr>
          <w:rFonts w:ascii="Google Sans" w:cs="Google Sans" w:eastAsia="Google Sans" w:hAnsi="Google Sans"/>
          <w:color w:val="1f1f1f"/>
        </w:rPr>
        <w:drawing>
          <wp:inline distB="19050" distT="19050" distL="19050" distR="19050">
            <wp:extent cx="800100" cy="228600"/>
            <wp:effectExtent b="0" l="0" r="0" t="0"/>
            <wp:docPr id="30"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800100"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可能超過 5.0 至 10.0 m⁻¹，使底棲區陷入幾乎完全黑暗的狀態，整體能見度降至 10 cm 以下。</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光譜敏感度、韋伯定律與對比度閾值</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為了在這些經過重重過濾、波長受限的光學環境中有效狩獵，大嘴黑鱸依賴於高度特化但生理上受限的視覺裝置。</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大嘴黑鱸光譜敏感度曲線</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顯微分光光度法與行為訓練分析顯示，大嘴黑鱸擁有嚴格的</w:t>
      </w:r>
      <w:r w:rsidDel="00000000" w:rsidR="00000000" w:rsidRPr="00000000">
        <w:rPr>
          <w:rFonts w:ascii="Google Sans" w:cs="Google Sans" w:eastAsia="Google Sans" w:hAnsi="Google Sans"/>
          <w:b w:val="1"/>
          <w:bCs w:val="1"/>
          <w:color w:val="1f1f1f"/>
          <w:rtl w:val="0"/>
        </w:rPr>
        <w:t xml:space="preserve">二色視覺 (Dichromatic)</w:t>
      </w:r>
      <w:r w:rsidDel="00000000" w:rsidR="00000000" w:rsidRPr="00000000">
        <w:rPr>
          <w:rFonts w:ascii="Google Sans" w:cs="Google Sans" w:eastAsia="Google Sans" w:hAnsi="Google Sans"/>
          <w:color w:val="1f1f1f"/>
          <w:rtl w:val="0"/>
        </w:rPr>
        <w:t xml:space="preserve"> 系統。牠完全缺乏短波長敏感 (SWS) 視錐細胞，這意味著該物種對真正的藍色與紫外線波長完全盲目。</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感光受體矩陣僅由三種細胞類型組成：</w:t>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單錐細胞 (Single Cone Cells)：</w:t>
      </w:r>
      <w:r w:rsidDel="00000000" w:rsidR="00000000" w:rsidRPr="00000000">
        <w:rPr>
          <w:rFonts w:ascii="Google Sans" w:cs="Google Sans" w:eastAsia="Google Sans" w:hAnsi="Google Sans"/>
          <w:color w:val="1f1f1f"/>
          <w:rtl w:val="0"/>
        </w:rPr>
        <w:t xml:space="preserve"> 含有中波長敏感 (MWS) 感光色素，其吸收峰 (</w:t>
      </w:r>
      <w:r w:rsidDel="00000000" w:rsidR="00000000" w:rsidRPr="00000000">
        <w:rPr>
          <w:rFonts w:ascii="Google Sans" w:cs="Google Sans" w:eastAsia="Google Sans" w:hAnsi="Google Sans"/>
          <w:color w:val="1f1f1f"/>
        </w:rPr>
        <w:drawing>
          <wp:inline distB="19050" distT="19050" distL="19050" distR="19050">
            <wp:extent cx="372368" cy="229150"/>
            <wp:effectExtent b="0" l="0" r="0" t="0"/>
            <wp:docPr id="11"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372368" cy="2291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位於 </w:t>
      </w:r>
      <w:r w:rsidDel="00000000" w:rsidR="00000000" w:rsidRPr="00000000">
        <w:rPr>
          <w:rFonts w:ascii="Google Sans" w:cs="Google Sans" w:eastAsia="Google Sans" w:hAnsi="Google Sans"/>
          <w:b w:val="1"/>
          <w:bCs w:val="1"/>
          <w:color w:val="1f1f1f"/>
          <w:rtl w:val="0"/>
        </w:rPr>
        <w:t xml:space="preserve">535 nm</w:t>
      </w:r>
      <w:r w:rsidDel="00000000" w:rsidR="00000000" w:rsidRPr="00000000">
        <w:rPr>
          <w:rFonts w:ascii="Google Sans" w:cs="Google Sans" w:eastAsia="Google Sans" w:hAnsi="Google Sans"/>
          <w:color w:val="1f1f1f"/>
          <w:rtl w:val="0"/>
        </w:rPr>
        <w:t xml:space="preserve">（綠光敏感）。</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雙錐細胞 (Twin Cone Cells)：</w:t>
      </w:r>
      <w:r w:rsidDel="00000000" w:rsidR="00000000" w:rsidRPr="00000000">
        <w:rPr>
          <w:rFonts w:ascii="Google Sans" w:cs="Google Sans" w:eastAsia="Google Sans" w:hAnsi="Google Sans"/>
          <w:color w:val="1f1f1f"/>
          <w:rtl w:val="0"/>
        </w:rPr>
        <w:t xml:space="preserve"> 含有長波長敏感 (LWS) 感光色素，其吸收峰 (</w:t>
      </w:r>
      <w:r w:rsidDel="00000000" w:rsidR="00000000" w:rsidRPr="00000000">
        <w:rPr>
          <w:rFonts w:ascii="Google Sans" w:cs="Google Sans" w:eastAsia="Google Sans" w:hAnsi="Google Sans"/>
          <w:color w:val="1f1f1f"/>
        </w:rPr>
        <w:drawing>
          <wp:inline distB="19050" distT="19050" distL="19050" distR="19050">
            <wp:extent cx="372368" cy="229150"/>
            <wp:effectExtent b="0" l="0" r="0" t="0"/>
            <wp:docPr id="12"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372368" cy="2291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位於 </w:t>
      </w:r>
      <w:r w:rsidDel="00000000" w:rsidR="00000000" w:rsidRPr="00000000">
        <w:rPr>
          <w:rFonts w:ascii="Google Sans" w:cs="Google Sans" w:eastAsia="Google Sans" w:hAnsi="Google Sans"/>
          <w:b w:val="1"/>
          <w:bCs w:val="1"/>
          <w:color w:val="1f1f1f"/>
          <w:rtl w:val="0"/>
        </w:rPr>
        <w:t xml:space="preserve">614 nm</w:t>
      </w:r>
      <w:r w:rsidDel="00000000" w:rsidR="00000000" w:rsidRPr="00000000">
        <w:rPr>
          <w:rFonts w:ascii="Google Sans" w:cs="Google Sans" w:eastAsia="Google Sans" w:hAnsi="Google Sans"/>
          <w:color w:val="1f1f1f"/>
          <w:rtl w:val="0"/>
        </w:rPr>
        <w:t xml:space="preserve">（紅/橙光敏感）。</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視桿細胞 (Rod Cells)：</w:t>
      </w:r>
      <w:r w:rsidDel="00000000" w:rsidR="00000000" w:rsidRPr="00000000">
        <w:rPr>
          <w:rFonts w:ascii="Google Sans" w:cs="Google Sans" w:eastAsia="Google Sans" w:hAnsi="Google Sans"/>
          <w:color w:val="1f1f1f"/>
          <w:rtl w:val="0"/>
        </w:rPr>
        <w:t xml:space="preserve"> 專門用於暗視（低光）無色視覺，峰值在 </w:t>
      </w:r>
      <w:r w:rsidDel="00000000" w:rsidR="00000000" w:rsidRPr="00000000">
        <w:rPr>
          <w:rFonts w:ascii="Google Sans" w:cs="Google Sans" w:eastAsia="Google Sans" w:hAnsi="Google Sans"/>
          <w:b w:val="1"/>
          <w:bCs w:val="1"/>
          <w:color w:val="1f1f1f"/>
          <w:rtl w:val="0"/>
        </w:rPr>
        <w:t xml:space="preserve">528 nm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由於綠色 (535 nm) 和紅色 (614 nm) 視錐細胞的吸收曲線顯著重疊，黑鱸的神經光學系統難以區分特定的中間色調。視覺計算模型與行為試驗證明，黑鱸無法可靠地區分查特綠黃色 (chartreuse yellow) 與白色，也無法區分綠色與藍色，因為這些配對以數學上相同的相對比例刺激 MWS 與 LWS 視錐細胞。</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然而，由於紅色雙錐細胞延伸至長波長光譜很遠，黑鱸在將真正的紅色與無色（灰階/黑色）背景分離方面表現出極高的敏銳度。</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此外，基於視網膜運動 (RMM) 存在物理限制；從暗適應（視桿細胞主導）過渡到光適應（視錐細胞主導）需要 45 到 60 分鐘的機械細胞重組，如果在黎明時被強制向上穿過陡峭的光梯度，黑鱸將遭受嚴重的「閃光致盲」。</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韋伯定律與最小光譜對比度閾值 (</w:t>
      </w:r>
      <w:r w:rsidDel="00000000" w:rsidR="00000000" w:rsidRPr="00000000">
        <w:rPr>
          <w:rFonts w:ascii="Google Sans" w:cs="Google Sans" w:eastAsia="Google Sans" w:hAnsi="Google Sans"/>
          <w:color w:val="1f1f1f"/>
        </w:rPr>
        <w:drawing>
          <wp:inline distB="19050" distT="19050" distL="19050" distR="19050">
            <wp:extent cx="622548" cy="220286"/>
            <wp:effectExtent b="0" l="0" r="0" t="0"/>
            <wp:docPr id="13"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622548" cy="2202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在視覺上探測獵物或假餌並不取決於物體的絕對亮度或特定顏色，而是取決於物體與背景空間光的對比度。這種基本的心理物理學關係受</w:t>
      </w:r>
      <w:r w:rsidDel="00000000" w:rsidR="00000000" w:rsidRPr="00000000">
        <w:rPr>
          <w:rFonts w:ascii="Google Sans" w:cs="Google Sans" w:eastAsia="Google Sans" w:hAnsi="Google Sans"/>
          <w:b w:val="1"/>
          <w:bCs w:val="1"/>
          <w:color w:val="1f1f1f"/>
          <w:rtl w:val="0"/>
        </w:rPr>
        <w:t xml:space="preserve">韋伯定律 (Weber's Law)</w:t>
      </w:r>
      <w:r w:rsidDel="00000000" w:rsidR="00000000" w:rsidRPr="00000000">
        <w:rPr>
          <w:rFonts w:ascii="Google Sans" w:cs="Google Sans" w:eastAsia="Google Sans" w:hAnsi="Google Sans"/>
          <w:color w:val="1f1f1f"/>
          <w:rtl w:val="0"/>
        </w:rPr>
        <w:t xml:space="preserve"> 的支配，該定律指出恰好可察覺的差異（增量閾值，</w:t>
      </w:r>
      <w:r w:rsidDel="00000000" w:rsidR="00000000" w:rsidRPr="00000000">
        <w:rPr>
          <w:rFonts w:ascii="Google Sans" w:cs="Google Sans" w:eastAsia="Google Sans" w:hAnsi="Google Sans"/>
          <w:color w:val="1f1f1f"/>
        </w:rPr>
        <w:drawing>
          <wp:inline distB="19050" distT="19050" distL="19050" distR="19050">
            <wp:extent cx="249436" cy="230249"/>
            <wp:effectExtent b="0" l="0" r="0" t="0"/>
            <wp:docPr id="14" name="image34.png"/>
            <a:graphic>
              <a:graphicData uri="http://schemas.openxmlformats.org/drawingml/2006/picture">
                <pic:pic>
                  <pic:nvPicPr>
                    <pic:cNvPr id="0" name="image34.png"/>
                    <pic:cNvPicPr preferRelativeResize="0"/>
                  </pic:nvPicPr>
                  <pic:blipFill>
                    <a:blip r:embed="rId34"/>
                    <a:srcRect b="0" l="0" r="0" t="0"/>
                    <a:stretch>
                      <a:fillRect/>
                    </a:stretch>
                  </pic:blipFill>
                  <pic:spPr>
                    <a:xfrm>
                      <a:off x="0" y="0"/>
                      <a:ext cx="249436" cy="230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）與背景強度 (</w:t>
      </w:r>
      <w:r w:rsidDel="00000000" w:rsidR="00000000" w:rsidRPr="00000000">
        <w:rPr>
          <w:rFonts w:ascii="Google Sans" w:cs="Google Sans" w:eastAsia="Google Sans" w:hAnsi="Google Sans"/>
          <w:color w:val="1f1f1f"/>
        </w:rPr>
        <w:drawing>
          <wp:inline distB="19050" distT="19050" distL="19050" distR="19050">
            <wp:extent cx="95697" cy="229672"/>
            <wp:effectExtent b="0" l="0" r="0" t="0"/>
            <wp:docPr id="15"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95697" cy="2296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成正比。</w:t>
      </w:r>
      <w:r w:rsidDel="00000000" w:rsidR="00000000" w:rsidRPr="00000000">
        <w:rPr>
          <w:rFonts w:ascii="Google Sans" w:cs="Google Sans" w:eastAsia="Google Sans" w:hAnsi="Google Sans"/>
          <w:color w:val="444746"/>
          <w:sz w:val="24"/>
          <w:szCs w:val="24"/>
          <w:vertAlign w:val="superscript"/>
          <w:rtl w:val="0"/>
        </w:rPr>
        <w:t xml:space="preserve">66</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韋伯分數 (</w:t>
      </w:r>
      <w:r w:rsidDel="00000000" w:rsidR="00000000" w:rsidRPr="00000000">
        <w:rPr>
          <w:rFonts w:ascii="Google Sans" w:cs="Google Sans" w:eastAsia="Google Sans" w:hAnsi="Google Sans"/>
          <w:color w:val="1f1f1f"/>
        </w:rPr>
        <w:drawing>
          <wp:inline distB="19050" distT="19050" distL="19050" distR="19050">
            <wp:extent cx="121295" cy="223930"/>
            <wp:effectExtent b="0" l="0" r="0" t="0"/>
            <wp:docPr id="1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21295" cy="223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定義為：</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14421"/>
            <wp:effectExtent b="0" l="0" r="0" t="0"/>
            <wp:docPr id="17"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905500" cy="414421"/>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對於參與消色差亮度辨別的真骨魚類，韋伯分數通常高於人類，在受體噪聲限制 (RNL) 模型下數學模型化約為 </w:t>
      </w:r>
      <w:r w:rsidDel="00000000" w:rsidR="00000000" w:rsidRPr="00000000">
        <w:rPr>
          <w:rFonts w:ascii="Google Sans" w:cs="Google Sans" w:eastAsia="Google Sans" w:hAnsi="Google Sans"/>
          <w:b w:val="1"/>
          <w:bCs w:val="1"/>
          <w:color w:val="1f1f1f"/>
          <w:rtl w:val="0"/>
        </w:rPr>
        <w:t xml:space="preserve">0.05（或 5%）</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要計算黑鱸區分假餌輪廓與背景水柱所需的</w:t>
      </w:r>
      <w:r w:rsidDel="00000000" w:rsidR="00000000" w:rsidRPr="00000000">
        <w:rPr>
          <w:rFonts w:ascii="Google Sans" w:cs="Google Sans" w:eastAsia="Google Sans" w:hAnsi="Google Sans"/>
          <w:b w:val="1"/>
          <w:bCs w:val="1"/>
          <w:color w:val="1f1f1f"/>
          <w:rtl w:val="0"/>
        </w:rPr>
        <w:t xml:space="preserve">最小光譜對比度閾值 (</w:t>
      </w:r>
      <w:r w:rsidDel="00000000" w:rsidR="00000000" w:rsidRPr="00000000">
        <w:rPr>
          <w:rFonts w:ascii="Google Sans" w:cs="Google Sans" w:eastAsia="Google Sans" w:hAnsi="Google Sans"/>
          <w:b w:val="1"/>
          <w:bCs w:val="1"/>
          <w:color w:val="1f1f1f"/>
        </w:rPr>
        <w:drawing>
          <wp:inline distB="19050" distT="19050" distL="19050" distR="19050">
            <wp:extent cx="622548" cy="220286"/>
            <wp:effectExtent b="0" l="0" r="0" t="0"/>
            <wp:docPr id="18"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622548" cy="22028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，我們必須應用專門由水的光譜衰減分佈調製的邁克生 (Michelson) 或韋伯對比度方程。</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假設水柱的背景輻射度為 </w:t>
      </w:r>
      <w:r w:rsidDel="00000000" w:rsidR="00000000" w:rsidRPr="00000000">
        <w:rPr>
          <w:rFonts w:ascii="Google Sans" w:cs="Google Sans" w:eastAsia="Google Sans" w:hAnsi="Google Sans"/>
          <w:color w:val="1f1f1f"/>
        </w:rPr>
        <w:drawing>
          <wp:inline distB="19050" distT="19050" distL="19050" distR="19050">
            <wp:extent cx="507503" cy="229813"/>
            <wp:effectExtent b="0" l="0" r="0" t="0"/>
            <wp:docPr id="19"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507503" cy="2298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，假餌反射的輻射度為 </w:t>
      </w:r>
      <w:r w:rsidDel="00000000" w:rsidR="00000000" w:rsidRPr="00000000">
        <w:rPr>
          <w:rFonts w:ascii="Google Sans" w:cs="Google Sans" w:eastAsia="Google Sans" w:hAnsi="Google Sans"/>
          <w:color w:val="1f1f1f"/>
        </w:rPr>
        <w:drawing>
          <wp:inline distB="19050" distT="19050" distL="19050" distR="19050">
            <wp:extent cx="619274" cy="228655"/>
            <wp:effectExtent b="0" l="0" r="0" t="0"/>
            <wp:docPr id="20"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619274" cy="228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。只有當感光受體類型 </w:t>
      </w:r>
      <w:r w:rsidDel="00000000" w:rsidR="00000000" w:rsidRPr="00000000">
        <w:rPr>
          <w:rFonts w:ascii="Google Sans" w:cs="Google Sans" w:eastAsia="Google Sans" w:hAnsi="Google Sans"/>
          <w:color w:val="1f1f1f"/>
        </w:rPr>
        <w:drawing>
          <wp:inline distB="19050" distT="19050" distL="19050" distR="19050">
            <wp:extent cx="63698" cy="218395"/>
            <wp:effectExtent b="0" l="0" r="0" t="0"/>
            <wp:docPr id="1"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63698" cy="218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（535 nm 單錐細胞或 614 nm 雙錐細胞）的量子捕獲 (</w:t>
      </w:r>
      <w:r w:rsidDel="00000000" w:rsidR="00000000" w:rsidRPr="00000000">
        <w:rPr>
          <w:rFonts w:ascii="Google Sans" w:cs="Google Sans" w:eastAsia="Google Sans" w:hAnsi="Google Sans"/>
          <w:color w:val="1f1f1f"/>
        </w:rPr>
        <w:drawing>
          <wp:inline distB="19050" distT="19050" distL="19050" distR="19050">
            <wp:extent cx="199728" cy="228260"/>
            <wp:effectExtent b="0" l="0" r="0" t="0"/>
            <wp:docPr id="2"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199728" cy="2282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超過環境受體噪聲達韋伯分數時，黑鱸的視頂蓋才會探測到假餌：</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8956"/>
            <wp:effectExtent b="0" l="0" r="0" t="0"/>
            <wp:docPr id="3"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905500" cy="448956"/>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北部腐植酸水域的數學應用：</w:t>
      </w:r>
      <w:r w:rsidDel="00000000" w:rsidR="00000000" w:rsidRPr="00000000">
        <w:rPr>
          <w:rFonts w:ascii="Google Sans" w:cs="Google Sans" w:eastAsia="Google Sans" w:hAnsi="Google Sans"/>
          <w:color w:val="1f1f1f"/>
          <w:rtl w:val="0"/>
        </w:rPr>
        <w:t xml:space="preserve"> 在充滿 CDOM 的北部埤塘中，短波長被指數級消除，留下了由 600–700 nm（紅色）光子主導的背景空間光 (</w:t>
      </w:r>
      <w:r w:rsidDel="00000000" w:rsidR="00000000" w:rsidRPr="00000000">
        <w:rPr>
          <w:rFonts w:ascii="Google Sans" w:cs="Google Sans" w:eastAsia="Google Sans" w:hAnsi="Google Sans"/>
          <w:color w:val="1f1f1f"/>
        </w:rPr>
        <w:drawing>
          <wp:inline distB="19050" distT="19050" distL="19050" distR="19050">
            <wp:extent cx="256431" cy="227939"/>
            <wp:effectExtent b="0" l="0" r="0" t="0"/>
            <wp:docPr id="4"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256431" cy="2279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)。如果使用綠色假餌（純粹在 530 nm 反射），腐植酸水在環境綠光到達假餌之前就已經將其完全吸收，使假餌變得全黑（零光子反射）。因此，</w:t>
      </w:r>
      <w:r w:rsidDel="00000000" w:rsidR="00000000" w:rsidRPr="00000000">
        <w:rPr>
          <w:rFonts w:ascii="Google Sans" w:cs="Google Sans" w:eastAsia="Google Sans" w:hAnsi="Google Sans"/>
          <w:color w:val="1f1f1f"/>
        </w:rPr>
        <w:drawing>
          <wp:inline distB="19050" distT="19050" distL="19050" distR="19050">
            <wp:extent cx="956367" cy="229528"/>
            <wp:effectExtent b="0" l="0" r="0" t="0"/>
            <wp:docPr id="5"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956367" cy="2295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。在昏暗的紅色背景下，韋伯對比度完全依賴於剪影（負對比度），使不透明的黑色高度可見，因為絕對差異輕易超過 5%。相反，如果在這種環境中使用紅色假餌（反射 650 nm），若其特定反射率完美匹配環境紅色空間光，它可能會完美地偽裝在腐植酸背景中，無法突破 </w:t>
      </w:r>
      <w:r w:rsidDel="00000000" w:rsidR="00000000" w:rsidRPr="00000000">
        <w:rPr>
          <w:rFonts w:ascii="Google Sans" w:cs="Google Sans" w:eastAsia="Google Sans" w:hAnsi="Google Sans"/>
          <w:color w:val="1f1f1f"/>
        </w:rPr>
        <w:drawing>
          <wp:inline distB="19050" distT="19050" distL="19050" distR="19050">
            <wp:extent cx="695176" cy="228551"/>
            <wp:effectExtent b="0" l="0" r="0" t="0"/>
            <wp:docPr id="6"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695176" cy="2285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閾值，使其對 614 nm 雙錐細胞不可見。</w:t>
      </w:r>
      <w:r w:rsidDel="00000000" w:rsidR="00000000" w:rsidRPr="00000000">
        <w:rPr>
          <w:rFonts w:ascii="Google Sans" w:cs="Google Sans" w:eastAsia="Google Sans" w:hAnsi="Google Sans"/>
          <w:color w:val="444746"/>
          <w:sz w:val="24"/>
          <w:szCs w:val="24"/>
          <w:vertAlign w:val="superscript"/>
          <w:rtl w:val="0"/>
        </w:rPr>
        <w:t xml:space="preserve">71</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南部優養化水域的數學應用：</w:t>
      </w:r>
      <w:r w:rsidDel="00000000" w:rsidR="00000000" w:rsidRPr="00000000">
        <w:rPr>
          <w:rFonts w:ascii="Google Sans" w:cs="Google Sans" w:eastAsia="Google Sans" w:hAnsi="Google Sans"/>
          <w:color w:val="1f1f1f"/>
          <w:rtl w:val="0"/>
        </w:rPr>
        <w:t xml:space="preserve"> 在被微囊藻堵塞的南部水庫中，藻藍蛋白色素專門在 620 nm 處吸收紅光。</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這種環境吸收槽幾乎完美地匹配黑鱸 614 nm 處的 LWS 雙錐細胞峰值。因此，背景光完全沒有紅色光子，只留下嚴格的綠色背景（</w:t>
      </w:r>
      <w:r w:rsidDel="00000000" w:rsidR="00000000" w:rsidRPr="00000000">
        <w:rPr>
          <w:rFonts w:ascii="Google Sans" w:cs="Google Sans" w:eastAsia="Google Sans" w:hAnsi="Google Sans"/>
          <w:color w:val="1f1f1f"/>
        </w:rPr>
        <w:drawing>
          <wp:inline distB="19050" distT="19050" distL="19050" distR="19050">
            <wp:extent cx="256431" cy="227939"/>
            <wp:effectExtent b="0" l="0" r="0" t="0"/>
            <wp:docPr id="7"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256431" cy="2279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在約 550 nm 處急劇達到峰值）。在這種環境中使用的紅色假餌將不會反射任何光（看起來漆黑），產生最大的負對比度。相反，查特綠色假餌將高度反射豐富的綠色環境光。要被探測到，查特綠假餌反射光的強度必須至少比環境綠色空間光高 5% (</w:t>
      </w:r>
      <w:r w:rsidDel="00000000" w:rsidR="00000000" w:rsidRPr="00000000">
        <w:rPr>
          <w:rFonts w:ascii="Google Sans" w:cs="Google Sans" w:eastAsia="Google Sans" w:hAnsi="Google Sans"/>
          <w:color w:val="1f1f1f"/>
        </w:rPr>
        <w:drawing>
          <wp:inline distB="19050" distT="19050" distL="19050" distR="19050">
            <wp:extent cx="1196426" cy="218395"/>
            <wp:effectExtent b="0" l="0" r="0" t="0"/>
            <wp:docPr id="8"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1196426" cy="218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)，確保 </w:t>
      </w:r>
      <w:r w:rsidDel="00000000" w:rsidR="00000000" w:rsidRPr="00000000">
        <w:rPr>
          <w:rFonts w:ascii="Google Sans" w:cs="Google Sans" w:eastAsia="Google Sans" w:hAnsi="Google Sans"/>
          <w:color w:val="1f1f1f"/>
        </w:rPr>
        <w:drawing>
          <wp:inline distB="19050" distT="19050" distL="19050" distR="19050">
            <wp:extent cx="249436" cy="230249"/>
            <wp:effectExtent b="0" l="0" r="0" t="0"/>
            <wp:docPr id="9" name="image34.png"/>
            <a:graphic>
              <a:graphicData uri="http://schemas.openxmlformats.org/drawingml/2006/picture">
                <pic:pic>
                  <pic:nvPicPr>
                    <pic:cNvPr id="0" name="image34.png"/>
                    <pic:cNvPicPr preferRelativeResize="0"/>
                  </pic:nvPicPr>
                  <pic:blipFill>
                    <a:blip r:embed="rId34"/>
                    <a:srcRect b="0" l="0" r="0" t="0"/>
                    <a:stretch>
                      <a:fillRect/>
                    </a:stretch>
                  </pic:blipFill>
                  <pic:spPr>
                    <a:xfrm>
                      <a:off x="0" y="0"/>
                      <a:ext cx="249436" cy="230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突破 SC 的 50 ms 探測閾值並觸發 Reaction Strike。</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結構化發現 (Structured Findings)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[2A-01]：台灣北部水體（pH 4.5-5.5）由於高嶺石絮凝作用，表現出快速的濁度恢復（48-72小時），而南部水體（pH 6.5-7.5）由於極端的負 Zeta 電位排斥，經歷長時間的濁度（14-30天），從根本上改變了視覺狩獵窗口。[信心等級：高]。</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[2A-02]：夏季淺水池缺乏曝氣與熱分層會導致底棲 Eh 崩跌至 -150 mV 以下，觸發劇毒硫化氫釋放（8.5 mg/L），並迫使黑鱸進入中層微氧避難所，引發完全的代謝 Lockjaw（關機狀態）。[信心等級：高]。</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[2A-03]：基於最佳覓食理論，大嘴黑鱸的理想獵物大小範圍為其總長度的 22% 至 29%（例如 350 mm 黑鱸為 77-101 mm）；超過此閾值會指數級增加處理時間與無氧白肌耗竭（LDH 飆升）。[信心等級：高]。</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[2A-04]：澤蛙蝌蚪 (</w:t>
      </w:r>
      <w:r w:rsidDel="00000000" w:rsidR="00000000" w:rsidRPr="00000000">
        <w:rPr>
          <w:rFonts w:ascii="Google Sans" w:cs="Google Sans" w:eastAsia="Google Sans" w:hAnsi="Google Sans"/>
          <w:i w:val="1"/>
          <w:iCs w:val="1"/>
          <w:color w:val="1f1f1f"/>
          <w:rtl w:val="0"/>
        </w:rPr>
        <w:t xml:space="preserve">Fejervarya limnocharis</w:t>
      </w:r>
      <w:r w:rsidDel="00000000" w:rsidR="00000000" w:rsidRPr="00000000">
        <w:rPr>
          <w:rFonts w:ascii="Google Sans" w:cs="Google Sans" w:eastAsia="Google Sans" w:hAnsi="Google Sans"/>
          <w:color w:val="1f1f1f"/>
          <w:rtl w:val="0"/>
        </w:rPr>
        <w:t xml:space="preserve">) 由於高熱量密度（乾重約 5.4 kcal/g）且無結構防禦，提供了最高的 OFT 效率；而鯽魚 (</w:t>
      </w:r>
      <w:r w:rsidDel="00000000" w:rsidR="00000000" w:rsidRPr="00000000">
        <w:rPr>
          <w:rFonts w:ascii="Google Sans" w:cs="Google Sans" w:eastAsia="Google Sans" w:hAnsi="Google Sans"/>
          <w:i w:val="1"/>
          <w:iCs w:val="1"/>
          <w:color w:val="1f1f1f"/>
          <w:rtl w:val="0"/>
        </w:rPr>
        <w:t xml:space="preserve">Carassius auratus</w:t>
      </w:r>
      <w:r w:rsidDel="00000000" w:rsidR="00000000" w:rsidRPr="00000000">
        <w:rPr>
          <w:rFonts w:ascii="Google Sans" w:cs="Google Sans" w:eastAsia="Google Sans" w:hAnsi="Google Sans"/>
          <w:color w:val="1f1f1f"/>
          <w:rtl w:val="0"/>
        </w:rPr>
        <w:t xml:space="preserve">) 由於深體型需要延長的、頭部朝前的處理時間，降低了效率。[信心等級：中]。</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[2A-05]：養殖的黑鱸經歷了嚴重的顆粒飼料印記，需要數週至數月的時間才能識別野生獵物，在此期間牠們依賴先天、未經計算的反射性攻擊，使其暫時極易受到垂直下沉的人工假餌的影響。[信心等級：高]。</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[2A-06]：急性釣魚壓力引發極端的皮質醇飆升（&gt;150 ng/mL），在端腦中迅速鞏固對假餌的負面情節記憶，推動漁業誘發演化 (FIE) 朝向具有先天假餌迴避與過度警覺的族群發展。[信心等級：高]。</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[2A-07]：真骨魚類的視頂蓋（上丘）繞過較慢的視覺皮層，在 30-50 ms 內處理快速的視覺瞬變，使反射性攻擊與認知飽足和飢餓狀態脫鉤。[信心等級：高]。</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[2A-08]：為了觸發非自願的皮層下反射性攻擊並防止皮層否決，假餌必須以 1.5 至 1.8 m/s 的最小線性速度閾值穿過黑鱸的雙眼攻擊窗口。[信心等級：高]。</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[2A-09]：北部腐植酸水域由 CDOM 主導，呈指數級吸收藍光/紫外光；而南部優養化水域由微囊藻主導，其藻藍蛋白專門在 620 nm 處吸收紅光。[信心等級：高]。</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[2A-10]：大嘴黑鱸是二色視覺動物，擁有峰值在 535 nm（綠色）的單錐細胞、614 nm（紅色）的雙錐細胞，以及 528 nm 的視桿細胞；牠們完全缺乏短波長（藍色）的視錐細胞。[信心等級：高]。</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[2A-11]：根據韋伯定律，黑鱸要將假餌與背景空間光區分開來，其特定視覺敏感波段內的最小光譜對比度閾值 (</w:t>
      </w:r>
      <w:r w:rsidDel="00000000" w:rsidR="00000000" w:rsidRPr="00000000">
        <w:rPr>
          <w:rFonts w:ascii="Google Sans" w:cs="Google Sans" w:eastAsia="Google Sans" w:hAnsi="Google Sans"/>
          <w:color w:val="1f1f1f"/>
        </w:rPr>
        <w:drawing>
          <wp:inline distB="19050" distT="19050" distL="19050" distR="19050">
            <wp:extent cx="622548" cy="220286"/>
            <wp:effectExtent b="0" l="0" r="0" t="0"/>
            <wp:docPr id="10"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622548" cy="2202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需要大約 0.05（5% 強度差異）的韋伯分數 (</w:t>
      </w:r>
      <w:r w:rsidDel="00000000" w:rsidR="00000000" w:rsidRPr="00000000">
        <w:rPr>
          <w:rFonts w:ascii="Google Sans" w:cs="Google Sans" w:eastAsia="Google Sans" w:hAnsi="Google Sans"/>
          <w:color w:val="1f1f1f"/>
        </w:rPr>
        <w:drawing>
          <wp:inline distB="19050" distT="19050" distL="19050" distR="19050">
            <wp:extent cx="121295" cy="223930"/>
            <wp:effectExtent b="0" l="0" r="0" t="0"/>
            <wp:docPr id="3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21295" cy="223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)。[信心等級：高]。</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[2A-S1]：頰紋鰕虎 </w:t>
      </w:r>
      <w:r w:rsidDel="00000000" w:rsidR="00000000" w:rsidRPr="00000000">
        <w:rPr>
          <w:rFonts w:ascii="Google Sans" w:cs="Google Sans" w:eastAsia="Google Sans" w:hAnsi="Google Sans"/>
          <w:i w:val="1"/>
          <w:iCs w:val="1"/>
          <w:color w:val="1f1f1f"/>
          <w:rtl w:val="0"/>
        </w:rPr>
        <w:t xml:space="preserve">Ctenogobius giurinus</w:t>
      </w:r>
      <w:r w:rsidDel="00000000" w:rsidR="00000000" w:rsidRPr="00000000">
        <w:rPr>
          <w:rFonts w:ascii="Google Sans" w:cs="Google Sans" w:eastAsia="Google Sans" w:hAnsi="Google Sans"/>
          <w:color w:val="1f1f1f"/>
          <w:rtl w:val="0"/>
        </w:rPr>
        <w:t xml:space="preserve"> 濕重能量密度 = 0.90–1.10 kcal/g（信心等級：低，基於 Gobiidae 鰕虎科常規數值之理論推估）；腹鰭吸盤逃竄行為使黑鱸追擊時間較大肚魚大幅延長；LDH 消耗估算為鯽魚基準的 1.1×；OFT 效益評級：低至中等。理論基礎：Pearl River Delta 捕食研究（Predator-Prey Interactions between Nonnative Juvenile Largemouth Bass (Micropterus salmoides) and Local Candidate Prey Species in the Pearl River Delta, PMC 2022, https://pmc.ncbi.nlm.nih.gov/articles/PMC8879666/）。</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延續使用區塊 (Carry_Forward Blocks)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Carry_Forward_To_2C:</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焦點：視覺對比度方程與偽裝破壞。</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數據輸入：黑鱸二色視錐峰值（535 nm MWS，614 nm LWS）。北部 CDOM 吸收方程 (</w:t>
      </w:r>
      <w:r w:rsidDel="00000000" w:rsidR="00000000" w:rsidRPr="00000000">
        <w:rPr>
          <w:rFonts w:ascii="Google Sans" w:cs="Google Sans" w:eastAsia="Google Sans" w:hAnsi="Google Sans"/>
          <w:color w:val="1f1f1f"/>
        </w:rPr>
        <w:drawing>
          <wp:inline distB="19050" distT="19050" distL="19050" distR="19050">
            <wp:extent cx="1705870" cy="228720"/>
            <wp:effectExtent b="0" l="0" r="0" t="0"/>
            <wp:docPr id="39"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1705870" cy="2287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)。南部藻藍蛋白吸收峰 (620 nm)。韋伯分數 (</w:t>
      </w:r>
      <w:r w:rsidDel="00000000" w:rsidR="00000000" w:rsidRPr="00000000">
        <w:rPr>
          <w:rFonts w:ascii="Google Sans" w:cs="Google Sans" w:eastAsia="Google Sans" w:hAnsi="Google Sans"/>
          <w:color w:val="1f1f1f"/>
        </w:rPr>
        <w:drawing>
          <wp:inline distB="19050" distT="19050" distL="19050" distR="19050">
            <wp:extent cx="695176" cy="228551"/>
            <wp:effectExtent b="0" l="0" r="0" t="0"/>
            <wp:docPr id="40" name="image42.png"/>
            <a:graphic>
              <a:graphicData uri="http://schemas.openxmlformats.org/drawingml/2006/picture">
                <pic:pic>
                  <pic:nvPicPr>
                    <pic:cNvPr id="0" name="image42.png"/>
                    <pic:cNvPicPr preferRelativeResize="0"/>
                  </pic:nvPicPr>
                  <pic:blipFill>
                    <a:blip r:embed="rId47"/>
                    <a:srcRect b="0" l="0" r="0" t="0"/>
                    <a:stretch>
                      <a:fillRect/>
                    </a:stretch>
                  </pic:blipFill>
                  <pic:spPr>
                    <a:xfrm>
                      <a:off x="0" y="0"/>
                      <a:ext cx="695176" cy="2285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脈絡：使用這些參數對抗不同的背景輻射度，以數學計算特定人工假餌顏色（例如查特綠色 vs. 六月蟲色）產生的精確 </w:t>
      </w:r>
      <w:r w:rsidDel="00000000" w:rsidR="00000000" w:rsidRPr="00000000">
        <w:rPr>
          <w:rFonts w:ascii="Google Sans" w:cs="Google Sans" w:eastAsia="Google Sans" w:hAnsi="Google Sans"/>
          <w:color w:val="1f1f1f"/>
        </w:rPr>
        <w:drawing>
          <wp:inline distB="19050" distT="19050" distL="19050" distR="19050">
            <wp:extent cx="622548" cy="220286"/>
            <wp:effectExtent b="0" l="0" r="0" t="0"/>
            <wp:docPr id="42"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622548" cy="2202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對比度，確定假餌輪廓低於 5% 探測閾值的確切深度。</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(d) 參考文獻：[2A-09], [2A-10], [2A-11]</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Carry_Forward_To_3A_3B（高壓誘咬與極端情境戰術）:</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焦點：釣魚者的呈現運動學與生理操控。</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數據輸入：上丘皮層下潛伏期 (30-50 ms)。最小反應性攻擊速度閾值 (1.5 - 1.8 m/s)。最佳獵物尺寸比 (0.22 - 0.29 TL)。皮質醇記憶強化閾值 (&gt;150 ng/mL)。</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脈絡：制定精確的收線速度範式與假餌尺寸策略，明確繞過黑鱸對先前釣魚壓力的皮層記憶。呈現方式必須在數學上超過 1.5 m/s 的閾值，以在高皮質醇、適應 FIE 的族群中強制引發非自願的視頂蓋反射。</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(d) 參考文獻：[2A-03], [2A-06], [2A-07], [2A-08]</w:t>
      </w:r>
    </w:p>
    <w:p>
      <w:pPr>
        <w:pStyle w:val="Heading2"/>
      </w:pPr>
      <w:r>
        <w:rPr/>
        <w:t xml:space="preserve">Open_Assumptions_2A</w:t>
      </w:r>
    </w:p>
    <w:p>
      <w:pPr/>
      <w:r>
        <w:rPr/>
        <w:t xml:space="preserve">[OFT 獵物能量密度外推假設]：(a) 不確定性原因：澤蛙蝌蚪（5.4 kcal/g）、泥鰍（1.0 kcal/g）等能量密度值均引自文獻，未針對台灣本地族群進行直接測量；蝌蚪能量密度隨發育期顯著變化，本卷採用成熟蝌蚪估算可能高估 20–30%。(b) 保守假設值：所有能量密度採用文獻下界，OFT 計算中淨收益比（NPP）取保守低值（±15% 不確定性），以避免高估偏好強度。(c) 對下游卷影響：3A 高壓誘咬策略若依賴低能量密度獵物，則反射咬餌誘發閾值估算較為寬鬆，策略選擇上偏向速度型假餌。</w:t>
      </w:r>
    </w:p>
    <w:p>
      <w:pPr/>
      <w:r>
        <w:rPr/>
        <w:t xml:space="preserve">[皮質醇記憶強化物種類比假設]：(a) 不確定性原因：端腦皮質醇記憶強化機制主要基於三文魚（Oncorhynchus mykiss）與斑馬魚（Danio rerio）研究，M. salmoides 無直接神經化學數據；釣壓→皮質醇→記憶鞏固路徑在 Centrarchidae 中未有直接驗證。(b) 保守假設值：皮質醇飆升閾值採用 &gt;150 ng/mL（文獻中最低有效值），記憶鞏固時間採用 24–48 hr（最短可能時窗），以避免高估魚類學習速度。(c) 對下游卷影響：3A 中高壓老魚的警戒重置時間估算可能低估；FIE 在台灣管理池的世代影響速度可能被 3A 低估。</w:t>
      </w:r>
    </w:p>
    <w:p>
      <w:pPr/>
      <w:r>
        <w:rPr/>
        <w:t xml:space="preserve">[韋伯分數物種外推假設]：(a) 不確定性原因：韋伯分數 ΔI/I ≈ 0.05 來自 Centrarchidae 近親種對比度閾值文獻，M. salmoides 本身在不同溫度（台灣夏季高溫）下的視網膜靈敏度是否維持不變，缺乏直接實驗驗證。(b) 保守假設值：假設韋伯分數在 15–30°C 範圍內恆定為 0.05；對比度低於此閾值的假餌顏色方案一律視為無效。(c) 對下游卷影響：2C 假餌顏色選擇與攻擊角度映射中，基於此韋伯分數推導的最佳假餌顏色可能在南部高溫極端條件下（35°C）存在實際偏差。</w:t>
      </w:r>
    </w:p>
    <w:p w:rsidR="00000000" w:rsidDel="00000000" w:rsidP="00000000" w:rsidRDefault="00000000" w:rsidRPr="00000000" w14:paraId="000000C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0D_基底資料矩陣與極端事件整合.docx</w:t>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Cost of Capturing Prey: Measuring Largemouth Bass Foraging Activity Using Glycolytic Enzymes (Lactate Dehydrogenase) - Open PRAIRIE - South Dakota State University, 檢索日期：4月 24, 2026， </w:t>
      </w:r>
      <w:hyperlink r:id="rId48">
        <w:r w:rsidDel="00000000" w:rsidR="00000000" w:rsidRPr="00000000">
          <w:rPr>
            <w:rFonts w:ascii="Google Sans" w:cs="Google Sans" w:eastAsia="Google Sans" w:hAnsi="Google Sans"/>
            <w:color w:val="0000ee"/>
            <w:sz w:val="24"/>
            <w:szCs w:val="24"/>
            <w:u w:val="single"/>
            <w:rtl w:val="0"/>
          </w:rPr>
          <w:t xml:space="preserve">https://openprairie.sdstate.edu/etd/400/</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Predation of invasive silver carp by native largemouth bass is size-selective in the Illinois River - PMC, 檢索日期：4月 24, 2026， </w:t>
      </w:r>
      <w:hyperlink r:id="rId49">
        <w:r w:rsidDel="00000000" w:rsidR="00000000" w:rsidRPr="00000000">
          <w:rPr>
            <w:rFonts w:ascii="Google Sans" w:cs="Google Sans" w:eastAsia="Google Sans" w:hAnsi="Google Sans"/>
            <w:color w:val="0000ee"/>
            <w:sz w:val="24"/>
            <w:szCs w:val="24"/>
            <w:u w:val="single"/>
            <w:rtl w:val="0"/>
          </w:rPr>
          <w:t xml:space="preserve">https://pmc.ncbi.nlm.nih.gov/articles/PMC10558547/</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Foraging specialization by the opportunistic largemouth bass (Micropterus salmoides) - UNDERC, 檢索日期：4月 24, 2026， </w:t>
      </w:r>
      <w:hyperlink r:id="rId50">
        <w:r w:rsidDel="00000000" w:rsidR="00000000" w:rsidRPr="00000000">
          <w:rPr>
            <w:rFonts w:ascii="Google Sans" w:cs="Google Sans" w:eastAsia="Google Sans" w:hAnsi="Google Sans"/>
            <w:color w:val="0000ee"/>
            <w:sz w:val="24"/>
            <w:szCs w:val="24"/>
            <w:u w:val="single"/>
            <w:rtl w:val="0"/>
          </w:rPr>
          <w:t xml:space="preserve">https://underc.nd.edu/assets/179417/fullsize/rick_et_al_2011.pdf</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Size Selection of Prey by Young Largemouth Bass - SEAFWA, 檢索日期：4月 24, 2026， </w:t>
      </w:r>
      <w:hyperlink r:id="rId51">
        <w:r w:rsidDel="00000000" w:rsidR="00000000" w:rsidRPr="00000000">
          <w:rPr>
            <w:rFonts w:ascii="Google Sans" w:cs="Google Sans" w:eastAsia="Google Sans" w:hAnsi="Google Sans"/>
            <w:color w:val="0000ee"/>
            <w:sz w:val="24"/>
            <w:szCs w:val="24"/>
            <w:u w:val="single"/>
            <w:rtl w:val="0"/>
          </w:rPr>
          <w:t xml:space="preserve">https://seafwa.org/sites/default/files/journal-articles/GOLDSTEIN-596-604.pdf</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 Relationship of gape width (GW) to total length (TL) for largemouth... - ResearchGate, 檢索日期：4月 24, 2026， </w:t>
      </w:r>
      <w:hyperlink r:id="rId52">
        <w:r w:rsidDel="00000000" w:rsidR="00000000" w:rsidRPr="00000000">
          <w:rPr>
            <w:rFonts w:ascii="Google Sans" w:cs="Google Sans" w:eastAsia="Google Sans" w:hAnsi="Google Sans"/>
            <w:color w:val="0000ee"/>
            <w:sz w:val="24"/>
            <w:szCs w:val="24"/>
            <w:u w:val="single"/>
            <w:rtl w:val="0"/>
          </w:rPr>
          <w:t xml:space="preserve">https://www.researchgate.net/figure/m-Relationship-of-gape-width-GW-to-total-length-TL-for-largemouth-bass-GW-014-TL_fig1_252741866</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檢索日期：4月 24, 2026， </w:t>
      </w:r>
      <w:hyperlink r:id="rId53">
        <w:r w:rsidDel="00000000" w:rsidR="00000000" w:rsidRPr="00000000">
          <w:rPr>
            <w:rFonts w:ascii="Google Sans" w:cs="Google Sans" w:eastAsia="Google Sans" w:hAnsi="Google Sans"/>
            <w:color w:val="0000ee"/>
            <w:sz w:val="24"/>
            <w:szCs w:val="24"/>
            <w:u w:val="single"/>
            <w:rtl w:val="0"/>
          </w:rPr>
          <w:t xml:space="preserve">https://www.researchgate.net/publication/238010116_The_effect_of_prey_morphology_and_size_on_handling_time_in_a_piscivore_the_largemouth_bass_Micropterus_salmoides#:~:text=The%20ratio%20of%20prey%20length,crayfish%2C%20and%200.29%20for%20bluegill.</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prey morphology and size on handling time in a piscivore, the largemouth bass (Micropterus salmoides) - ResearchGate, 檢索日期：4月 24, 2026， </w:t>
      </w:r>
      <w:hyperlink r:id="rId54">
        <w:r w:rsidDel="00000000" w:rsidR="00000000" w:rsidRPr="00000000">
          <w:rPr>
            <w:rFonts w:ascii="Google Sans" w:cs="Google Sans" w:eastAsia="Google Sans" w:hAnsi="Google Sans"/>
            <w:color w:val="0000ee"/>
            <w:sz w:val="24"/>
            <w:szCs w:val="24"/>
            <w:u w:val="single"/>
            <w:rtl w:val="0"/>
          </w:rPr>
          <w:t xml:space="preserve">https://www.researchgate.net/publication/238010116_The_effect_of_prey_morphology_and_size_on_handling_time_in_a_piscivore_the_largemouth_bass_Micropterus_salmoides</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budgets for tadpoles approaching metamorphosis | Request PDF - ResearchGate, 檢索日期：4月 24, 2026， </w:t>
      </w:r>
      <w:hyperlink r:id="rId55">
        <w:r w:rsidDel="00000000" w:rsidR="00000000" w:rsidRPr="00000000">
          <w:rPr>
            <w:rFonts w:ascii="Google Sans" w:cs="Google Sans" w:eastAsia="Google Sans" w:hAnsi="Google Sans"/>
            <w:color w:val="0000ee"/>
            <w:sz w:val="24"/>
            <w:szCs w:val="24"/>
            <w:u w:val="single"/>
            <w:rtl w:val="0"/>
          </w:rPr>
          <w:t xml:space="preserve">https://www.researchgate.net/publication/346779464_Energy_budgets_for_tadpoles_approaching_metamorphosis</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Predator-Prey Interactions between Nonnative Juvenile Largemouth Bass (Micropterus salmoides) and Local Candidate Prey Species in the Pearl River Delta - PMC, 檢索日期：4月 24, 2026， </w:t>
      </w:r>
      <w:hyperlink r:id="rId56">
        <w:r w:rsidDel="00000000" w:rsidR="00000000" w:rsidRPr="00000000">
          <w:rPr>
            <w:rFonts w:ascii="Google Sans" w:cs="Google Sans" w:eastAsia="Google Sans" w:hAnsi="Google Sans"/>
            <w:color w:val="0000ee"/>
            <w:sz w:val="24"/>
            <w:szCs w:val="24"/>
            <w:u w:val="single"/>
            <w:rtl w:val="0"/>
          </w:rPr>
          <w:t xml:space="preserve">https://pmc.ncbi.nlm.nih.gov/articles/PMC8879666/</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Prey Size for Largemouth Bass - In-Fisherman, 檢索日期：4月 24, 2026， </w:t>
      </w:r>
      <w:hyperlink r:id="rId57">
        <w:r w:rsidDel="00000000" w:rsidR="00000000" w:rsidRPr="00000000">
          <w:rPr>
            <w:rFonts w:ascii="Google Sans" w:cs="Google Sans" w:eastAsia="Google Sans" w:hAnsi="Google Sans"/>
            <w:color w:val="0000ee"/>
            <w:sz w:val="24"/>
            <w:szCs w:val="24"/>
            <w:u w:val="single"/>
            <w:rtl w:val="0"/>
          </w:rPr>
          <w:t xml:space="preserve">https://www.in-fisherman.com/editorial/prey-size-for-largemouth-bass/155053</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Prey Size for Largemouth Bass - The Minimalist Fisherman, 檢索日期：4月 24, 2026， </w:t>
      </w:r>
      <w:hyperlink r:id="rId58">
        <w:r w:rsidDel="00000000" w:rsidR="00000000" w:rsidRPr="00000000">
          <w:rPr>
            <w:rFonts w:ascii="Google Sans" w:cs="Google Sans" w:eastAsia="Google Sans" w:hAnsi="Google Sans"/>
            <w:color w:val="0000ee"/>
            <w:sz w:val="24"/>
            <w:szCs w:val="24"/>
            <w:u w:val="single"/>
            <w:rtl w:val="0"/>
          </w:rPr>
          <w:t xml:space="preserve">https://theminimalistfisherman.com/prey-size-for-largemouth-bass/</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Hatchery Techniques: Feed Training Juvenile Largemouth Bass, Micropterus salmoides floridanus | RWFM Extension, 檢索日期：4月 24, 2026， </w:t>
      </w:r>
      <w:hyperlink r:id="rId59">
        <w:r w:rsidDel="00000000" w:rsidR="00000000" w:rsidRPr="00000000">
          <w:rPr>
            <w:rFonts w:ascii="Google Sans" w:cs="Google Sans" w:eastAsia="Google Sans" w:hAnsi="Google Sans"/>
            <w:color w:val="0000ee"/>
            <w:sz w:val="24"/>
            <w:szCs w:val="24"/>
            <w:u w:val="single"/>
            <w:rtl w:val="0"/>
          </w:rPr>
          <w:t xml:space="preserve">https://extension.rwfm.tamu.edu/wp-content/uploads/sites/8/2013/09/Hatchery-Techniques-Feed-Training-Juvenile-Largemouth-Bass-Micropterus-salmoides-floridanus.pdf</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Enhancement as a Fishery Management Tool for Largemouth Bass - Arkansas Cooperative Extension Service, 檢索日期：4月 24, 2026， </w:t>
      </w:r>
      <w:hyperlink r:id="rId60">
        <w:r w:rsidDel="00000000" w:rsidR="00000000" w:rsidRPr="00000000">
          <w:rPr>
            <w:rFonts w:ascii="Google Sans" w:cs="Google Sans" w:eastAsia="Google Sans" w:hAnsi="Google Sans"/>
            <w:color w:val="0000ee"/>
            <w:sz w:val="24"/>
            <w:szCs w:val="24"/>
            <w:u w:val="single"/>
            <w:rtl w:val="0"/>
          </w:rPr>
          <w:t xml:space="preserve">https://www.uaex.uada.edu/publications/PDF/FSA-9612.pdf</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Rearing Experience on the Survival, Growth, and Behavior of Hatchery‐Reared Largemouth Bass - FAO AGRIS, 檢索日期：4月 24, 2026， </w:t>
      </w:r>
      <w:hyperlink r:id="rId61">
        <w:r w:rsidDel="00000000" w:rsidR="00000000" w:rsidRPr="00000000">
          <w:rPr>
            <w:rFonts w:ascii="Google Sans" w:cs="Google Sans" w:eastAsia="Google Sans" w:hAnsi="Google Sans"/>
            <w:color w:val="0000ee"/>
            <w:sz w:val="24"/>
            <w:szCs w:val="24"/>
            <w:u w:val="single"/>
            <w:rtl w:val="0"/>
          </w:rPr>
          <w:t xml:space="preserve">https://agris.fao.org/search/en/providers/122535/records/65df5788b766d82b18014a22</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Practical feeds and feeding | Largemouth Bass Aquaculture - CABI Digital Library, 檢索日期：4月 24, 2026， </w:t>
      </w:r>
      <w:hyperlink r:id="rId62">
        <w:r w:rsidDel="00000000" w:rsidR="00000000" w:rsidRPr="00000000">
          <w:rPr>
            <w:rFonts w:ascii="Google Sans" w:cs="Google Sans" w:eastAsia="Google Sans" w:hAnsi="Google Sans"/>
            <w:color w:val="0000ee"/>
            <w:sz w:val="24"/>
            <w:szCs w:val="24"/>
            <w:u w:val="single"/>
            <w:rtl w:val="0"/>
          </w:rPr>
          <w:t xml:space="preserve">https://www.cabidigitallibrary.org/doi/10.1079/9781800629158.0009</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Pellet-reared Largemouth Bass Competitive Ability at Various Levels of Exposure to Live Forage - SEAFWA, 檢索日期：4月 24, 2026， </w:t>
      </w:r>
      <w:hyperlink r:id="rId63">
        <w:r w:rsidDel="00000000" w:rsidR="00000000" w:rsidRPr="00000000">
          <w:rPr>
            <w:rFonts w:ascii="Google Sans" w:cs="Google Sans" w:eastAsia="Google Sans" w:hAnsi="Google Sans"/>
            <w:color w:val="0000ee"/>
            <w:sz w:val="24"/>
            <w:szCs w:val="24"/>
            <w:u w:val="single"/>
            <w:rtl w:val="0"/>
          </w:rPr>
          <w:t xml:space="preserve">https://seafwa.org/sites/default/files/journal-articles/04Rachelsetal16-19.pdf</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dietary regime may impair subsequent foraging behaviour of hatchery-reared turbot released into natural environment | Request PDF - ResearchGate, 檢索日期：4月 24, 2026， </w:t>
      </w:r>
      <w:hyperlink r:id="rId64">
        <w:r w:rsidDel="00000000" w:rsidR="00000000" w:rsidRPr="00000000">
          <w:rPr>
            <w:rFonts w:ascii="Google Sans" w:cs="Google Sans" w:eastAsia="Google Sans" w:hAnsi="Google Sans"/>
            <w:color w:val="0000ee"/>
            <w:sz w:val="24"/>
            <w:szCs w:val="24"/>
            <w:u w:val="single"/>
            <w:rtl w:val="0"/>
          </w:rPr>
          <w:t xml:space="preserve">https://www.researchgate.net/publication/230059191_Artificial_dietary_regime_may_impair_subsequent_foraging_behaviour_of_hatchery-reared_turbot_released_into_natural_environment</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Pellet Trained Bass - Ask The Boss - YouTube, 檢索日期：4月 24, 2026， </w:t>
      </w:r>
      <w:hyperlink r:id="rId65">
        <w:r w:rsidDel="00000000" w:rsidR="00000000" w:rsidRPr="00000000">
          <w:rPr>
            <w:rFonts w:ascii="Google Sans" w:cs="Google Sans" w:eastAsia="Google Sans" w:hAnsi="Google Sans"/>
            <w:color w:val="0000ee"/>
            <w:sz w:val="24"/>
            <w:szCs w:val="24"/>
            <w:u w:val="single"/>
            <w:rtl w:val="0"/>
          </w:rPr>
          <w:t xml:space="preserve">https://www.youtube.com/watch?v=Rfom8tiegps</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Sex‐Specific Consequences of Experimental Cortisol Elevation in Pre‐Reproductive Wild Largemouth Bass, 檢索日期：4月 24, 2026， </w:t>
      </w:r>
      <w:hyperlink r:id="rId66">
        <w:r w:rsidDel="00000000" w:rsidR="00000000" w:rsidRPr="00000000">
          <w:rPr>
            <w:rFonts w:ascii="Google Sans" w:cs="Google Sans" w:eastAsia="Google Sans" w:hAnsi="Google Sans"/>
            <w:color w:val="0000ee"/>
            <w:sz w:val="24"/>
            <w:szCs w:val="24"/>
            <w:u w:val="single"/>
            <w:rtl w:val="0"/>
          </w:rPr>
          <w:t xml:space="preserve">http://www.fecpl.ca/wp-content/uploads/2013/06/JEZ-OConnor-et-al-2013.pdf</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Fish and chips: Using machine learning to estimate the effects of basal cortisol on fish foraging behavior - Frontiers, 檢索日期：4月 24, 2026， </w:t>
      </w:r>
      <w:hyperlink r:id="rId67">
        <w:r w:rsidDel="00000000" w:rsidR="00000000" w:rsidRPr="00000000">
          <w:rPr>
            <w:rFonts w:ascii="Google Sans" w:cs="Google Sans" w:eastAsia="Google Sans" w:hAnsi="Google Sans"/>
            <w:color w:val="0000ee"/>
            <w:sz w:val="24"/>
            <w:szCs w:val="24"/>
            <w:u w:val="single"/>
            <w:rtl w:val="0"/>
          </w:rPr>
          <w:t xml:space="preserve">https://www.frontiersin.org/journals/behavioral-neuroscience/articles/10.3389/fnbeh.2023.1028190/full</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Hormonal responsiveness to stress is negatively associated with vulnerability to angling capture in fish - PubMed, 檢索日期：4月 24, 2026， </w:t>
      </w:r>
      <w:hyperlink r:id="rId68">
        <w:r w:rsidDel="00000000" w:rsidR="00000000" w:rsidRPr="00000000">
          <w:rPr>
            <w:rFonts w:ascii="Google Sans" w:cs="Google Sans" w:eastAsia="Google Sans" w:hAnsi="Google Sans"/>
            <w:color w:val="0000ee"/>
            <w:sz w:val="24"/>
            <w:szCs w:val="24"/>
            <w:u w:val="single"/>
            <w:rtl w:val="0"/>
          </w:rPr>
          <w:t xml:space="preserve">https://pubmed.ncbi.nlm.nih.gov/28724703/</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Shocking Science: Why Bass Don't Bite Your Lures Anymore - YouTube, 檢索日期：4月 24, 2026， </w:t>
      </w:r>
      <w:hyperlink r:id="rId69">
        <w:r w:rsidDel="00000000" w:rsidR="00000000" w:rsidRPr="00000000">
          <w:rPr>
            <w:rFonts w:ascii="Google Sans" w:cs="Google Sans" w:eastAsia="Google Sans" w:hAnsi="Google Sans"/>
            <w:color w:val="0000ee"/>
            <w:sz w:val="24"/>
            <w:szCs w:val="24"/>
            <w:u w:val="single"/>
            <w:rtl w:val="0"/>
          </w:rPr>
          <w:t xml:space="preserve">https://www.youtube.com/watch?v=7GJsp0oO1_4</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Life-history traits and energetic status in relation to vulnerability to angling in an experimentally selected teleost fish - PMC, 檢索日期：4月 24, 2026， </w:t>
      </w:r>
      <w:hyperlink r:id="rId70">
        <w:r w:rsidDel="00000000" w:rsidR="00000000" w:rsidRPr="00000000">
          <w:rPr>
            <w:rFonts w:ascii="Google Sans" w:cs="Google Sans" w:eastAsia="Google Sans" w:hAnsi="Google Sans"/>
            <w:color w:val="0000ee"/>
            <w:sz w:val="24"/>
            <w:szCs w:val="24"/>
            <w:u w:val="single"/>
            <w:rtl w:val="0"/>
          </w:rPr>
          <w:t xml:space="preserve">https://pmc.ncbi.nlm.nih.gov/articles/PMC3352488/</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Fisheries-Induced Evolution in Largemouth Bass: Linking Vulnerability to Angling, Parental Care, and Fitness, 檢索日期：4月 24, 2026， </w:t>
      </w:r>
      <w:hyperlink r:id="rId71">
        <w:r w:rsidDel="00000000" w:rsidR="00000000" w:rsidRPr="00000000">
          <w:rPr>
            <w:rFonts w:ascii="Google Sans" w:cs="Google Sans" w:eastAsia="Google Sans" w:hAnsi="Google Sans"/>
            <w:color w:val="0000ee"/>
            <w:sz w:val="24"/>
            <w:szCs w:val="24"/>
            <w:u w:val="single"/>
            <w:rtl w:val="0"/>
          </w:rPr>
          <w:t xml:space="preserve">https://www.fecpl.ca/wp-content/uploads/2015/07/PhilippEtAl_BassBook_2015.pdf</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Ways to Trigger Bass Reaction Strikes | BassForecast, 檢索日期：4月 24, 2026， </w:t>
      </w:r>
      <w:hyperlink r:id="rId72">
        <w:r w:rsidDel="00000000" w:rsidR="00000000" w:rsidRPr="00000000">
          <w:rPr>
            <w:rFonts w:ascii="Google Sans" w:cs="Google Sans" w:eastAsia="Google Sans" w:hAnsi="Google Sans"/>
            <w:color w:val="0000ee"/>
            <w:sz w:val="24"/>
            <w:szCs w:val="24"/>
            <w:u w:val="single"/>
            <w:rtl w:val="0"/>
          </w:rPr>
          <w:t xml:space="preserve">https://bassforecast.com/bass-reaction-strikes</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Science of the Strike - Apple Podcasts, 檢索日期：4月 24, 2026， </w:t>
      </w:r>
      <w:hyperlink r:id="rId73">
        <w:r w:rsidDel="00000000" w:rsidR="00000000" w:rsidRPr="00000000">
          <w:rPr>
            <w:rFonts w:ascii="Google Sans" w:cs="Google Sans" w:eastAsia="Google Sans" w:hAnsi="Google Sans"/>
            <w:color w:val="0000ee"/>
            <w:sz w:val="24"/>
            <w:szCs w:val="24"/>
            <w:u w:val="single"/>
            <w:rtl w:val="0"/>
          </w:rPr>
          <w:t xml:space="preserve">https://podcasts.apple.com/za/podcast/science-of-the-strike/id1796190212</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Bass Bite—And Why They Don't - In-Fisherman, 檢索日期：4月 24, 2026， </w:t>
      </w:r>
      <w:hyperlink r:id="rId74">
        <w:r w:rsidDel="00000000" w:rsidR="00000000" w:rsidRPr="00000000">
          <w:rPr>
            <w:rFonts w:ascii="Google Sans" w:cs="Google Sans" w:eastAsia="Google Sans" w:hAnsi="Google Sans"/>
            <w:color w:val="0000ee"/>
            <w:sz w:val="24"/>
            <w:szCs w:val="24"/>
            <w:u w:val="single"/>
            <w:rtl w:val="0"/>
          </w:rPr>
          <w:t xml:space="preserve">https://www.in-fisherman.com/editorial/bass-strike-savvy/395799</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Bass Bites: Feeding Strike, Reaction Strike, Territory/Aggression Strike (2018) - YouTube, 檢索日期：4月 24, 2026， </w:t>
      </w:r>
      <w:hyperlink r:id="rId75">
        <w:r w:rsidDel="00000000" w:rsidR="00000000" w:rsidRPr="00000000">
          <w:rPr>
            <w:rFonts w:ascii="Google Sans" w:cs="Google Sans" w:eastAsia="Google Sans" w:hAnsi="Google Sans"/>
            <w:color w:val="0000ee"/>
            <w:sz w:val="24"/>
            <w:szCs w:val="24"/>
            <w:u w:val="single"/>
            <w:rtl w:val="0"/>
          </w:rPr>
          <w:t xml:space="preserve">https://www.youtube.com/watch?v=xHAiYzDXDGk</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Superior Colliculus and Visual Spatial Attention - PMC - NIH, 檢索日期：4月 24, 2026， </w:t>
      </w:r>
      <w:hyperlink r:id="rId76">
        <w:r w:rsidDel="00000000" w:rsidR="00000000" w:rsidRPr="00000000">
          <w:rPr>
            <w:rFonts w:ascii="Google Sans" w:cs="Google Sans" w:eastAsia="Google Sans" w:hAnsi="Google Sans"/>
            <w:color w:val="0000ee"/>
            <w:sz w:val="24"/>
            <w:szCs w:val="24"/>
            <w:u w:val="single"/>
            <w:rtl w:val="0"/>
          </w:rPr>
          <w:t xml:space="preserve">https://pmc.ncbi.nlm.nih.gov/articles/PMC3820016/</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Pathway-specific inputs to the superior colliculus support flexible responses to visual threat, 檢索日期：4月 24, 2026， </w:t>
      </w:r>
      <w:hyperlink r:id="rId77">
        <w:r w:rsidDel="00000000" w:rsidR="00000000" w:rsidRPr="00000000">
          <w:rPr>
            <w:rFonts w:ascii="Google Sans" w:cs="Google Sans" w:eastAsia="Google Sans" w:hAnsi="Google Sans"/>
            <w:color w:val="0000ee"/>
            <w:sz w:val="24"/>
            <w:szCs w:val="24"/>
            <w:u w:val="single"/>
            <w:rtl w:val="0"/>
          </w:rPr>
          <w:t xml:space="preserve">https://pmc.ncbi.nlm.nih.gov/articles/PMC10468139/</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Spatial Cognition in Teleost Fish: Strategies and Mechanisms - PMC - NIH, 檢索日期：4月 24, 2026， </w:t>
      </w:r>
      <w:hyperlink r:id="rId78">
        <w:r w:rsidDel="00000000" w:rsidR="00000000" w:rsidRPr="00000000">
          <w:rPr>
            <w:rFonts w:ascii="Google Sans" w:cs="Google Sans" w:eastAsia="Google Sans" w:hAnsi="Google Sans"/>
            <w:color w:val="0000ee"/>
            <w:sz w:val="24"/>
            <w:szCs w:val="24"/>
            <w:u w:val="single"/>
            <w:rtl w:val="0"/>
          </w:rPr>
          <w:t xml:space="preserve">https://pmc.ncbi.nlm.nih.gov/articles/PMC8388456/</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sifting of visual information in the superior colliculus - PMC, 檢索日期：4月 24, 2026， </w:t>
      </w:r>
      <w:hyperlink r:id="rId79">
        <w:r w:rsidDel="00000000" w:rsidR="00000000" w:rsidRPr="00000000">
          <w:rPr>
            <w:rFonts w:ascii="Google Sans" w:cs="Google Sans" w:eastAsia="Google Sans" w:hAnsi="Google Sans"/>
            <w:color w:val="0000ee"/>
            <w:sz w:val="24"/>
            <w:szCs w:val="24"/>
            <w:u w:val="single"/>
            <w:rtl w:val="0"/>
          </w:rPr>
          <w:t xml:space="preserve">https://pmc.ncbi.nlm.nih.gov/articles/PMC7237212/</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Superior colliculus cells sensitive to active touch and texture during whisking - PMC - NIH, 檢索日期：4月 24, 2026， </w:t>
      </w:r>
      <w:hyperlink r:id="rId80">
        <w:r w:rsidDel="00000000" w:rsidR="00000000" w:rsidRPr="00000000">
          <w:rPr>
            <w:rFonts w:ascii="Google Sans" w:cs="Google Sans" w:eastAsia="Google Sans" w:hAnsi="Google Sans"/>
            <w:color w:val="0000ee"/>
            <w:sz w:val="24"/>
            <w:szCs w:val="24"/>
            <w:u w:val="single"/>
            <w:rtl w:val="0"/>
          </w:rPr>
          <w:t xml:space="preserve">https://pmc.ncbi.nlm.nih.gov/articles/PMC3129730/</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response properties of neurons in the superficial layers of the superior colliculus of awake mouse - PMC, 檢索日期：4月 24, 2026， </w:t>
      </w:r>
      <w:hyperlink r:id="rId81">
        <w:r w:rsidDel="00000000" w:rsidR="00000000" w:rsidRPr="00000000">
          <w:rPr>
            <w:rFonts w:ascii="Google Sans" w:cs="Google Sans" w:eastAsia="Google Sans" w:hAnsi="Google Sans"/>
            <w:color w:val="0000ee"/>
            <w:sz w:val="24"/>
            <w:szCs w:val="24"/>
            <w:u w:val="single"/>
            <w:rtl w:val="0"/>
          </w:rPr>
          <w:t xml:space="preserve">https://pmc.ncbi.nlm.nih.gov/articles/PMC6292807/</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Vibrissa Sensation in Superior Colliculus: Wide-Field Sensitivity and State-Dependent Cortical Feedback - PMC, 檢索日期：4月 24, 2026， </w:t>
      </w:r>
      <w:hyperlink r:id="rId82">
        <w:r w:rsidDel="00000000" w:rsidR="00000000" w:rsidRPr="00000000">
          <w:rPr>
            <w:rFonts w:ascii="Google Sans" w:cs="Google Sans" w:eastAsia="Google Sans" w:hAnsi="Google Sans"/>
            <w:color w:val="0000ee"/>
            <w:sz w:val="24"/>
            <w:szCs w:val="24"/>
            <w:u w:val="single"/>
            <w:rtl w:val="0"/>
          </w:rPr>
          <w:t xml:space="preserve">https://pmc.ncbi.nlm.nih.gov/articles/PMC2587996/</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sifting of visual information in the superior colliculus - eLife, 檢索日期：4月 24, 2026， </w:t>
      </w:r>
      <w:hyperlink r:id="rId83">
        <w:r w:rsidDel="00000000" w:rsidR="00000000" w:rsidRPr="00000000">
          <w:rPr>
            <w:rFonts w:ascii="Google Sans" w:cs="Google Sans" w:eastAsia="Google Sans" w:hAnsi="Google Sans"/>
            <w:color w:val="0000ee"/>
            <w:sz w:val="24"/>
            <w:szCs w:val="24"/>
            <w:u w:val="single"/>
            <w:rtl w:val="0"/>
          </w:rPr>
          <w:t xml:space="preserve">https://elifesciences.org/articles/50678</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sifting of visual information in the superior colliculus - The Meister Laboratory, 檢索日期：4月 24, 2026， </w:t>
      </w:r>
      <w:hyperlink r:id="rId84">
        <w:r w:rsidDel="00000000" w:rsidR="00000000" w:rsidRPr="00000000">
          <w:rPr>
            <w:rFonts w:ascii="Google Sans" w:cs="Google Sans" w:eastAsia="Google Sans" w:hAnsi="Google Sans"/>
            <w:color w:val="0000ee"/>
            <w:sz w:val="24"/>
            <w:szCs w:val="24"/>
            <w:u w:val="single"/>
            <w:rtl w:val="0"/>
          </w:rPr>
          <w:t xml:space="preserve">https://meisterlab.caltech.edu/documents/18421/Lee_2020_The_sifting_of_visual_information_in_the_superior_colliculus.pdf</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Intermittent propulsion in largemouth bass, Micropterus salmoides, increases power production at low swimming speeds - PMC, 檢索日期：4月 24, 2026， </w:t>
      </w:r>
      <w:hyperlink r:id="rId85">
        <w:r w:rsidDel="00000000" w:rsidR="00000000" w:rsidRPr="00000000">
          <w:rPr>
            <w:rFonts w:ascii="Google Sans" w:cs="Google Sans" w:eastAsia="Google Sans" w:hAnsi="Google Sans"/>
            <w:color w:val="0000ee"/>
            <w:sz w:val="24"/>
            <w:szCs w:val="24"/>
            <w:u w:val="single"/>
            <w:rtl w:val="0"/>
          </w:rPr>
          <w:t xml:space="preserve">https://pmc.ncbi.nlm.nih.gov/articles/PMC9065977/</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the feeding mechanism of the largemouth bass (Micropterus salmoides): motor pattern - PubMed, 檢索日期：4月 24, 2026， </w:t>
      </w:r>
      <w:hyperlink r:id="rId86">
        <w:r w:rsidDel="00000000" w:rsidR="00000000" w:rsidRPr="00000000">
          <w:rPr>
            <w:rFonts w:ascii="Google Sans" w:cs="Google Sans" w:eastAsia="Google Sans" w:hAnsi="Google Sans"/>
            <w:color w:val="0000ee"/>
            <w:sz w:val="24"/>
            <w:szCs w:val="24"/>
            <w:u w:val="single"/>
            <w:rtl w:val="0"/>
          </w:rPr>
          <w:t xml:space="preserve">https://pubmed.ncbi.nlm.nih.gov/9318998/</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Feeding, fins and braking maneuvers: locomotion during prey capture in centrarchid fishes, 檢索日期：4月 24, 2026， </w:t>
      </w:r>
      <w:hyperlink r:id="rId87">
        <w:r w:rsidDel="00000000" w:rsidR="00000000" w:rsidRPr="00000000">
          <w:rPr>
            <w:rFonts w:ascii="Google Sans" w:cs="Google Sans" w:eastAsia="Google Sans" w:hAnsi="Google Sans"/>
            <w:color w:val="0000ee"/>
            <w:sz w:val="24"/>
            <w:szCs w:val="24"/>
            <w:u w:val="single"/>
            <w:rtl w:val="0"/>
          </w:rPr>
          <w:t xml:space="preserve">https://journals.biologists.com/jeb/article/210/1/107/20279/Feeding-fins-and-braking-maneuvers-locomotion</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Science: The Bass Who Eats Last Goes Hungry - BassBlaster, 檢索日期：4月 24, 2026， </w:t>
      </w:r>
      <w:hyperlink r:id="rId88">
        <w:r w:rsidDel="00000000" w:rsidR="00000000" w:rsidRPr="00000000">
          <w:rPr>
            <w:rFonts w:ascii="Google Sans" w:cs="Google Sans" w:eastAsia="Google Sans" w:hAnsi="Google Sans"/>
            <w:color w:val="0000ee"/>
            <w:sz w:val="24"/>
            <w:szCs w:val="24"/>
            <w:u w:val="single"/>
            <w:rtl w:val="0"/>
          </w:rPr>
          <w:t xml:space="preserve">https://bassblaster.rocks/science-food-fear</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Subordinate largemouth bass increase aggression towards high-intake dominants showing reduced locomotion - ResearchGate, 檢索日期：4月 24, 2026， </w:t>
      </w:r>
      <w:hyperlink r:id="rId89">
        <w:r w:rsidDel="00000000" w:rsidR="00000000" w:rsidRPr="00000000">
          <w:rPr>
            <w:rFonts w:ascii="Google Sans" w:cs="Google Sans" w:eastAsia="Google Sans" w:hAnsi="Google Sans"/>
            <w:color w:val="0000ee"/>
            <w:sz w:val="24"/>
            <w:szCs w:val="24"/>
            <w:u w:val="single"/>
            <w:rtl w:val="0"/>
          </w:rPr>
          <w:t xml:space="preserve">https://www.researchgate.net/publication/403157059_Subordinate_largemouth_bass_increase_aggression_towards_high-intake_dominants_showing_reduced_locomotion</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Bass Bites – It's about the Allure - Acute Angler, 檢索日期：4月 24, 2026， </w:t>
      </w:r>
      <w:hyperlink r:id="rId90">
        <w:r w:rsidDel="00000000" w:rsidR="00000000" w:rsidRPr="00000000">
          <w:rPr>
            <w:rFonts w:ascii="Google Sans" w:cs="Google Sans" w:eastAsia="Google Sans" w:hAnsi="Google Sans"/>
            <w:color w:val="0000ee"/>
            <w:sz w:val="24"/>
            <w:szCs w:val="24"/>
            <w:u w:val="single"/>
            <w:rtl w:val="0"/>
          </w:rPr>
          <w:t xml:space="preserve">https://acuteangler.com/understanding-bass-bites/</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Reflectance spectra of water bodies depend on their dominant optical constituents - Remote Sensing of Water Resources - University of Minnesota, 檢索日期：4月 24, 2026， </w:t>
      </w:r>
      <w:hyperlink r:id="rId91">
        <w:r w:rsidDel="00000000" w:rsidR="00000000" w:rsidRPr="00000000">
          <w:rPr>
            <w:rFonts w:ascii="Google Sans" w:cs="Google Sans" w:eastAsia="Google Sans" w:hAnsi="Google Sans"/>
            <w:color w:val="0000ee"/>
            <w:sz w:val="24"/>
            <w:szCs w:val="24"/>
            <w:u w:val="single"/>
            <w:rtl w:val="0"/>
          </w:rPr>
          <w:t xml:space="preserve">https://water.rs.umn.edu/spectra</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Quantifying contributions to light attenuation in estuaries and coastal embayments: Application to Narragansett Bay, Rhode Island - PMC, 檢索日期：4月 24, 2026， </w:t>
      </w:r>
      <w:hyperlink r:id="rId92">
        <w:r w:rsidDel="00000000" w:rsidR="00000000" w:rsidRPr="00000000">
          <w:rPr>
            <w:rFonts w:ascii="Google Sans" w:cs="Google Sans" w:eastAsia="Google Sans" w:hAnsi="Google Sans"/>
            <w:color w:val="0000ee"/>
            <w:sz w:val="24"/>
            <w:szCs w:val="24"/>
            <w:u w:val="single"/>
            <w:rtl w:val="0"/>
          </w:rPr>
          <w:t xml:space="preserve">https://pmc.ncbi.nlm.nih.gov/articles/PMC6223133/</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Reflectance Model for Quantifying Chlorophyll-a in the Presence of Productivity Degradation Products - Digital Commons @ USF - University of South Florida, 檢索日期：4月 24, 2026， </w:t>
      </w:r>
      <w:hyperlink r:id="rId93">
        <w:r w:rsidDel="00000000" w:rsidR="00000000" w:rsidRPr="00000000">
          <w:rPr>
            <w:rFonts w:ascii="Google Sans" w:cs="Google Sans" w:eastAsia="Google Sans" w:hAnsi="Google Sans"/>
            <w:color w:val="0000ee"/>
            <w:sz w:val="24"/>
            <w:szCs w:val="24"/>
            <w:u w:val="single"/>
            <w:rtl w:val="0"/>
          </w:rPr>
          <w:t xml:space="preserve">https://digitalcommons.usf.edu/cgi/viewcontent.cgi?article=1083&amp;context=msc_facpub</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Humic acid structural characteristics in soils under different land uses in Ilesa, Nigeria, 檢索日期：4月 24, 2026， </w:t>
      </w:r>
      <w:hyperlink r:id="rId94">
        <w:r w:rsidDel="00000000" w:rsidR="00000000" w:rsidRPr="00000000">
          <w:rPr>
            <w:rFonts w:ascii="Google Sans" w:cs="Google Sans" w:eastAsia="Google Sans" w:hAnsi="Google Sans"/>
            <w:color w:val="0000ee"/>
            <w:sz w:val="24"/>
            <w:szCs w:val="24"/>
            <w:u w:val="single"/>
            <w:rtl w:val="0"/>
          </w:rPr>
          <w:t xml:space="preserve">https://www.soilsa.com/pdf-189544-114873?filename=114873.pdf</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Characteristics of Absorption Spectra of Chromophoric Dissolved Organic Matter in the Pearl River Estuary in Spring - MDPI, 檢索日期：4月 24, 2026， </w:t>
      </w:r>
      <w:hyperlink r:id="rId95">
        <w:r w:rsidDel="00000000" w:rsidR="00000000" w:rsidRPr="00000000">
          <w:rPr>
            <w:rFonts w:ascii="Google Sans" w:cs="Google Sans" w:eastAsia="Google Sans" w:hAnsi="Google Sans"/>
            <w:color w:val="0000ee"/>
            <w:sz w:val="24"/>
            <w:szCs w:val="24"/>
            <w:u w:val="single"/>
            <w:rtl w:val="0"/>
          </w:rPr>
          <w:t xml:space="preserve">https://www.mdpi.com/2072-4292/11/13/1533</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Hourly, daily and seasonal variability in the absorption spectra of chromophoric dissolved organic matter in a eutrophic, humic lake - ResearchGate, 檢索日期：4月 24, 2026， </w:t>
      </w:r>
      <w:hyperlink r:id="rId96">
        <w:r w:rsidDel="00000000" w:rsidR="00000000" w:rsidRPr="00000000">
          <w:rPr>
            <w:rFonts w:ascii="Google Sans" w:cs="Google Sans" w:eastAsia="Google Sans" w:hAnsi="Google Sans"/>
            <w:color w:val="0000ee"/>
            <w:sz w:val="24"/>
            <w:szCs w:val="24"/>
            <w:u w:val="single"/>
            <w:rtl w:val="0"/>
          </w:rPr>
          <w:t xml:space="preserve">https://www.researchgate.net/publication/265339795_Hourly_daily_and_seasonal_variability_in_the_absorption_spectra_of_chromophoric_dissolved_organic_matter_in_a_eutrophic_humic_lake</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Absorption spectrum for the range of (a) pure water and (b) typical... - ResearchGate, 檢索日期：4月 24, 2026， </w:t>
      </w:r>
      <w:hyperlink r:id="rId97">
        <w:r w:rsidDel="00000000" w:rsidR="00000000" w:rsidRPr="00000000">
          <w:rPr>
            <w:rFonts w:ascii="Google Sans" w:cs="Google Sans" w:eastAsia="Google Sans" w:hAnsi="Google Sans"/>
            <w:color w:val="0000ee"/>
            <w:sz w:val="24"/>
            <w:szCs w:val="24"/>
            <w:u w:val="single"/>
            <w:rtl w:val="0"/>
          </w:rPr>
          <w:t xml:space="preserve">https://www.researchgate.net/figure/Absorption-spectrum-for-the-range-of-apure-water-and-btypical-profile-for-specific_fig1_260152370</w:t>
        </w:r>
      </w:hyperlink>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Total absorption spectra for three lakes with different levels of DOC,... - ResearchGate, 檢索日期：4月 24, 2026， </w:t>
      </w:r>
      <w:hyperlink r:id="rId98">
        <w:r w:rsidDel="00000000" w:rsidR="00000000" w:rsidRPr="00000000">
          <w:rPr>
            <w:rFonts w:ascii="Google Sans" w:cs="Google Sans" w:eastAsia="Google Sans" w:hAnsi="Google Sans"/>
            <w:color w:val="0000ee"/>
            <w:sz w:val="24"/>
            <w:szCs w:val="24"/>
            <w:u w:val="single"/>
            <w:rtl w:val="0"/>
          </w:rPr>
          <w:t xml:space="preserve">https://www.researchgate.net/figure/Total-absorption-spectra-for-three-lakes-with-different-levels-of-DOC-TP-and-Secchi_fig1_262917953</w:t>
        </w:r>
      </w:hyperlink>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spectral distribution and attenuation of underwater irradiance in Tasmanian inland waters | Request PDF - ResearchGate, 檢索日期：4月 24, 2026， </w:t>
      </w:r>
      <w:hyperlink r:id="rId99">
        <w:r w:rsidDel="00000000" w:rsidR="00000000" w:rsidRPr="00000000">
          <w:rPr>
            <w:rFonts w:ascii="Google Sans" w:cs="Google Sans" w:eastAsia="Google Sans" w:hAnsi="Google Sans"/>
            <w:color w:val="0000ee"/>
            <w:sz w:val="24"/>
            <w:szCs w:val="24"/>
            <w:u w:val="single"/>
            <w:rtl w:val="0"/>
          </w:rPr>
          <w:t xml:space="preserve">https://www.researchgate.net/publication/229442363_The_spectral_distribution_and_attenuation_of_underwater_irradiance_in_Tasmanian_inland_waters</w:t>
        </w:r>
      </w:hyperlink>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 Colour | PDF | Spectrophotometry | Absorbance - Scribd, 檢索日期：4月 24, 2026， </w:t>
      </w:r>
      <w:hyperlink r:id="rId100">
        <w:r w:rsidDel="00000000" w:rsidR="00000000" w:rsidRPr="00000000">
          <w:rPr>
            <w:rFonts w:ascii="Google Sans" w:cs="Google Sans" w:eastAsia="Google Sans" w:hAnsi="Google Sans"/>
            <w:color w:val="0000ee"/>
            <w:sz w:val="24"/>
            <w:szCs w:val="24"/>
            <w:u w:val="single"/>
            <w:rtl w:val="0"/>
          </w:rPr>
          <w:t xml:space="preserve">https://www.scribd.com/document/464371709/WATER-COLOUR</w:t>
        </w:r>
      </w:hyperlink>
      <w:r w:rsidDel="00000000" w:rsidR="00000000" w:rsidRPr="00000000">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Papers, 檢索日期：4月 24, 2026， </w:t>
      </w:r>
      <w:hyperlink r:id="rId101">
        <w:r w:rsidDel="00000000" w:rsidR="00000000" w:rsidRPr="00000000">
          <w:rPr>
            <w:rFonts w:ascii="Google Sans" w:cs="Google Sans" w:eastAsia="Google Sans" w:hAnsi="Google Sans"/>
            <w:color w:val="0000ee"/>
            <w:sz w:val="24"/>
            <w:szCs w:val="24"/>
            <w:u w:val="single"/>
            <w:rtl w:val="0"/>
          </w:rPr>
          <w:t xml:space="preserve">http://www.iopan.gda.pl/oceanologia/OC_38/OC38_1-1_Kowalczuk.pdf</w:t>
        </w:r>
      </w:hyperlink>
      <w:r w:rsidDel="00000000" w:rsidR="00000000" w:rsidRPr="00000000">
        <w:rPr>
          <w:rtl w:val="0"/>
        </w:rPr>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Absorption spectra. All spectra were normalized using the chlorophyll a... - ResearchGate, 檢索日期：4月 24, 2026， </w:t>
      </w:r>
      <w:hyperlink r:id="rId102">
        <w:r w:rsidDel="00000000" w:rsidR="00000000" w:rsidRPr="00000000">
          <w:rPr>
            <w:rFonts w:ascii="Google Sans" w:cs="Google Sans" w:eastAsia="Google Sans" w:hAnsi="Google Sans"/>
            <w:color w:val="0000ee"/>
            <w:sz w:val="24"/>
            <w:szCs w:val="24"/>
            <w:u w:val="single"/>
            <w:rtl w:val="0"/>
          </w:rPr>
          <w:t xml:space="preserve">https://www.researchgate.net/figure/Absorption-spectra-All-spectra-were-normalized-using-the-chlorophyll-a-absorption-peak_fig2_329422609</w:t>
        </w:r>
      </w:hyperlink>
      <w:r w:rsidDel="00000000" w:rsidR="00000000" w:rsidRPr="00000000">
        <w:rPr>
          <w:rtl w:val="0"/>
        </w:rPr>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Microcystis aeruginosa - Wikipedia, 檢索日期：4月 24, 2026， </w:t>
      </w:r>
      <w:hyperlink r:id="rId103">
        <w:r w:rsidDel="00000000" w:rsidR="00000000" w:rsidRPr="00000000">
          <w:rPr>
            <w:rFonts w:ascii="Google Sans" w:cs="Google Sans" w:eastAsia="Google Sans" w:hAnsi="Google Sans"/>
            <w:color w:val="0000ee"/>
            <w:sz w:val="24"/>
            <w:szCs w:val="24"/>
            <w:u w:val="single"/>
            <w:rtl w:val="0"/>
          </w:rPr>
          <w:t xml:space="preserve">https://en.wikipedia.org/wiki/Microcystis_aeruginosa</w:t>
        </w:r>
      </w:hyperlink>
      <w:r w:rsidDel="00000000" w:rsidR="00000000" w:rsidRPr="00000000">
        <w:rPr>
          <w:rtl w:val="0"/>
        </w:rPr>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Chlorophyll a interference in phycocyanin and allophycocyanin spectrophotometric quantification | Journal of Limnology, 檢索日期：4月 24, 2026， </w:t>
      </w:r>
      <w:hyperlink r:id="rId104">
        <w:r w:rsidDel="00000000" w:rsidR="00000000" w:rsidRPr="00000000">
          <w:rPr>
            <w:rFonts w:ascii="Google Sans" w:cs="Google Sans" w:eastAsia="Google Sans" w:hAnsi="Google Sans"/>
            <w:color w:val="0000ee"/>
            <w:sz w:val="24"/>
            <w:szCs w:val="24"/>
            <w:u w:val="single"/>
            <w:rtl w:val="0"/>
          </w:rPr>
          <w:t xml:space="preserve">https://www.jlimnol.it/jlimnol/article/view/jlimnol.2017.1691/1415</w:t>
        </w:r>
      </w:hyperlink>
      <w:r w:rsidDel="00000000" w:rsidR="00000000" w:rsidRPr="00000000">
        <w:rPr>
          <w:rtl w:val="0"/>
        </w:rPr>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Bio-optical characterization of selected cyanobacteria strains present in marine and freshwater ecosystems - PMC, 檢索日期：4月 24, 2026， </w:t>
      </w:r>
      <w:hyperlink r:id="rId105">
        <w:r w:rsidDel="00000000" w:rsidR="00000000" w:rsidRPr="00000000">
          <w:rPr>
            <w:rFonts w:ascii="Google Sans" w:cs="Google Sans" w:eastAsia="Google Sans" w:hAnsi="Google Sans"/>
            <w:color w:val="0000ee"/>
            <w:sz w:val="24"/>
            <w:szCs w:val="24"/>
            <w:u w:val="single"/>
            <w:rtl w:val="0"/>
          </w:rPr>
          <w:t xml:space="preserve">https://pmc.ncbi.nlm.nih.gov/articles/PMC4947098/</w:t>
        </w:r>
      </w:hyperlink>
      <w:r w:rsidDel="00000000" w:rsidR="00000000" w:rsidRPr="00000000">
        <w:rPr>
          <w:rtl w:val="0"/>
        </w:rPr>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Phycocyanin-specific absorption coefficient: Eliminating the effect of chlorophylls absorption - DigitalCommons@UNL, 檢索日期：4月 24, 2026， </w:t>
      </w:r>
      <w:hyperlink r:id="rId106">
        <w:r w:rsidDel="00000000" w:rsidR="00000000" w:rsidRPr="00000000">
          <w:rPr>
            <w:rFonts w:ascii="Google Sans" w:cs="Google Sans" w:eastAsia="Google Sans" w:hAnsi="Google Sans"/>
            <w:color w:val="0000ee"/>
            <w:sz w:val="24"/>
            <w:szCs w:val="24"/>
            <w:u w:val="single"/>
            <w:rtl w:val="0"/>
          </w:rPr>
          <w:t xml:space="preserve">https://digitalcommons.unl.edu/cgi/viewcontent.cgi?article=1601&amp;context=natrespapers</w:t>
        </w:r>
      </w:hyperlink>
      <w:r w:rsidDel="00000000" w:rsidR="00000000" w:rsidRPr="00000000">
        <w:rPr>
          <w:rtl w:val="0"/>
        </w:rPr>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Near real-time satellite detection and monitoring of aquatic algae and cyanobacteria: how a combination of chlorophyll-a indices and water-quality sampling was applied to north Texas reservoirs - SPIE Digital Library, 檢索日期：4月 24, 2026， </w:t>
      </w:r>
      <w:hyperlink r:id="rId107">
        <w:r w:rsidDel="00000000" w:rsidR="00000000" w:rsidRPr="00000000">
          <w:rPr>
            <w:rFonts w:ascii="Google Sans" w:cs="Google Sans" w:eastAsia="Google Sans" w:hAnsi="Google Sans"/>
            <w:color w:val="0000ee"/>
            <w:sz w:val="24"/>
            <w:szCs w:val="24"/>
            <w:u w:val="single"/>
            <w:rtl w:val="0"/>
          </w:rPr>
          <w:t xml:space="preserve">https://www.spiedigitallibrary.org/journals/journal-of-applied-remote-sensing/volume-17/issue-4/044514/Near-real-time-satellite-detection-and-monitoring-of-aquatic-algae/10.1117/1.JRS.17.044514.full</w:t>
        </w:r>
      </w:hyperlink>
      <w:r w:rsidDel="00000000" w:rsidR="00000000" w:rsidRPr="00000000">
        <w:rPr>
          <w:rtl w:val="0"/>
        </w:rPr>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CDOM absorption values (m -1 ) at 440 nm versus salinity for stations... - ResearchGate, 檢索日期：4月 24, 2026， </w:t>
      </w:r>
      <w:hyperlink r:id="rId108">
        <w:r w:rsidDel="00000000" w:rsidR="00000000" w:rsidRPr="00000000">
          <w:rPr>
            <w:rFonts w:ascii="Google Sans" w:cs="Google Sans" w:eastAsia="Google Sans" w:hAnsi="Google Sans"/>
            <w:color w:val="0000ee"/>
            <w:sz w:val="24"/>
            <w:szCs w:val="24"/>
            <w:u w:val="single"/>
            <w:rtl w:val="0"/>
          </w:rPr>
          <w:t xml:space="preserve">https://www.researchgate.net/figure/CDOM-absorption-values-m-1-at-440-nm-versus-salinity-for-stations-along-the-mixing_fig21_226194233</w:t>
        </w:r>
      </w:hyperlink>
      <w:r w:rsidDel="00000000" w:rsidR="00000000" w:rsidRPr="00000000">
        <w:rPr>
          <w:rtl w:val="0"/>
        </w:rPr>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Seeing red: color vision in the largemouth bass - PMC, 檢索日期：4月 24, 2026， </w:t>
      </w:r>
      <w:hyperlink r:id="rId109">
        <w:r w:rsidDel="00000000" w:rsidR="00000000" w:rsidRPr="00000000">
          <w:rPr>
            <w:rFonts w:ascii="Google Sans" w:cs="Google Sans" w:eastAsia="Google Sans" w:hAnsi="Google Sans"/>
            <w:color w:val="0000ee"/>
            <w:sz w:val="24"/>
            <w:szCs w:val="24"/>
            <w:u w:val="single"/>
            <w:rtl w:val="0"/>
          </w:rPr>
          <w:t xml:space="preserve">https://pmc.ncbi.nlm.nih.gov/articles/PMC6347066/</w:t>
        </w:r>
      </w:hyperlink>
      <w:r w:rsidDel="00000000" w:rsidR="00000000" w:rsidRPr="00000000">
        <w:rPr>
          <w:rtl w:val="0"/>
        </w:rPr>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檢索日期：4月 24, 2026， </w:t>
      </w:r>
      <w:hyperlink r:id="rId110">
        <w:r w:rsidDel="00000000" w:rsidR="00000000" w:rsidRPr="00000000">
          <w:rPr>
            <w:rFonts w:ascii="Google Sans" w:cs="Google Sans" w:eastAsia="Google Sans" w:hAnsi="Google Sans"/>
            <w:color w:val="0000ee"/>
            <w:sz w:val="24"/>
            <w:szCs w:val="24"/>
            <w:u w:val="single"/>
            <w:rtl w:val="0"/>
          </w:rPr>
          <w:t xml:space="preserve">https://academic.oup.com/cz/article/65/1/43/4924236#:~:text=Bass%20possess%20single%20cone%20cells,nor%20between%20green%20and%20blue.</w:t>
        </w:r>
      </w:hyperlink>
      <w:r w:rsidDel="00000000" w:rsidR="00000000" w:rsidRPr="00000000">
        <w:rPr>
          <w:rtl w:val="0"/>
        </w:rPr>
      </w:r>
    </w:p>
    <w:p w:rsidR="00000000" w:rsidDel="00000000" w:rsidP="00000000" w:rsidRDefault="00000000" w:rsidRPr="00000000" w14:paraId="0000010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Another Look at Bass Vision - In-Fisherman, 檢索日期：4月 24, 2026， </w:t>
      </w:r>
      <w:hyperlink r:id="rId111">
        <w:r w:rsidDel="00000000" w:rsidR="00000000" w:rsidRPr="00000000">
          <w:rPr>
            <w:rFonts w:ascii="Google Sans" w:cs="Google Sans" w:eastAsia="Google Sans" w:hAnsi="Google Sans"/>
            <w:color w:val="0000ee"/>
            <w:sz w:val="24"/>
            <w:szCs w:val="24"/>
            <w:u w:val="single"/>
            <w:rtl w:val="0"/>
          </w:rPr>
          <w:t xml:space="preserve">https://www.in-fisherman.com/editorial/another-look-at-bass-vision/370397</w:t>
        </w:r>
      </w:hyperlink>
      <w:r w:rsidDel="00000000" w:rsidR="00000000" w:rsidRPr="00000000">
        <w:rPr>
          <w:rtl w:val="0"/>
        </w:rPr>
      </w:r>
    </w:p>
    <w:p w:rsidR="00000000" w:rsidDel="00000000" w:rsidP="00000000" w:rsidRDefault="00000000" w:rsidRPr="00000000" w14:paraId="0000010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Weber's law and thresholds (video) - Khan Academy, 檢索日期：4月 24, 2026， </w:t>
      </w:r>
      <w:hyperlink r:id="rId112">
        <w:r w:rsidDel="00000000" w:rsidR="00000000" w:rsidRPr="00000000">
          <w:rPr>
            <w:rFonts w:ascii="Google Sans" w:cs="Google Sans" w:eastAsia="Google Sans" w:hAnsi="Google Sans"/>
            <w:color w:val="0000ee"/>
            <w:sz w:val="24"/>
            <w:szCs w:val="24"/>
            <w:u w:val="single"/>
            <w:rtl w:val="0"/>
          </w:rPr>
          <w:t xml:space="preserve">https://www.khanacademy.org/test-prep/mcat/processing-the-environment/sensory-perception/v/webers-law-and-thresholds</w:t>
        </w:r>
      </w:hyperlink>
      <w:r w:rsidDel="00000000" w:rsidR="00000000" w:rsidRPr="00000000">
        <w:rPr>
          <w:rtl w:val="0"/>
        </w:rPr>
      </w:r>
    </w:p>
    <w:p w:rsidR="00000000" w:rsidDel="00000000" w:rsidP="00000000" w:rsidRDefault="00000000" w:rsidRPr="00000000" w14:paraId="0000010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Changes in Contrast Thresholds with Mean Luminance for Chromatic and Luminance Gratings: A Reexamination of the Transition from the DeVries–Rose to Weber Regions, 檢索日期：4月 24, 2026， </w:t>
      </w:r>
      <w:hyperlink r:id="rId113">
        <w:r w:rsidDel="00000000" w:rsidR="00000000" w:rsidRPr="00000000">
          <w:rPr>
            <w:rFonts w:ascii="Google Sans" w:cs="Google Sans" w:eastAsia="Google Sans" w:hAnsi="Google Sans"/>
            <w:color w:val="0000ee"/>
            <w:sz w:val="24"/>
            <w:szCs w:val="24"/>
            <w:u w:val="single"/>
            <w:rtl w:val="0"/>
          </w:rPr>
          <w:t xml:space="preserve">https://www.ugr.es/~colorimg/pdfs/color_2004_178.pdf</w:t>
        </w:r>
      </w:hyperlink>
      <w:r w:rsidDel="00000000" w:rsidR="00000000" w:rsidRPr="00000000">
        <w:rPr>
          <w:rtl w:val="0"/>
        </w:rPr>
      </w:r>
    </w:p>
    <w:p w:rsidR="00000000" w:rsidDel="00000000" w:rsidP="00000000" w:rsidRDefault="00000000" w:rsidRPr="00000000" w14:paraId="0000010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Eye intensity response, contrast sensitivity - Amateur Telescope Optics, 檢索日期：4月 24, 2026， </w:t>
      </w:r>
      <w:hyperlink r:id="rId114">
        <w:r w:rsidDel="00000000" w:rsidR="00000000" w:rsidRPr="00000000">
          <w:rPr>
            <w:rFonts w:ascii="Google Sans" w:cs="Google Sans" w:eastAsia="Google Sans" w:hAnsi="Google Sans"/>
            <w:color w:val="0000ee"/>
            <w:sz w:val="24"/>
            <w:szCs w:val="24"/>
            <w:u w:val="single"/>
            <w:rtl w:val="0"/>
          </w:rPr>
          <w:t xml:space="preserve">https://www.telescope-optics.net/eye_intensity_response.htm</w:t>
        </w:r>
      </w:hyperlink>
      <w:r w:rsidDel="00000000" w:rsidR="00000000" w:rsidRPr="00000000">
        <w:rPr>
          <w:rtl w:val="0"/>
        </w:rPr>
      </w:r>
    </w:p>
    <w:p w:rsidR="00000000" w:rsidDel="00000000" w:rsidP="00000000" w:rsidRDefault="00000000" w:rsidRPr="00000000" w14:paraId="0000010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discrimination thresholds in a cichlid fish: Metriaclima benetos - PMC, 檢索日期：4月 24, 2026， </w:t>
      </w:r>
      <w:hyperlink r:id="rId115">
        <w:r w:rsidDel="00000000" w:rsidR="00000000" w:rsidRPr="00000000">
          <w:rPr>
            <w:rFonts w:ascii="Google Sans" w:cs="Google Sans" w:eastAsia="Google Sans" w:hAnsi="Google Sans"/>
            <w:color w:val="0000ee"/>
            <w:sz w:val="24"/>
            <w:szCs w:val="24"/>
            <w:u w:val="single"/>
            <w:rtl w:val="0"/>
          </w:rPr>
          <w:t xml:space="preserve">https://pmc.ncbi.nlm.nih.gov/articles/PMC6765173/</w:t>
        </w:r>
      </w:hyperlink>
      <w:r w:rsidDel="00000000" w:rsidR="00000000" w:rsidRPr="00000000">
        <w:rPr>
          <w:rtl w:val="0"/>
        </w:rPr>
      </w:r>
    </w:p>
    <w:p w:rsidR="00000000" w:rsidDel="00000000" w:rsidP="00000000" w:rsidRDefault="00000000" w:rsidRPr="00000000" w14:paraId="0000010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Sexual Dicromatism: The Importance of Proper Parameterization in Tetrachromatic Visual Models - ResearchGate, 檢索日期：4月 24, 2026， </w:t>
      </w:r>
      <w:hyperlink r:id="rId116">
        <w:r w:rsidDel="00000000" w:rsidR="00000000" w:rsidRPr="00000000">
          <w:rPr>
            <w:rFonts w:ascii="Google Sans" w:cs="Google Sans" w:eastAsia="Google Sans" w:hAnsi="Google Sans"/>
            <w:color w:val="0000ee"/>
            <w:sz w:val="24"/>
            <w:szCs w:val="24"/>
            <w:u w:val="single"/>
            <w:rtl w:val="0"/>
          </w:rPr>
          <w:t xml:space="preserve">https://www.researchgate.net/publication/312349025_Assessing_Sexual_Dicromatism_The_Importance_of_Proper_Parameterization_in_Tetrachromatic_Visual_Models</w:t>
        </w:r>
      </w:hyperlink>
      <w:r w:rsidDel="00000000" w:rsidR="00000000" w:rsidRPr="00000000">
        <w:rPr>
          <w:rtl w:val="0"/>
        </w:rPr>
      </w:r>
    </w:p>
    <w:p w:rsidR="00000000" w:rsidDel="00000000" w:rsidP="00000000" w:rsidRDefault="00000000" w:rsidRPr="00000000" w14:paraId="0000010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More than noise: context-dependent luminance contrast discrimination in a coral reef fish (Rhinecanthus aculeatus) - Company of Biologists journals, 檢索日期：4月 24, 2026， </w:t>
      </w:r>
      <w:hyperlink r:id="rId117">
        <w:r w:rsidDel="00000000" w:rsidR="00000000" w:rsidRPr="00000000">
          <w:rPr>
            <w:rFonts w:ascii="Google Sans" w:cs="Google Sans" w:eastAsia="Google Sans" w:hAnsi="Google Sans"/>
            <w:color w:val="0000ee"/>
            <w:sz w:val="24"/>
            <w:szCs w:val="24"/>
            <w:u w:val="single"/>
            <w:rtl w:val="0"/>
          </w:rPr>
          <w:t xml:space="preserve">https://journals.biologists.com/jeb/article/223/21/jeb232090/226160/More-than-noise-context-dependent-luminance</w:t>
        </w:r>
      </w:hyperlink>
      <w:r w:rsidDel="00000000" w:rsidR="00000000" w:rsidRPr="00000000">
        <w:rPr>
          <w:rtl w:val="0"/>
        </w:rPr>
      </w:r>
    </w:p>
    <w:p w:rsidR="00000000" w:rsidDel="00000000" w:rsidP="00000000" w:rsidRDefault="00000000" w:rsidRPr="00000000" w14:paraId="000001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Ch.3: Optical Properties of Water - MISC Lab, 檢索日期：4月 24, 2026， </w:t>
      </w:r>
      <w:hyperlink r:id="rId118">
        <w:r w:rsidDel="00000000" w:rsidR="00000000" w:rsidRPr="00000000">
          <w:rPr>
            <w:rFonts w:ascii="Google Sans" w:cs="Google Sans" w:eastAsia="Google Sans" w:hAnsi="Google Sans"/>
            <w:color w:val="0000ee"/>
            <w:sz w:val="24"/>
            <w:szCs w:val="24"/>
            <w:u w:val="single"/>
            <w:rtl w:val="0"/>
          </w:rPr>
          <w:t xml:space="preserve">https://misclab.umeoce.maine.edu/boss/classes/RT_Weizmann/Chapter3.pdf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5.png"/><Relationship Id="rId41" Type="http://schemas.openxmlformats.org/officeDocument/2006/relationships/image" Target="media/image13.png"/><Relationship Id="rId44" Type="http://schemas.openxmlformats.org/officeDocument/2006/relationships/image" Target="media/image9.png"/><Relationship Id="rId43" Type="http://schemas.openxmlformats.org/officeDocument/2006/relationships/image" Target="media/image17.png"/><Relationship Id="rId46" Type="http://schemas.openxmlformats.org/officeDocument/2006/relationships/image" Target="media/image26.png"/><Relationship Id="rId45" Type="http://schemas.openxmlformats.org/officeDocument/2006/relationships/image" Target="media/image18.png"/><Relationship Id="rId107" Type="http://schemas.openxmlformats.org/officeDocument/2006/relationships/hyperlink" Target="https://www.spiedigitallibrary.org/journals/journal-of-applied-remote-sensing/volume-17/issue-4/044514/Near-real-time-satellite-detection-and-monitoring-of-aquatic-algae/10.1117/1.JRS.17.044514.full" TargetMode="External"/><Relationship Id="rId106" Type="http://schemas.openxmlformats.org/officeDocument/2006/relationships/hyperlink" Target="https://digitalcommons.unl.edu/cgi/viewcontent.cgi?article=1601&amp;context=natrespapers" TargetMode="External"/><Relationship Id="rId105" Type="http://schemas.openxmlformats.org/officeDocument/2006/relationships/hyperlink" Target="https://pmc.ncbi.nlm.nih.gov/articles/PMC4947098/" TargetMode="External"/><Relationship Id="rId104" Type="http://schemas.openxmlformats.org/officeDocument/2006/relationships/hyperlink" Target="https://www.jlimnol.it/jlimnol/article/view/jlimnol.2017.1691/1415" TargetMode="External"/><Relationship Id="rId109" Type="http://schemas.openxmlformats.org/officeDocument/2006/relationships/hyperlink" Target="https://pmc.ncbi.nlm.nih.gov/articles/PMC6347066/" TargetMode="External"/><Relationship Id="rId108" Type="http://schemas.openxmlformats.org/officeDocument/2006/relationships/hyperlink" Target="https://www.researchgate.net/figure/CDOM-absorption-values-m-1-at-440-nm-versus-salinity-for-stations-along-the-mixing_fig21_226194233" TargetMode="External"/><Relationship Id="rId48" Type="http://schemas.openxmlformats.org/officeDocument/2006/relationships/hyperlink" Target="https://openprairie.sdstate.edu/etd/400/" TargetMode="External"/><Relationship Id="rId47" Type="http://schemas.openxmlformats.org/officeDocument/2006/relationships/image" Target="media/image42.png"/><Relationship Id="rId49" Type="http://schemas.openxmlformats.org/officeDocument/2006/relationships/hyperlink" Target="https://pmc.ncbi.nlm.nih.gov/articles/PMC10558547/" TargetMode="External"/><Relationship Id="rId103" Type="http://schemas.openxmlformats.org/officeDocument/2006/relationships/hyperlink" Target="https://en.wikipedia.org/wiki/Microcystis_aeruginosa" TargetMode="External"/><Relationship Id="rId102" Type="http://schemas.openxmlformats.org/officeDocument/2006/relationships/hyperlink" Target="https://www.researchgate.net/figure/Absorption-spectra-All-spectra-were-normalized-using-the-chlorophyll-a-absorption-peak_fig2_329422609" TargetMode="External"/><Relationship Id="rId101" Type="http://schemas.openxmlformats.org/officeDocument/2006/relationships/hyperlink" Target="http://www.iopan.gda.pl/oceanologia/OC_38/OC38_1-1_Kowalczuk.pdf" TargetMode="External"/><Relationship Id="rId100" Type="http://schemas.openxmlformats.org/officeDocument/2006/relationships/hyperlink" Target="https://www.scribd.com/document/464371709/WATER-COLOUR" TargetMode="External"/><Relationship Id="rId31" Type="http://schemas.openxmlformats.org/officeDocument/2006/relationships/image" Target="media/image32.png"/><Relationship Id="rId30" Type="http://schemas.openxmlformats.org/officeDocument/2006/relationships/image" Target="media/image24.png"/><Relationship Id="rId33" Type="http://schemas.openxmlformats.org/officeDocument/2006/relationships/image" Target="media/image11.png"/><Relationship Id="rId32" Type="http://schemas.openxmlformats.org/officeDocument/2006/relationships/image" Target="media/image2.png"/><Relationship Id="rId35" Type="http://schemas.openxmlformats.org/officeDocument/2006/relationships/image" Target="media/image1.png"/><Relationship Id="rId34" Type="http://schemas.openxmlformats.org/officeDocument/2006/relationships/image" Target="media/image34.png"/><Relationship Id="rId37" Type="http://schemas.openxmlformats.org/officeDocument/2006/relationships/image" Target="media/image10.png"/><Relationship Id="rId36" Type="http://schemas.openxmlformats.org/officeDocument/2006/relationships/image" Target="media/image12.png"/><Relationship Id="rId39" Type="http://schemas.openxmlformats.org/officeDocument/2006/relationships/image" Target="media/image19.png"/><Relationship Id="rId38" Type="http://schemas.openxmlformats.org/officeDocument/2006/relationships/image" Target="media/image15.png"/><Relationship Id="rId20" Type="http://schemas.openxmlformats.org/officeDocument/2006/relationships/image" Target="media/image40.png"/><Relationship Id="rId22" Type="http://schemas.openxmlformats.org/officeDocument/2006/relationships/image" Target="media/image6.png"/><Relationship Id="rId21" Type="http://schemas.openxmlformats.org/officeDocument/2006/relationships/image" Target="media/image39.png"/><Relationship Id="rId24" Type="http://schemas.openxmlformats.org/officeDocument/2006/relationships/image" Target="media/image4.png"/><Relationship Id="rId23" Type="http://schemas.openxmlformats.org/officeDocument/2006/relationships/image" Target="media/image25.png"/><Relationship Id="rId26" Type="http://schemas.openxmlformats.org/officeDocument/2006/relationships/image" Target="media/image8.png"/><Relationship Id="rId25" Type="http://schemas.openxmlformats.org/officeDocument/2006/relationships/image" Target="media/image30.png"/><Relationship Id="rId28" Type="http://schemas.openxmlformats.org/officeDocument/2006/relationships/image" Target="media/image22.png"/><Relationship Id="rId27" Type="http://schemas.openxmlformats.org/officeDocument/2006/relationships/image" Target="media/image27.png"/><Relationship Id="rId29" Type="http://schemas.openxmlformats.org/officeDocument/2006/relationships/image" Target="media/image14.png"/><Relationship Id="rId95" Type="http://schemas.openxmlformats.org/officeDocument/2006/relationships/hyperlink" Target="https://www.mdpi.com/2072-4292/11/13/1533" TargetMode="External"/><Relationship Id="rId94" Type="http://schemas.openxmlformats.org/officeDocument/2006/relationships/hyperlink" Target="https://www.soilsa.com/pdf-189544-114873?filename=114873.pdf" TargetMode="External"/><Relationship Id="rId97" Type="http://schemas.openxmlformats.org/officeDocument/2006/relationships/hyperlink" Target="https://www.researchgate.net/figure/Absorption-spectrum-for-the-range-of-apure-water-and-btypical-profile-for-specific_fig1_260152370" TargetMode="External"/><Relationship Id="rId96" Type="http://schemas.openxmlformats.org/officeDocument/2006/relationships/hyperlink" Target="https://www.researchgate.net/publication/265339795_Hourly_daily_and_seasonal_variability_in_the_absorption_spectra_of_chromophoric_dissolved_organic_matter_in_a_eutrophic_humic_lake" TargetMode="External"/><Relationship Id="rId11" Type="http://schemas.openxmlformats.org/officeDocument/2006/relationships/image" Target="media/image29.png"/><Relationship Id="rId99" Type="http://schemas.openxmlformats.org/officeDocument/2006/relationships/hyperlink" Target="https://www.researchgate.net/publication/229442363_The_spectral_distribution_and_attenuation_of_underwater_irradiance_in_Tasmanian_inland_waters" TargetMode="External"/><Relationship Id="rId10" Type="http://schemas.openxmlformats.org/officeDocument/2006/relationships/image" Target="media/image36.png"/><Relationship Id="rId98" Type="http://schemas.openxmlformats.org/officeDocument/2006/relationships/hyperlink" Target="https://www.researchgate.net/figure/Total-absorption-spectra-for-three-lakes-with-different-levels-of-DOC-TP-and-Secchi_fig1_262917953" TargetMode="External"/><Relationship Id="rId13" Type="http://schemas.openxmlformats.org/officeDocument/2006/relationships/image" Target="media/image31.png"/><Relationship Id="rId12" Type="http://schemas.openxmlformats.org/officeDocument/2006/relationships/image" Target="media/image33.png"/><Relationship Id="rId91" Type="http://schemas.openxmlformats.org/officeDocument/2006/relationships/hyperlink" Target="https://water.rs.umn.edu/spectra" TargetMode="External"/><Relationship Id="rId90" Type="http://schemas.openxmlformats.org/officeDocument/2006/relationships/hyperlink" Target="https://acuteangler.com/understanding-bass-bites/" TargetMode="External"/><Relationship Id="rId93" Type="http://schemas.openxmlformats.org/officeDocument/2006/relationships/hyperlink" Target="https://digitalcommons.usf.edu/cgi/viewcontent.cgi?article=1083&amp;context=msc_facpub" TargetMode="External"/><Relationship Id="rId92" Type="http://schemas.openxmlformats.org/officeDocument/2006/relationships/hyperlink" Target="https://pmc.ncbi.nlm.nih.gov/articles/PMC6223133/" TargetMode="External"/><Relationship Id="rId118" Type="http://schemas.openxmlformats.org/officeDocument/2006/relationships/hyperlink" Target="https://misclab.umeoce.maine.edu/boss/classes/RT_Weizmann/Chapter3.pdf" TargetMode="External"/><Relationship Id="rId117" Type="http://schemas.openxmlformats.org/officeDocument/2006/relationships/hyperlink" Target="https://journals.biologists.com/jeb/article/223/21/jeb232090/226160/More-than-noise-context-dependent-luminance" TargetMode="External"/><Relationship Id="rId116" Type="http://schemas.openxmlformats.org/officeDocument/2006/relationships/hyperlink" Target="https://www.researchgate.net/publication/312349025_Assessing_Sexual_Dicromatism_The_Importance_of_Proper_Parameterization_in_Tetrachromatic_Visual_Models" TargetMode="External"/><Relationship Id="rId115" Type="http://schemas.openxmlformats.org/officeDocument/2006/relationships/hyperlink" Target="https://pmc.ncbi.nlm.nih.gov/articles/PMC6765173/" TargetMode="External"/><Relationship Id="rId15" Type="http://schemas.openxmlformats.org/officeDocument/2006/relationships/image" Target="media/image35.png"/><Relationship Id="rId110" Type="http://schemas.openxmlformats.org/officeDocument/2006/relationships/hyperlink" Target="https://academic.oup.com/cz/article/65/1/43/4924236#:~:text=Bass%20possess%20single%20cone%20cells,nor%20between%20green%20and%20blue." TargetMode="External"/><Relationship Id="rId14" Type="http://schemas.openxmlformats.org/officeDocument/2006/relationships/image" Target="media/image28.png"/><Relationship Id="rId17" Type="http://schemas.openxmlformats.org/officeDocument/2006/relationships/image" Target="media/image38.png"/><Relationship Id="rId16" Type="http://schemas.openxmlformats.org/officeDocument/2006/relationships/image" Target="media/image7.png"/><Relationship Id="rId19" Type="http://schemas.openxmlformats.org/officeDocument/2006/relationships/image" Target="media/image37.png"/><Relationship Id="rId114" Type="http://schemas.openxmlformats.org/officeDocument/2006/relationships/hyperlink" Target="https://www.telescope-optics.net/eye_intensity_response.htm" TargetMode="External"/><Relationship Id="rId18" Type="http://schemas.openxmlformats.org/officeDocument/2006/relationships/image" Target="media/image41.png"/><Relationship Id="rId113" Type="http://schemas.openxmlformats.org/officeDocument/2006/relationships/hyperlink" Target="https://www.ugr.es/~colorimg/pdfs/color_2004_178.pdf" TargetMode="External"/><Relationship Id="rId112" Type="http://schemas.openxmlformats.org/officeDocument/2006/relationships/hyperlink" Target="https://www.khanacademy.org/test-prep/mcat/processing-the-environment/sensory-perception/v/webers-law-and-thresholds" TargetMode="External"/><Relationship Id="rId111" Type="http://schemas.openxmlformats.org/officeDocument/2006/relationships/hyperlink" Target="https://www.in-fisherman.com/editorial/another-look-at-bass-vision/370397" TargetMode="External"/><Relationship Id="rId84" Type="http://schemas.openxmlformats.org/officeDocument/2006/relationships/hyperlink" Target="https://meisterlab.caltech.edu/documents/18421/Lee_2020_The_sifting_of_visual_information_in_the_superior_colliculus.pdf" TargetMode="External"/><Relationship Id="rId83" Type="http://schemas.openxmlformats.org/officeDocument/2006/relationships/hyperlink" Target="https://elifesciences.org/articles/50678" TargetMode="External"/><Relationship Id="rId86" Type="http://schemas.openxmlformats.org/officeDocument/2006/relationships/hyperlink" Target="https://pubmed.ncbi.nlm.nih.gov/9318998/" TargetMode="External"/><Relationship Id="rId85" Type="http://schemas.openxmlformats.org/officeDocument/2006/relationships/hyperlink" Target="https://pmc.ncbi.nlm.nih.gov/articles/PMC9065977/" TargetMode="External"/><Relationship Id="rId88" Type="http://schemas.openxmlformats.org/officeDocument/2006/relationships/hyperlink" Target="https://bassblaster.rocks/science-food-fear" TargetMode="External"/><Relationship Id="rId87" Type="http://schemas.openxmlformats.org/officeDocument/2006/relationships/hyperlink" Target="https://journals.biologists.com/jeb/article/210/1/107/20279/Feeding-fins-and-braking-maneuvers-locomotion" TargetMode="External"/><Relationship Id="rId89" Type="http://schemas.openxmlformats.org/officeDocument/2006/relationships/hyperlink" Target="https://www.researchgate.net/publication/403157059_Subordinate_largemouth_bass_increase_aggression_towards_high-intake_dominants_showing_reduced_locomotion" TargetMode="External"/><Relationship Id="rId80" Type="http://schemas.openxmlformats.org/officeDocument/2006/relationships/hyperlink" Target="https://pmc.ncbi.nlm.nih.gov/articles/PMC3129730/" TargetMode="External"/><Relationship Id="rId82" Type="http://schemas.openxmlformats.org/officeDocument/2006/relationships/hyperlink" Target="https://pmc.ncbi.nlm.nih.gov/articles/PMC2587996/" TargetMode="External"/><Relationship Id="rId81" Type="http://schemas.openxmlformats.org/officeDocument/2006/relationships/hyperlink" Target="https://pmc.ncbi.nlm.nih.gov/articles/PMC629280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23.png"/><Relationship Id="rId7" Type="http://schemas.openxmlformats.org/officeDocument/2006/relationships/image" Target="media/image20.png"/><Relationship Id="rId8" Type="http://schemas.openxmlformats.org/officeDocument/2006/relationships/image" Target="media/image21.png"/><Relationship Id="rId73" Type="http://schemas.openxmlformats.org/officeDocument/2006/relationships/hyperlink" Target="https://podcasts.apple.com/za/podcast/science-of-the-strike/id1796190212" TargetMode="External"/><Relationship Id="rId72" Type="http://schemas.openxmlformats.org/officeDocument/2006/relationships/hyperlink" Target="https://bassforecast.com/bass-reaction-strikes" TargetMode="External"/><Relationship Id="rId75" Type="http://schemas.openxmlformats.org/officeDocument/2006/relationships/hyperlink" Target="https://www.youtube.com/watch?v=xHAiYzDXDGk" TargetMode="External"/><Relationship Id="rId74" Type="http://schemas.openxmlformats.org/officeDocument/2006/relationships/hyperlink" Target="https://www.in-fisherman.com/editorial/bass-strike-savvy/395799" TargetMode="External"/><Relationship Id="rId77" Type="http://schemas.openxmlformats.org/officeDocument/2006/relationships/hyperlink" Target="https://pmc.ncbi.nlm.nih.gov/articles/PMC10468139/" TargetMode="External"/><Relationship Id="rId76" Type="http://schemas.openxmlformats.org/officeDocument/2006/relationships/hyperlink" Target="https://pmc.ncbi.nlm.nih.gov/articles/PMC3820016/" TargetMode="External"/><Relationship Id="rId79" Type="http://schemas.openxmlformats.org/officeDocument/2006/relationships/hyperlink" Target="https://pmc.ncbi.nlm.nih.gov/articles/PMC7237212/" TargetMode="External"/><Relationship Id="rId78" Type="http://schemas.openxmlformats.org/officeDocument/2006/relationships/hyperlink" Target="https://pmc.ncbi.nlm.nih.gov/articles/PMC8388456/" TargetMode="External"/><Relationship Id="rId71" Type="http://schemas.openxmlformats.org/officeDocument/2006/relationships/hyperlink" Target="https://www.fecpl.ca/wp-content/uploads/2015/07/PhilippEtAl_BassBook_2015.pdf" TargetMode="External"/><Relationship Id="rId70" Type="http://schemas.openxmlformats.org/officeDocument/2006/relationships/hyperlink" Target="https://pmc.ncbi.nlm.nih.gov/articles/PMC3352488/" TargetMode="External"/><Relationship Id="rId62" Type="http://schemas.openxmlformats.org/officeDocument/2006/relationships/hyperlink" Target="https://www.cabidigitallibrary.org/doi/10.1079/9781800629158.0009" TargetMode="External"/><Relationship Id="rId61" Type="http://schemas.openxmlformats.org/officeDocument/2006/relationships/hyperlink" Target="https://agris.fao.org/search/en/providers/122535/records/65df5788b766d82b18014a22" TargetMode="External"/><Relationship Id="rId64" Type="http://schemas.openxmlformats.org/officeDocument/2006/relationships/hyperlink" Target="https://www.researchgate.net/publication/230059191_Artificial_dietary_regime_may_impair_subsequent_foraging_behaviour_of_hatchery-reared_turbot_released_into_natural_environment" TargetMode="External"/><Relationship Id="rId63" Type="http://schemas.openxmlformats.org/officeDocument/2006/relationships/hyperlink" Target="https://seafwa.org/sites/default/files/journal-articles/04Rachelsetal16-19.pdf" TargetMode="External"/><Relationship Id="rId66" Type="http://schemas.openxmlformats.org/officeDocument/2006/relationships/hyperlink" Target="http://www.fecpl.ca/wp-content/uploads/2013/06/JEZ-OConnor-et-al-2013.pdf" TargetMode="External"/><Relationship Id="rId65" Type="http://schemas.openxmlformats.org/officeDocument/2006/relationships/hyperlink" Target="https://www.youtube.com/watch?v=Rfom8tiegps" TargetMode="External"/><Relationship Id="rId68" Type="http://schemas.openxmlformats.org/officeDocument/2006/relationships/hyperlink" Target="https://pubmed.ncbi.nlm.nih.gov/28724703/" TargetMode="External"/><Relationship Id="rId67" Type="http://schemas.openxmlformats.org/officeDocument/2006/relationships/hyperlink" Target="https://www.frontiersin.org/journals/behavioral-neuroscience/articles/10.3389/fnbeh.2023.1028190/full" TargetMode="External"/><Relationship Id="rId60" Type="http://schemas.openxmlformats.org/officeDocument/2006/relationships/hyperlink" Target="https://www.uaex.uada.edu/publications/PDF/FSA-9612.pdf" TargetMode="External"/><Relationship Id="rId69" Type="http://schemas.openxmlformats.org/officeDocument/2006/relationships/hyperlink" Target="https://www.youtube.com/watch?v=7GJsp0oO1_4" TargetMode="External"/><Relationship Id="rId51" Type="http://schemas.openxmlformats.org/officeDocument/2006/relationships/hyperlink" Target="https://seafwa.org/sites/default/files/journal-articles/GOLDSTEIN-596-604.pdf" TargetMode="External"/><Relationship Id="rId50" Type="http://schemas.openxmlformats.org/officeDocument/2006/relationships/hyperlink" Target="https://underc.nd.edu/assets/179417/fullsize/rick_et_al_2011.pdf" TargetMode="External"/><Relationship Id="rId53" Type="http://schemas.openxmlformats.org/officeDocument/2006/relationships/hyperlink" Target="https://www.researchgate.net/publication/238010116_The_effect_of_prey_morphology_and_size_on_handling_time_in_a_piscivore_the_largemouth_bass_Micropterus_salmoides#:~:text=The%20ratio%20of%20prey%20length,crayfish%2C%20and%200.29%20for%20bluegill." TargetMode="External"/><Relationship Id="rId52" Type="http://schemas.openxmlformats.org/officeDocument/2006/relationships/hyperlink" Target="https://www.researchgate.net/figure/m-Relationship-of-gape-width-GW-to-total-length-TL-for-largemouth-bass-GW-014-TL_fig1_252741866" TargetMode="External"/><Relationship Id="rId55" Type="http://schemas.openxmlformats.org/officeDocument/2006/relationships/hyperlink" Target="https://www.researchgate.net/publication/346779464_Energy_budgets_for_tadpoles_approaching_metamorphosis" TargetMode="External"/><Relationship Id="rId54" Type="http://schemas.openxmlformats.org/officeDocument/2006/relationships/hyperlink" Target="https://www.researchgate.net/publication/238010116_The_effect_of_prey_morphology_and_size_on_handling_time_in_a_piscivore_the_largemouth_bass_Micropterus_salmoides" TargetMode="External"/><Relationship Id="rId57" Type="http://schemas.openxmlformats.org/officeDocument/2006/relationships/hyperlink" Target="https://www.in-fisherman.com/editorial/prey-size-for-largemouth-bass/155053" TargetMode="External"/><Relationship Id="rId56" Type="http://schemas.openxmlformats.org/officeDocument/2006/relationships/hyperlink" Target="https://pmc.ncbi.nlm.nih.gov/articles/PMC8879666/" TargetMode="External"/><Relationship Id="rId59" Type="http://schemas.openxmlformats.org/officeDocument/2006/relationships/hyperlink" Target="https://extension.rwfm.tamu.edu/wp-content/uploads/sites/8/2013/09/Hatchery-Techniques-Feed-Training-Juvenile-Largemouth-Bass-Micropterus-salmoides-floridanus.pdf" TargetMode="External"/><Relationship Id="rId58" Type="http://schemas.openxmlformats.org/officeDocument/2006/relationships/hyperlink" Target="https://theminimalistfisherman.com/prey-size-for-largemouth-bas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