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997A" w14:textId="77777777" w:rsidR="006F18F8"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台灣大嘴黑鱸釣魚環境生態白皮書 卷0B：南北成土母質與地球化學基底差異深度解析</w:t>
      </w:r>
    </w:p>
    <w:p w14:paraId="2BAC8688" w14:textId="77777777" w:rsidR="006F18F8"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第一章：台灣南北成土母質之宏觀地質化學演化與生態基底奠基</w:t>
      </w:r>
    </w:p>
    <w:p w14:paraId="14B1E580"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台灣島嶼位處歐亞板塊與菲律賓海板塊之交界，活躍的造山運動與板塊擠壓，配合亞熱帶至熱帶季風氣候的高溫多雨條件，雕塑出極度複雜且異質性極高的地表土壤分布。在此一宏觀地理架構下，內陸淡水水域（包含水庫、天然湖泊、埤塘及河川中下游）的底質沉積物與周邊集水區的成土母質（Soil Parent Materials），深刻地主導了水體的物理化學參數基底。對於身為頂級視覺掠食者的大嘴黑鱸（</w:t>
      </w:r>
      <w:r>
        <w:rPr>
          <w:rFonts w:ascii="Google Sans" w:eastAsia="Google Sans" w:hAnsi="Google Sans" w:cs="Google Sans"/>
          <w:i/>
          <w:iCs/>
          <w:color w:val="1F1F1F"/>
        </w:rPr>
        <w:t>Micropterus salmoides</w:t>
      </w:r>
      <w:r>
        <w:rPr>
          <w:rFonts w:ascii="Google Sans" w:eastAsia="Google Sans" w:hAnsi="Google Sans" w:cs="Google Sans"/>
          <w:color w:val="1F1F1F"/>
        </w:rPr>
        <w:t>）而言，其棲地適宜性、繁殖行為學、覓食效率以及稚魚存活率，皆被這層無形的地球化學網絡所嚴密控制。</w:t>
      </w:r>
    </w:p>
    <w:p w14:paraId="07BE2E07"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就空間分布的巨觀尺度而言，台灣本島的土壤發育軌跡展現出顯著的南北二元對立特徵。北部與中北部的丘陵、台地區域（如林口台地、桃園台地及新竹至苗栗一帶的淺山地形），主要覆蓋著歷經數十萬年甚至百萬年更新世氣候洗禮的紅壤與極育土（Ultisols）。極育土的形成受控於極端強烈的風化作用（Weathering）與淋溶作用（Leaching）。在每年高達 2500 至 3000 公厘的豐沛降水沖刷下，土壤剖面中的鹼性陽離子（如鈣 Ca²⁺、鎂 Mg²⁺、鉀 K⁺、鈉 Na⁺）及可溶性二氧化矽被大量帶走，此過程被稱為去矽作用（Desilication）。隨著鹽基離子的流失，土壤膠體表面逐漸被氫離子（H⁺）與鋁離子（Al³⁺）佔據，導致體系呈現顯著的酸性反應。同時，難溶的鐵、鋁游離氧化物（Sesquioxides）在土壤剖面中大量殘留與富集，賦予了極育土典型的紅棕色澤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。此種高鐵鋁、低鹽基飽和度的基底，使得衍生自極育土集水區的水域（如石門水庫、寶山水庫、大埔水庫等），其水體 pH 值普遍且長期地落於 4.5 至 5.5 的微酸性至酸性區間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5F883CF"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相對而言，台灣南部及西南部平原地帶（涵蓋嘉南平原、高屏溪流域及周邊附屬埤塘水系），其集水區母質多源自中央山脈板岩、頁岩、泥岩及部分石灰岩的近代沖積物。這些土壤發育年代較短，風化程度較弱，地質學上被歸類為新成土（Entisols）與弱育土（Inceptisols）。由於母質中保留了大量原生矽酸鹽礦物及碳酸鈣（CaCO₃）成分，這些土壤的鹽基飽和度高，具備強大的酸鹼緩衝容量。因此，南部水域的底床沉積物及上覆水體，其 pH 值常態性地維持在 6.5 至 7.5 以上的中性至微鹼性區間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。然而，不容忽視的是，近四十年來集約化農業的擴張、高濃度氮磷化肥的過度施用以及大氣酸沉降的影響，已促使台灣部分原本呈中性的農村周邊水域（pH 6.5–7.5）面臨酸化壓力，緩慢向酸性區間偏移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。儘管存在此一酸化趨勢，南北部地質化學基底在礦物學與膠體介面化學上的根本差異，依然決定了水體懸浮微粒的絮凝沉降動力學、底泥的氧化還原演化路徑，以及熱傳導的物理學特徵。</w:t>
      </w:r>
    </w:p>
    <w:p w14:paraId="49E557B1"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大嘴黑鱸的生態學需求與這些地球化學參數存在高度的耦合關係。作為一種高度依賴視覺感官來鎖定、追蹤與突襲獵物的魚類，水體的透光度（Secchi depth）與濁度（Turbidity）直接決定了其索餌半徑與能量獲取效率。此外，在每年春季的繁殖期，雄性黑鱸會於水深 0.5 公尺至 1.5 公</w:t>
      </w:r>
      <w:r>
        <w:rPr>
          <w:rFonts w:ascii="Google Sans" w:eastAsia="Google Sans" w:hAnsi="Google Sans" w:cs="Google Sans"/>
          <w:color w:val="1F1F1F"/>
        </w:rPr>
        <w:lastRenderedPageBreak/>
        <w:t>尺的淺水區構築碟型產卵巢穴。巢穴底層沉積物的微環境（Microenvironment）—包括滲透壓、孔隙水離子強度、溶解氧消耗率以及硫化氫毒性風險—將直接裁決受精卵的孵化率與仔魚的早期存活率。因此，要精確建構台灣大嘴黑鱸的棲地適宜性預測模型，必須深入剖析極育土與新成土在物理化學參數上的微觀力學機制。</w:t>
      </w:r>
    </w:p>
    <w:p w14:paraId="7E6203AE" w14:textId="77777777" w:rsidR="006F18F8"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第二章：懸浮膠體動力學與水體光學濁度之物理化學控制</w:t>
      </w:r>
    </w:p>
    <w:p w14:paraId="11341703"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水體的光學濁度是大嘴黑鱸生態系統中最具影響力的物理參數之一。高濁度不僅會削弱水下光合作用，減少植被覆蓋率，更會將大嘴黑鱸的掠食模式由高效率的「視覺鎖定-突擊」轉變為低效率的「側線感知-盲索」，大幅降低其生長速率與群體生物量。水體濁度的存續時間，取決於底泥懸浮微粒（Suspended Solids）的膠體穩定性，而這又受到黏土礦物表面電荷、水體 pH 值、離子強度及高分子聚合物架橋作用的嚴格控制。</w:t>
      </w:r>
    </w:p>
    <w:p w14:paraId="166377AE"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黏土礦物表面電荷結構與 Zeta 電位之 pH 依存性</w:t>
      </w:r>
    </w:p>
    <w:p w14:paraId="00F2FA6C"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在膠體化學中，懸浮微粒表面的電荷分布決定了顆粒間的靜電交互作用力。為了量化這種作用力，科學界引入了 Zeta 電位（Zeta Potential）的概念，即顆粒滑動面（Slipping plane）與流體主體之間的電位差。Zeta 電位的絕對值越高，代表顆粒間的靜電排斥力越強，膠體體系越穩定，微粒越難以凝聚沉降；反之，若 Zeta 電位趨近於零，靜電排斥力消失，凡得瓦引力（Van der Waals forces）將主導微粒相互吸引，誘發絮凝作用 </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047DBB28"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在台灣北部的極育土水域，懸浮微粒的主體礦物為高嶺石（Kaolinite, Al₂Si₂O₅(OH)₄）。高嶺石屬於 1:1 型層狀矽酸鹽礦物，其晶體結構的特殊性在於具備「雙重且不對稱」的電荷分布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。微觀層面上，高嶺石的底面（Basal surfaces）由矽氧四面體（Silica tetrahedral）與鋁氧八面體（Alumina octahedral）組成。矽氧表面在環境 pH 大於 4 時即因矽醇基（Si-OH）的解離而帶負電；然而，鋁氧邊緣（Edges）的電荷特性則高度依賴於水體 pH 值，其在 pH 小於 6 的環境中，因質子化作用（Protonation, Al-OH + H⁺ → Al-OH₂⁺）而帶正電，只有當 pH 大於 8 時才會去質子化轉為帶負電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6681B0AB"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針對高嶺石的電泳測量結果顯示，其等電點（Isoelectric point, IEP）極低，通常小於 pH 3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。然而，透過滴定法測定的極育土零電荷點（Point of Zero Charge, ZPC）則普遍分布於 pH 4.5 至 5.5 的區間，此現象主要受控於土壤中富含的無定形鋁氧化物；若 pH 更低（&lt; 4.5），則由結晶態鐵氧化物主導表面電荷體系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。當北部水域的 pH 值處於 4.5 至 5.5 之間時，高嶺石表面的矽氧面帶負電，而鋁氧邊緣帶正電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。這種晶體內部的電荷異質性，促使相鄰的高嶺石顆粒發生強烈的「邊對面」（Edge-to-face）靜電吸引作用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。實驗指出，在此微酸性區間，儘管總體 Zeta 電位呈現負值（約在 -15 mV 至 -40 mV 之間波動），但由於邊對面吸引力的存在，體系處於熱力學不穩定狀態，極易自發形成結構鬆散、類似「卡片屋」（Card-house structure）的絮凝體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18636BDE"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相反地，在南部新成土與弱育土主導的水域中，水體 pH 值往往大於 7.0。在這種中性至鹼性的環境下，不僅高嶺石的邊緣與表面皆帶有強烈的負電荷，當地富含的伊利石（Illite）與蒙脫石（Smectite）等多水矽酸鹽礦物，更因晶格內的同晶替代作用（Isomorphous substitution）而具</w:t>
      </w:r>
      <w:r>
        <w:rPr>
          <w:rFonts w:ascii="Google Sans" w:eastAsia="Google Sans" w:hAnsi="Google Sans" w:cs="Google Sans"/>
          <w:color w:val="1F1F1F"/>
        </w:rPr>
        <w:lastRenderedPageBreak/>
        <w:t xml:space="preserve">有高密度的永久負電荷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。數據顯示，在 pH 10 時，高嶺石與伊利石的 Zeta 電位均會深潛至 -42 mV 甚至 -52 mV 的高絕對值區間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；即使在 pH 7 至 8 之間，其 Zeta 電位也多維持在 -35 mV 以下 </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。這種強大的同性電荷分布，在膠體顆粒周圍建立起厚實的擴散雙電層（Diffuse Double Layer, DDL），產生了難以克服的靜電排斥能障（Energy barrier）。這完美解釋了為何南部部分的灌溉埤塘與滯洪池在經歷颱風或梅雨季的暴雨沖刷後，水體會呈現高濃度的泥黃色，且即使靜置數週至數月，濁度依然居高不下。若缺乏人為介入（如投放聚合氯化鋁 PAC）或自然界高價陽離子的中和，膠體顆粒將永遠保持懸浮狀態 </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p w14:paraId="392DF2C6"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絮凝機制與高分子架橋效應 (Polymer Bridging)</w:t>
      </w:r>
    </w:p>
    <w:p w14:paraId="32C76894"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除了純粹的靜電吸引與排斥，自然水域中的濁度消散還高度依賴於水生生物代謝產物所引發的絮凝機制。在微觀世界中，藍綠菌、矽藻、底棲微藻以及異營細菌等微生物群落，會持續向水體中分泌大量的胞外聚合物（Extracellular Polymeric Substances, EPS）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。這些 EPS 主要由高分子量的多醣體、蛋白質、核酸及脂質構成，分子鏈極長且富含多種官能基（如羧基、羥基、氨基）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2703B6A8"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在高 Zeta 電位（強負電）的鹼性南部水域中，即使存在 EPS，由於 EPS 分子本身在鹼性環境中也多帶負電，與黏土顆粒之間會產生靜電排斥，使得高分子鏈呈現伸展構象（Extended conformation），難以有效吸附於礦物表面，導致絮凝效率低落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54830A0C"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然而，在北部 pH 4.5-5.5 的極育土微酸性環境中，質子濃度上升抑制了 EPS 官能基的解離，降低了排斥力；同時，高嶺石邊緣的正電荷提供了絕佳的吸附位點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。長鏈的 EPS 分子能夠同時吸附在多個黏土顆粒上，形成所謂的「高分子架橋效應」（Polymer bridging） </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。此外，極育土中微量溶出的鋁離子（Al³⁺）及鐵離子（Fe³⁺）作為多價陽離子，能發揮強效的「電性中和」（Charge neutralization）與「陽離子架橋」（Cation bridging）功能，進一步壓縮雙電層厚度 </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。在此多重機制協同作用下，微米級的初級黏土顆粒會迅速聚集成直徑可達 1 至 2 毫米（mm）的宏觀絮體（Macroflocs）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42253EFB"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斯托克斯定律 (Stokes' Law) 與沉降終端速度演算</w:t>
      </w:r>
    </w:p>
    <w:p w14:paraId="29EE0E1C"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懸浮固體凝聚為絮體後的物理沉降過程，嚴格遵循流體力學中的斯托克斯定律（Stokes' Law）。該定律描述了在層流（Laminar flow）狀態下，球狀顆粒在黏性流體中受重力、浮力與流體阻力平衡時的終端沉降速度。其數學方程式表述如下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2CA0035E" w14:textId="77777777" w:rsidR="006F18F8"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7BBF30F" wp14:editId="006880A9">
            <wp:extent cx="5905500" cy="448956"/>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905500" cy="448956"/>
                    </a:xfrm>
                    <a:prstGeom prst="rect">
                      <a:avLst/>
                    </a:prstGeom>
                    <a:ln/>
                  </pic:spPr>
                </pic:pic>
              </a:graphicData>
            </a:graphic>
          </wp:inline>
        </w:drawing>
      </w:r>
    </w:p>
    <w:p w14:paraId="11ADF3A9"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方程式中，各參數的定義與量綱為：</w:t>
      </w:r>
    </w:p>
    <w:p w14:paraId="59694AF2" w14:textId="77777777" w:rsidR="006F18F8"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441C90C3" wp14:editId="16EA599E">
            <wp:extent cx="95994" cy="23038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95994" cy="230385"/>
                    </a:xfrm>
                    <a:prstGeom prst="rect">
                      <a:avLst/>
                    </a:prstGeom>
                    <a:ln/>
                  </pic:spPr>
                </pic:pic>
              </a:graphicData>
            </a:graphic>
          </wp:inline>
        </w:drawing>
      </w:r>
      <w:r>
        <w:rPr>
          <w:rFonts w:ascii="Google Sans" w:eastAsia="Google Sans" w:hAnsi="Google Sans" w:cs="Google Sans"/>
          <w:color w:val="1F1F1F"/>
        </w:rPr>
        <w:t xml:space="preserve"> = 顆粒終端沉降速度（Velocity of settlement, m/s）</w:t>
      </w:r>
    </w:p>
    <w:p w14:paraId="376D1ABA" w14:textId="77777777" w:rsidR="006F18F8"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377CBCEB" wp14:editId="476857E4">
            <wp:extent cx="94655" cy="227171"/>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94655" cy="227171"/>
                    </a:xfrm>
                    <a:prstGeom prst="rect">
                      <a:avLst/>
                    </a:prstGeom>
                    <a:ln/>
                  </pic:spPr>
                </pic:pic>
              </a:graphicData>
            </a:graphic>
          </wp:inline>
        </w:drawing>
      </w:r>
      <w:r>
        <w:rPr>
          <w:rFonts w:ascii="Google Sans" w:eastAsia="Google Sans" w:hAnsi="Google Sans" w:cs="Google Sans"/>
          <w:color w:val="1F1F1F"/>
        </w:rPr>
        <w:t xml:space="preserve"> = 重力加速度常數（9.81 m/s²）</w:t>
      </w:r>
    </w:p>
    <w:p w14:paraId="6FA7323A" w14:textId="77777777" w:rsidR="006F18F8"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lastRenderedPageBreak/>
        <w:drawing>
          <wp:inline distT="19050" distB="19050" distL="19050" distR="19050" wp14:anchorId="09009B7A" wp14:editId="77593C08">
            <wp:extent cx="95994" cy="230385"/>
            <wp:effectExtent l="0" t="0" r="0" b="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95994" cy="230385"/>
                    </a:xfrm>
                    <a:prstGeom prst="rect">
                      <a:avLst/>
                    </a:prstGeom>
                    <a:ln/>
                  </pic:spPr>
                </pic:pic>
              </a:graphicData>
            </a:graphic>
          </wp:inline>
        </w:drawing>
      </w:r>
      <w:r>
        <w:rPr>
          <w:rFonts w:ascii="Google Sans" w:eastAsia="Google Sans" w:hAnsi="Google Sans" w:cs="Google Sans"/>
          <w:color w:val="1F1F1F"/>
        </w:rPr>
        <w:t xml:space="preserve"> = 顆粒直徑（Diameter of the particle, m）</w:t>
      </w:r>
    </w:p>
    <w:p w14:paraId="7C3EC10B" w14:textId="77777777" w:rsidR="006F18F8"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3560FF42" wp14:editId="652D66A8">
            <wp:extent cx="169515" cy="226021"/>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9515" cy="226021"/>
                    </a:xfrm>
                    <a:prstGeom prst="rect">
                      <a:avLst/>
                    </a:prstGeom>
                    <a:ln/>
                  </pic:spPr>
                </pic:pic>
              </a:graphicData>
            </a:graphic>
          </wp:inline>
        </w:drawing>
      </w:r>
      <w:r>
        <w:rPr>
          <w:rFonts w:ascii="Google Sans" w:eastAsia="Google Sans" w:hAnsi="Google Sans" w:cs="Google Sans"/>
          <w:color w:val="1F1F1F"/>
        </w:rPr>
        <w:t xml:space="preserve"> = 顆粒的實體密度（Density of the particle, 單位為 kg/m³；常見矽酸鹽礦物如石英、高嶺石的密度約為 2.65 g/cm³ 或 2650 kg/m³） </w:t>
      </w:r>
      <w:r>
        <w:rPr>
          <w:rFonts w:ascii="Google Sans" w:eastAsia="Google Sans" w:hAnsi="Google Sans" w:cs="Google Sans"/>
          <w:color w:val="444746"/>
          <w:sz w:val="24"/>
          <w:szCs w:val="24"/>
          <w:vertAlign w:val="superscript"/>
        </w:rPr>
        <w:t>13</w:t>
      </w:r>
    </w:p>
    <w:p w14:paraId="0E80CB72" w14:textId="77777777" w:rsidR="006F18F8"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444746"/>
          <w:sz w:val="24"/>
          <w:szCs w:val="24"/>
          <w:vertAlign w:val="superscript"/>
        </w:rPr>
        <w:drawing>
          <wp:inline distT="19050" distB="19050" distL="19050" distR="19050" wp14:anchorId="19C83983" wp14:editId="31532172">
            <wp:extent cx="217884" cy="227358"/>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217884" cy="227358"/>
                    </a:xfrm>
                    <a:prstGeom prst="rect">
                      <a:avLst/>
                    </a:prstGeom>
                    <a:ln/>
                  </pic:spPr>
                </pic:pic>
              </a:graphicData>
            </a:graphic>
          </wp:inline>
        </w:drawing>
      </w:r>
      <w:r>
        <w:rPr>
          <w:rFonts w:ascii="Google Sans" w:eastAsia="Google Sans" w:hAnsi="Google Sans" w:cs="Google Sans"/>
          <w:color w:val="1F1F1F"/>
        </w:rPr>
        <w:t xml:space="preserve"> = 流體的密度（Density of the fluid, 單位為 kg/m³；在 25°C 時，純水的密度約為 0.997 g/cm³ 或 997 kg/m³） </w:t>
      </w:r>
      <w:r>
        <w:rPr>
          <w:rFonts w:ascii="Google Sans" w:eastAsia="Google Sans" w:hAnsi="Google Sans" w:cs="Google Sans"/>
          <w:color w:val="444746"/>
          <w:sz w:val="24"/>
          <w:szCs w:val="24"/>
          <w:vertAlign w:val="superscript"/>
        </w:rPr>
        <w:t>18</w:t>
      </w:r>
    </w:p>
    <w:p w14:paraId="7E097F0B" w14:textId="77777777" w:rsidR="006F18F8"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noProof/>
          <w:color w:val="444746"/>
          <w:sz w:val="24"/>
          <w:szCs w:val="24"/>
          <w:vertAlign w:val="superscript"/>
        </w:rPr>
        <w:drawing>
          <wp:inline distT="19050" distB="19050" distL="19050" distR="19050" wp14:anchorId="5D36D77F" wp14:editId="1BF60F1C">
            <wp:extent cx="111323" cy="222647"/>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11323" cy="222647"/>
                    </a:xfrm>
                    <a:prstGeom prst="rect">
                      <a:avLst/>
                    </a:prstGeom>
                    <a:ln/>
                  </pic:spPr>
                </pic:pic>
              </a:graphicData>
            </a:graphic>
          </wp:inline>
        </w:drawing>
      </w:r>
      <w:r>
        <w:rPr>
          <w:rFonts w:ascii="Google Sans" w:eastAsia="Google Sans" w:hAnsi="Google Sans" w:cs="Google Sans"/>
          <w:color w:val="1F1F1F"/>
        </w:rPr>
        <w:t xml:space="preserve"> = 流體的動態黏滯度（Dynamic viscosity of the fluid, 單位為 Pa·s 或 kg/(m·s)）。</w:t>
      </w:r>
    </w:p>
    <w:p w14:paraId="4D5BD6C3" w14:textId="77777777" w:rsidR="006F18F8"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 xml:space="preserve">水溫對動態黏滯度的影響是計算沉降速率時不可省略的關鍵變數。隨著溫度升高，水分子間的氫鍵網絡變得活躍，內部摩擦力降低，黏滯度隨之下降。數據庫顯示，在標準釣魚季節常溫 25°C 時，水體的動態黏滯度 </w:t>
      </w:r>
      <w:r>
        <w:rPr>
          <w:rFonts w:ascii="Google Sans" w:eastAsia="Google Sans" w:hAnsi="Google Sans" w:cs="Google Sans"/>
          <w:noProof/>
          <w:color w:val="1F1F1F"/>
        </w:rPr>
        <w:drawing>
          <wp:inline distT="19050" distB="19050" distL="19050" distR="19050" wp14:anchorId="49AE7532" wp14:editId="44D2D8B4">
            <wp:extent cx="111323" cy="222647"/>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11323" cy="222647"/>
                    </a:xfrm>
                    <a:prstGeom prst="rect">
                      <a:avLst/>
                    </a:prstGeom>
                    <a:ln/>
                  </pic:spPr>
                </pic:pic>
              </a:graphicData>
            </a:graphic>
          </wp:inline>
        </w:drawing>
      </w:r>
      <w:r>
        <w:rPr>
          <w:rFonts w:ascii="Google Sans" w:eastAsia="Google Sans" w:hAnsi="Google Sans" w:cs="Google Sans"/>
          <w:color w:val="1F1F1F"/>
        </w:rPr>
        <w:t xml:space="preserve"> 約為 0.89 mPa·s（即 </w:t>
      </w:r>
      <w:r>
        <w:rPr>
          <w:rFonts w:ascii="Google Sans" w:eastAsia="Google Sans" w:hAnsi="Google Sans" w:cs="Google Sans"/>
          <w:noProof/>
          <w:color w:val="1F1F1F"/>
        </w:rPr>
        <w:drawing>
          <wp:inline distT="19050" distB="19050" distL="19050" distR="19050" wp14:anchorId="67D04D8D" wp14:editId="3D3C0419">
            <wp:extent cx="912019" cy="218504"/>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912019" cy="218504"/>
                    </a:xfrm>
                    <a:prstGeom prst="rect">
                      <a:avLst/>
                    </a:prstGeom>
                    <a:ln/>
                  </pic:spPr>
                </pic:pic>
              </a:graphicData>
            </a:graphic>
          </wp:inline>
        </w:drawing>
      </w:r>
      <w:r>
        <w:rPr>
          <w:rFonts w:ascii="Google Sans" w:eastAsia="Google Sans" w:hAnsi="Google Sans" w:cs="Google Sans"/>
          <w:color w:val="1F1F1F"/>
        </w:rPr>
        <w:t xml:space="preserve"> Pa·s 或 0.00089 Pa·s）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。若水溫降至 15°C，黏滯度將增加約 28%，導致沉降速度成比例減慢。</w:t>
      </w:r>
    </w:p>
    <w:p w14:paraId="574AC3CA"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為了彰顯絮凝機制對生態系統光學環境的決定性影響，我們可進行一組對照演算。假設南部水域中因高 Zeta 電位排斥而未發生絮凝的單一黏土顆粒，其等效球體直徑為 2 微米（</w:t>
      </w:r>
      <w:r>
        <w:rPr>
          <w:rFonts w:ascii="Google Sans" w:eastAsia="Google Sans" w:hAnsi="Google Sans" w:cs="Google Sans"/>
          <w:noProof/>
          <w:color w:val="1F1F1F"/>
        </w:rPr>
        <w:drawing>
          <wp:inline distT="19050" distB="19050" distL="19050" distR="19050" wp14:anchorId="4275FFCF" wp14:editId="43E3820A">
            <wp:extent cx="1018137" cy="228367"/>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1018137" cy="228367"/>
                    </a:xfrm>
                    <a:prstGeom prst="rect">
                      <a:avLst/>
                    </a:prstGeom>
                    <a:ln/>
                  </pic:spPr>
                </pic:pic>
              </a:graphicData>
            </a:graphic>
          </wp:inline>
        </w:drawing>
      </w:r>
      <w:r>
        <w:rPr>
          <w:rFonts w:ascii="Google Sans" w:eastAsia="Google Sans" w:hAnsi="Google Sans" w:cs="Google Sans"/>
          <w:color w:val="1F1F1F"/>
        </w:rPr>
        <w:t xml:space="preserve"> m）。代入上述 25°C 的參數進行計算：</w:t>
      </w:r>
    </w:p>
    <w:p w14:paraId="6A460B20" w14:textId="77777777" w:rsidR="006F18F8"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A008B4F" wp14:editId="51ED08BA">
            <wp:extent cx="5905500" cy="437444"/>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905500" cy="437444"/>
                    </a:xfrm>
                    <a:prstGeom prst="rect">
                      <a:avLst/>
                    </a:prstGeom>
                    <a:ln/>
                  </pic:spPr>
                </pic:pic>
              </a:graphicData>
            </a:graphic>
          </wp:inline>
        </w:drawing>
      </w:r>
    </w:p>
    <w:p w14:paraId="1C25B64D"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換算可知，該微粒的沉降速度極度緩慢，約為每天 0.35 公尺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。對於深度常達 3 至 10 公尺的南部埤塘與水庫而言，若無劇烈水體擾動將其送至表層溢流，這些微粒需要數週甚至數月才能觸底。此期間，大嘴黑鱸的視覺狩獵能力將被嚴重壓縮，僅能依賴側線感測近距離的水流擾動。</w:t>
      </w:r>
    </w:p>
    <w:p w14:paraId="6DCF5C1F"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反觀北部極育土水域，在 pH 4.5-5.5 環境中經由邊對面吸引與 EPS 架橋所形成的宏觀絮體，其直徑可放大至 1 毫米（</w:t>
      </w:r>
      <w:r>
        <w:rPr>
          <w:rFonts w:ascii="Google Sans" w:eastAsia="Google Sans" w:hAnsi="Google Sans" w:cs="Google Sans"/>
          <w:noProof/>
          <w:color w:val="1F1F1F"/>
        </w:rPr>
        <w:drawing>
          <wp:inline distT="19050" distB="19050" distL="19050" distR="19050" wp14:anchorId="0D7495CD" wp14:editId="4CA37EDD">
            <wp:extent cx="1018137" cy="228367"/>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1018137" cy="228367"/>
                    </a:xfrm>
                    <a:prstGeom prst="rect">
                      <a:avLst/>
                    </a:prstGeom>
                    <a:ln/>
                  </pic:spPr>
                </pic:pic>
              </a:graphicData>
            </a:graphic>
          </wp:inline>
        </w:drawing>
      </w:r>
      <w:r>
        <w:rPr>
          <w:rFonts w:ascii="Google Sans" w:eastAsia="Google Sans" w:hAnsi="Google Sans" w:cs="Google Sans"/>
          <w:color w:val="1F1F1F"/>
        </w:rPr>
        <w:t xml:space="preserve"> m）。必須注意的是，由於絮體內部呈現高度多孔的網絡結構，包埋了高達 95% 以上的水分，導致其整體有效密度（即 </w:t>
      </w:r>
      <w:r>
        <w:rPr>
          <w:rFonts w:ascii="Google Sans" w:eastAsia="Google Sans" w:hAnsi="Google Sans" w:cs="Google Sans"/>
          <w:noProof/>
          <w:color w:val="1F1F1F"/>
        </w:rPr>
        <w:drawing>
          <wp:inline distT="19050" distB="19050" distL="19050" distR="19050" wp14:anchorId="3746B043" wp14:editId="2DE4DB39">
            <wp:extent cx="612725" cy="229772"/>
            <wp:effectExtent l="0" t="0" r="0" b="0"/>
            <wp:docPr id="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612725" cy="229772"/>
                    </a:xfrm>
                    <a:prstGeom prst="rect">
                      <a:avLst/>
                    </a:prstGeom>
                    <a:ln/>
                  </pic:spPr>
                </pic:pic>
              </a:graphicData>
            </a:graphic>
          </wp:inline>
        </w:drawing>
      </w:r>
      <w:r>
        <w:rPr>
          <w:rFonts w:ascii="Google Sans" w:eastAsia="Google Sans" w:hAnsi="Google Sans" w:cs="Google Sans"/>
          <w:color w:val="1F1F1F"/>
        </w:rPr>
        <w:t xml:space="preserve">）大幅下降。觀測文獻指出，此類宏觀絮體的有效密度通常小於 50 kg/m³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。代入斯托克斯定律重新估算：</w:t>
      </w:r>
    </w:p>
    <w:p w14:paraId="470DFB49" w14:textId="77777777" w:rsidR="006F18F8"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FBAEE3A" wp14:editId="0151FCB8">
            <wp:extent cx="5905500" cy="437444"/>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05500" cy="437444"/>
                    </a:xfrm>
                    <a:prstGeom prst="rect">
                      <a:avLst/>
                    </a:prstGeom>
                    <a:ln/>
                  </pic:spPr>
                </pic:pic>
              </a:graphicData>
            </a:graphic>
          </wp:inline>
        </w:drawing>
      </w:r>
    </w:p>
    <w:p w14:paraId="7E6DFA41"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計算結果揭示了一個驚人的非線性加速現象：儘管絮體的有效密度縮水了近三十倍，但由於沉降速度與顆粒直徑的平方（</w:t>
      </w:r>
      <w:r>
        <w:rPr>
          <w:rFonts w:ascii="Google Sans" w:eastAsia="Google Sans" w:hAnsi="Google Sans" w:cs="Google Sans"/>
          <w:noProof/>
          <w:color w:val="1F1F1F"/>
        </w:rPr>
        <w:drawing>
          <wp:inline distT="19050" distB="19050" distL="19050" distR="19050" wp14:anchorId="4158C38F" wp14:editId="05531EF1">
            <wp:extent cx="169664" cy="226219"/>
            <wp:effectExtent l="0" t="0" r="0" b="0"/>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169664" cy="226219"/>
                    </a:xfrm>
                    <a:prstGeom prst="rect">
                      <a:avLst/>
                    </a:prstGeom>
                    <a:ln/>
                  </pic:spPr>
                </pic:pic>
              </a:graphicData>
            </a:graphic>
          </wp:inline>
        </w:drawing>
      </w:r>
      <w:r>
        <w:rPr>
          <w:rFonts w:ascii="Google Sans" w:eastAsia="Google Sans" w:hAnsi="Google Sans" w:cs="Google Sans"/>
          <w:color w:val="1F1F1F"/>
        </w:rPr>
        <w:t xml:space="preserve">）成正比，直徑放大 500 倍帶來的 250,000 倍加速動力，輕易地輾壓了密度下降造成的減速效應。宏觀絮體的終端沉降速度達到了驚人的每秒 3 公分（每天超過 2600 公尺），其實際沉降率比單一黏土顆粒快了一千倍以上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這種物理力學上的突破，賦予了北部極育土水域強大的「自我淨化與濁度恢復」能力。在暴雨帶來的泥流入侵後，北部水庫往往能在數天內恢復極佳的透光度，為大嘴黑鱸重新展開廣域的視覺狩獵提供了最基礎的物理保障。</w:t>
      </w:r>
    </w:p>
    <w:p w14:paraId="5C268E8A" w14:textId="77777777" w:rsidR="006F18F8"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第三章：水文傳導剖面與 0.8m 至 1.5m 蒸發濃縮效應之空</w:t>
      </w:r>
      <w:r>
        <w:rPr>
          <w:rFonts w:ascii="Google Sans" w:eastAsia="Google Sans" w:hAnsi="Google Sans" w:cs="Google Sans"/>
          <w:color w:val="1F1F1F"/>
        </w:rPr>
        <w:lastRenderedPageBreak/>
        <w:t>間異質性</w:t>
      </w:r>
    </w:p>
    <w:p w14:paraId="4E3738F2"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大嘴黑鱸的繁衍盛典深刻綁定於淺水域的底棲微環境。每年初春至孟夏，雄性黑鱸會游移至岸際水深 0.5 公尺至 1.5 公尺的區域，利用強有力的尾鰭掃視底床，清除浮泥與有機碎屑，暴露出堅實的底層沙礫或壓實的黏土層以作為產卵巢穴。在這個特定的深度區間，土壤水分的垂直運移機制、溶質傳輸路徑（Solute transport paths）以及強烈的蒸發濃縮效應（Evaporative concentration），共同形塑了受精卵孵化與稚魚早期發育的化學溫床。</w:t>
      </w:r>
    </w:p>
    <w:p w14:paraId="37907C93"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水文同位素示蹤與優先流傳導 (Preferential Flow) 動力學</w:t>
      </w:r>
    </w:p>
    <w:p w14:paraId="3D07D304"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傳統的土壤水文學往往假設水分在多孔介質中遵循均勻的活塞式推擠（Piston-flow）向下滲透。然而，最新的穩定同位素（如 δ¹⁸O 和 δ²H）示蹤研究與硝酸鹽運移模型，徹底推翻了此一簡化假設，揭示了淺層（0.8m）與深層（1.5m）截然不同的水文傳導機制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70372275"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在 0.8m 的深度剖面，此區域正處於水生植物（如挺水植物與沉水植物根系）作用最活躍、底棲生物擾動最劇烈，以及蒸發散（Evapotranspiration）牽引力最強的動態混合區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來自地表的降水或含有農業回歸水的地表逕流在滲入此區帶時，會與富含有機質的頂層土壤孔隙水發生頻繁且深度的物理化學交換。更關鍵的是，植物的蒸散作用會像抽水馬達般，持續將滲透中的水分反向拉回大氣，大幅削減了水分向下移動的淨通量。同位素數據證實，由於這種動態混合與蒸發損耗，地表施用的水溶性物質（如肥料中的硝酸鹽、硫酸鹽），其化學訊號需要經歷長達 1 至 2 個月的時間遲滯（Time lag），才會穩定地出現在 0.8m 深度的監測點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0E31D2D3"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令人反直覺的是，當觀測深度推進至 1.5m 時，溶質訊號的響應時間非但沒有延長，反而急劇縮短至 1 至 2 週內即可偵測到明顯的濃度峰值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。這種表層延遲而深層快速的「水文脫鉤」現象，源自於「優先流」（Preferential flow）的驅動。在 1.5m 深度的底土結構中，水分傳輸不再受控於緩慢的基質吸力（Matrix suction），而是透過土壤中的大孔隙（Macropores）、廢棄的根系通道、底棲動物挖掘的孔洞，甚至是旱季土壤收縮產生的乾裂縫隙，以高速的重力流形式繞過了 0.8m 的生物活躍與蒸發阻滯區，直接抵達深層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2871A6EB"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旱季蒸發濃縮效應與離子強度演變之毒理學意涵</w:t>
      </w:r>
    </w:p>
    <w:p w14:paraId="2B1D5D0A"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在台灣南部具備顯著旱雨季交替的氣候條件下，大嘴黑鱸的春季產卵期恰逢旱季尾聲。此時水庫與埤塘的水位降至低點，淺水區（0.8m 深度的築巢區）水溫攀升，日照輻射強烈。在這種物理環境下，發生了劇烈的「蒸發濃縮效應」（Evaporative concentration）。</w:t>
      </w:r>
    </w:p>
    <w:p w14:paraId="2087100B"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蒸發作用剝奪了孔隙水中的純水分子（H₂O），將溶解態的礦物離子（如 Ca²⁺, Mg²⁺, SO₄²⁻, PO₄³⁻）留滯於底質界面。若南部封閉埤塘在旱季期間水深從 1.5 公尺降至 0.8 公尺（水量減少約 47%），理論上主要水質參數將面臨約 1.88 倍的濃縮倍率（基於質量守恆之推測），導致局部溶液的濃度呈指數型攀升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。這種溶質濃縮直接推升了底層微環境的離子強度（Ionic strength, </w:t>
      </w:r>
      <w:r>
        <w:rPr>
          <w:rFonts w:ascii="Google Sans" w:eastAsia="Google Sans" w:hAnsi="Google Sans" w:cs="Google Sans"/>
          <w:noProof/>
          <w:color w:val="1F1F1F"/>
        </w:rPr>
        <w:drawing>
          <wp:inline distT="19050" distB="19050" distL="19050" distR="19050" wp14:anchorId="60D6C842" wp14:editId="2ACD7B79">
            <wp:extent cx="1007564" cy="228128"/>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1007564" cy="228128"/>
                    </a:xfrm>
                    <a:prstGeom prst="rect">
                      <a:avLst/>
                    </a:prstGeom>
                    <a:ln/>
                  </pic:spPr>
                </pic:pic>
              </a:graphicData>
            </a:graphic>
          </wp:inline>
        </w:drawing>
      </w:r>
      <w:r>
        <w:rPr>
          <w:rFonts w:ascii="Google Sans" w:eastAsia="Google Sans" w:hAnsi="Google Sans" w:cs="Google Sans"/>
          <w:color w:val="1F1F1F"/>
        </w:rPr>
        <w:t>）。根據膠體化學的雙電層理論，離子強度的增加會引發德拜長度（Debye length）的收縮，極大地壓縮了顆粒表面的擴散雙電層厚度。當排斥能障被壓縮至臨界點以下</w:t>
      </w:r>
      <w:r>
        <w:rPr>
          <w:rFonts w:ascii="Google Sans" w:eastAsia="Google Sans" w:hAnsi="Google Sans" w:cs="Google Sans"/>
          <w:color w:val="1F1F1F"/>
        </w:rPr>
        <w:lastRenderedPageBreak/>
        <w:t xml:space="preserve">時，原本在中性/鹼性環境中穩定排斥的南部黏土顆粒，將會發生「鹽析效應」（Salting-out）而發生強制性凝聚。此外，濃縮的鈣、鎂等二價鹼土金屬陽離子，會與泥相中的有機高分子發生強烈的「陽離子架橋作用」（Cation bridging），使得築巢區的底質發生物理性的硬化與膠結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787F2D71"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對於大嘴黑鱸的繁殖成功率而言，0.8m 深度的蒸發濃縮效應是一把生態學上的雙面刃。在有益的一面，鈣離子（Ca²⁺）濃度的局部上升，是仔魚卵外膜（Chorion）硬化與胚胎骨骼發育的不可或缺元素；同時，底層沉積物的陽離子架橋硬化，為魚卵提供了穩固的附著基質，減少了被水流沖刷或掩埋的風險。然而，在致命的另一面，過度的蒸發濃縮可能導致孔隙水的滲透壓（Osmotic pressure）飆升，突破受精卵的生理調節極限，引發胚胎脫水壞死。更甚者，伴隨農業逕流進入的硫酸鹽（SO₄²⁻）若在 0.8m 深度大量累積，將為後續的厭氧毒理學災變埋下伏筆。反觀北部極育土環境，由於母質歷經百萬年淋溶，鈣、鎂、硫的初始本底濃度極低，即便經歷春季蒸發濃縮，其離子強度的峰值也難以構成滲透壓逆境；但其潛在風險則轉移至鋁離子（Al³⁺）在酸性環境下的濃縮毒性，可能干擾仔魚鰓部上皮細胞的離子交換功能。</w:t>
      </w:r>
    </w:p>
    <w:p w14:paraId="41FF31C6" w14:textId="77777777" w:rsidR="006F18F8"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第四章：氧化還原電位 (Eh) 動力學與底棲微環境毒理學風險</w:t>
      </w:r>
    </w:p>
    <w:p w14:paraId="76255E28"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底泥-水界面的氧化還原電位（Redox Potential, Eh）是裁決水質化學形態演變及大嘴黑鱸稚魚底棲存活率的終極熱力學參數。Eh 動力學本質上是元素間電子轉移過程的宏觀體現，且與水體的 pH 值存在緊密的熱力學耦合關係（可透過能斯特方程式 Nernst Equation 描述其 Eh-pH 依存性）。</w:t>
      </w:r>
    </w:p>
    <w:p w14:paraId="129A0D95"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在大嘴黑鱸築巢的 0.8m 至 1.5m 深度區間，當枯枝落葉、死亡藻類等有機碎屑沉積於巢穴周邊，底棲的異營微生物（Heterotrophic microorganisms）便開始進行旺盛的分解作用。此過程會以極快的速率消耗孔隙水與附面層（Boundary layer）中的溶解氧（DO）。一旦 O₂ 的補給速率低於消耗速率，微環境的 Eh 值將從健康的氧化態（通常 &gt; +400 mV）急劇向負值墜落，開啟一系列依照熱力學能量梯度排列的無氧呼吸序列（Electron tower）。</w:t>
      </w:r>
    </w:p>
    <w:p w14:paraId="3B07DA15"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在北部極育土的水域環境中，由於成土母質歷經長期的去矽與富鐵鋁化作用，土壤中富含大量的游離態與結晶態鐵、鋁氧化物（如赤鐵礦 Hematite、針鐵礦 Goethite）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。當 Eh 值下降至 +100 mV 至 -100 mV 區間時，這些充沛的三價鐵氧化物（Fe³⁺）便成為厭氧細菌首選的最終電子受體（Terminal electron acceptor）。鐵還原反應（Iron reduction）不僅消耗了有機質，更在微觀化學上帶來了兩項關鍵的生態效應。首先，鐵氧化物的還原過程會吸收周遭環境的質子（H⁺），反應式如下：</w:t>
      </w:r>
    </w:p>
    <w:p w14:paraId="37462003" w14:textId="77777777" w:rsidR="006F18F8"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8068F39" wp14:editId="1EB15560">
            <wp:extent cx="5905500" cy="322327"/>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905500" cy="322327"/>
                    </a:xfrm>
                    <a:prstGeom prst="rect">
                      <a:avLst/>
                    </a:prstGeom>
                    <a:ln/>
                  </pic:spPr>
                </pic:pic>
              </a:graphicData>
            </a:graphic>
          </wp:inline>
        </w:drawing>
      </w:r>
    </w:p>
    <w:p w14:paraId="1846D867"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這種質子消耗效應，在微酸性的極育土底質中產生了意想不到的「局部 pH 緩衝」功能，短暫地抑制了厭氧發酵產生的有機酸造成的劇烈酸化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。然而，生態學的代價是巨大的。大量可溶性的二價亞鐵離子（Fe²⁺）被釋放進入孔隙水，當大嘴黑鱸的稚魚貼近底床活動，或當含有 Fe²⁺ 的底水向上湧升與富氧的表層水接觸時，亞鐵離子會迅速被重新氧化，析出無定形的鐵鏽色氫氧化鐵</w:t>
      </w:r>
      <w:r>
        <w:rPr>
          <w:rFonts w:ascii="Google Sans" w:eastAsia="Google Sans" w:hAnsi="Google Sans" w:cs="Google Sans"/>
          <w:color w:val="1F1F1F"/>
        </w:rPr>
        <w:lastRenderedPageBreak/>
        <w:t>絮凝物。這些懸浮的鐵膠體極易附著並堵塞稚魚脆弱的鰓絲（Gill lamellae），引發機械性窒息與上皮組織發炎，成為北部棲地不可忽視的隱形殺手。</w:t>
      </w:r>
    </w:p>
    <w:p w14:paraId="70E89B91"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將視角轉向南部新成土與弱育土主導的水域，其氧化還原演化路徑則呈現出更為致命的風貌。南部成土母質缺乏足夠的鐵氧化物作為 Eh 墜落時的緩衝墊，系統的 Eh 值會毫無阻力地迅速跌破鐵還原區間。具體而言，南部弱育土底泥在季節性淹水後的 Eh 動力學序列具有明確的時程與量化觸發條件：</w:t>
      </w:r>
    </w:p>
    <w:p w14:paraId="26A4F3B4" w14:textId="77777777" w:rsidR="006F18F8"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好氧帶 (+300 ~ +500 mV)</w:t>
      </w:r>
      <w:r>
        <w:rPr>
          <w:rFonts w:ascii="Google Sans" w:eastAsia="Google Sans" w:hAnsi="Google Sans" w:cs="Google Sans"/>
          <w:color w:val="1F1F1F"/>
        </w:rPr>
        <w:t>：維持此區間需近底層溶氧 (DO) 大於 4 mg/L，且有機碳含量低於 2%、水溫低於 25°C。</w:t>
      </w:r>
    </w:p>
    <w:p w14:paraId="2125F4C5" w14:textId="77777777" w:rsidR="006F18F8"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反硝化帶 (+200 ~ +300 mV)</w:t>
      </w:r>
      <w:r>
        <w:rPr>
          <w:rFonts w:ascii="Google Sans" w:eastAsia="Google Sans" w:hAnsi="Google Sans" w:cs="Google Sans"/>
          <w:color w:val="1F1F1F"/>
        </w:rPr>
        <w:t>：當春雨回淹，底泥在耗氧發酵下，通常於淹水後 1 至 3 天內耗盡氧氣進入此帶。</w:t>
      </w:r>
    </w:p>
    <w:p w14:paraId="482BDBC5" w14:textId="77777777" w:rsidR="006F18F8"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錳與鐵還原帶 (+100 ~ -200 mV)</w:t>
      </w:r>
      <w:r>
        <w:rPr>
          <w:rFonts w:ascii="Google Sans" w:eastAsia="Google Sans" w:hAnsi="Google Sans" w:cs="Google Sans"/>
          <w:color w:val="1F1F1F"/>
        </w:rPr>
        <w:t>：約在淹水後第 3 至 7 天，系統進入此區間。鐵還原的觸發閾值為水溫 &gt; 20°C、底泥有機碳 &gt; 2% 且 Eh 降至 0 至 -100 mV。基於亞熱帶沉積物研究推測，鐵還原速率約介於 10 至 50 mmol/m²/day。</w:t>
      </w:r>
    </w:p>
    <w:p w14:paraId="559AE2DE" w14:textId="77777777" w:rsidR="006F18F8"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硫酸鹽還原帶 (&lt; -150 mV)</w:t>
      </w:r>
      <w:r>
        <w:rPr>
          <w:rFonts w:ascii="Google Sans" w:eastAsia="Google Sans" w:hAnsi="Google Sans" w:cs="Google Sans"/>
          <w:color w:val="1F1F1F"/>
        </w:rPr>
        <w:t>：南部底泥往往在淹水後 7 至 14 天內直探此深淵。當有機碳 &gt; 2%、水溫 &gt; 25°C 且 SO₄²⁻ 充足時，硫酸鹽還原菌將把硫酸根還原為劇毒的硫化氫 (H₂S)。根據文獻指出，在缺氧且高有機質環境下，H₂S 釋放速率（即 SO₄²⁻ 消耗速率）可高達 19 至 281 mmol/m²/day。</w:t>
      </w:r>
    </w:p>
    <w:p w14:paraId="31FE315F" w14:textId="77777777" w:rsidR="006F18F8"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更嚴峻的是，微生物主導的還原反應受溫度強烈控制。文獻顯示厭氧有機物分解與還原反應的 Q10 溫度係數約為 2.08。這意味著在台灣南部夏季高溫（30–35°C）環境下，相較於春季的 20°C，Fe³⁺ 還原與 H₂S 生成速率將產生 2 至 2.8 倍的非線性倍增。在南部高有機負載（有機碳 &gt; 5%）的封閉管理池或富營養化埤塘中，若夏季 Eh 全面崩塌，以 200 mmol/m²/day 的高釋放率估算，在水深僅 0.8 公尺的產卵或棲息微環境內，單日 H₂S 累積濃度即可飆升至 8.5 mg/L（基於化學計量之推測），遠超黑鱸護巢雄魚與稚魚的生理致死閾值，引發無可避免的全軍覆沒 (Mass mortality)。</w:t>
      </w:r>
    </w:p>
    <w:p w14:paraId="7FB8D15D" w14:textId="77777777" w:rsidR="006F18F8"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第五章：沉積物體積熱容 (</w:t>
      </w:r>
      <w:r>
        <w:rPr>
          <w:rFonts w:ascii="Google Sans" w:eastAsia="Google Sans" w:hAnsi="Google Sans" w:cs="Google Sans"/>
          <w:noProof/>
          <w:color w:val="1F1F1F"/>
        </w:rPr>
        <w:drawing>
          <wp:inline distT="19050" distB="19050" distL="19050" distR="19050" wp14:anchorId="14250B49" wp14:editId="6C2EA6F7">
            <wp:extent cx="208211" cy="227139"/>
            <wp:effectExtent l="0" t="0" r="0" b="0"/>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208211" cy="227139"/>
                    </a:xfrm>
                    <a:prstGeom prst="rect">
                      <a:avLst/>
                    </a:prstGeom>
                    <a:ln/>
                  </pic:spPr>
                </pic:pic>
              </a:graphicData>
            </a:graphic>
          </wp:inline>
        </w:drawing>
      </w:r>
      <w:r>
        <w:rPr>
          <w:rFonts w:ascii="Google Sans" w:eastAsia="Google Sans" w:hAnsi="Google Sans" w:cs="Google Sans"/>
          <w:color w:val="1F1F1F"/>
        </w:rPr>
        <w:t>) 與熱傳導動力學之微氣候生態學估算</w:t>
      </w:r>
    </w:p>
    <w:p w14:paraId="7044E467"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大嘴黑鱸的繁殖週期受水溫變化的絕對控制，其性腺成熟與築巢產卵行為通常需要水溫穩定跨越 15°C 至 18°C 的閾值。作為佔據水體下半部與巢穴基底的龐大實體，底質沉積物實質上扮演著一個巨大的熱能儲存庫與釋放源。沉積物的體積熱容（Volumetric Heat Capacity, </w:t>
      </w:r>
      <w:r>
        <w:rPr>
          <w:rFonts w:ascii="Google Sans" w:eastAsia="Google Sans" w:hAnsi="Google Sans" w:cs="Google Sans"/>
          <w:noProof/>
          <w:color w:val="1F1F1F"/>
        </w:rPr>
        <w:drawing>
          <wp:inline distT="19050" distB="19050" distL="19050" distR="19050" wp14:anchorId="54C83B74" wp14:editId="209DB65F">
            <wp:extent cx="208211" cy="227139"/>
            <wp:effectExtent l="0" t="0" r="0" b="0"/>
            <wp:docPr id="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208211" cy="227139"/>
                    </a:xfrm>
                    <a:prstGeom prst="rect">
                      <a:avLst/>
                    </a:prstGeom>
                    <a:ln/>
                  </pic:spPr>
                </pic:pic>
              </a:graphicData>
            </a:graphic>
          </wp:inline>
        </w:drawing>
      </w:r>
      <w:r>
        <w:rPr>
          <w:rFonts w:ascii="Google Sans" w:eastAsia="Google Sans" w:hAnsi="Google Sans" w:cs="Google Sans"/>
          <w:color w:val="1F1F1F"/>
        </w:rPr>
        <w:t xml:space="preserve">）與熱擴散係數（Thermal Diffusivity, </w:t>
      </w:r>
      <w:r>
        <w:rPr>
          <w:rFonts w:ascii="Google Sans" w:eastAsia="Google Sans" w:hAnsi="Google Sans" w:cs="Google Sans"/>
          <w:noProof/>
          <w:color w:val="1F1F1F"/>
        </w:rPr>
        <w:drawing>
          <wp:inline distT="19050" distB="19050" distL="19050" distR="19050" wp14:anchorId="5D6A1D32" wp14:editId="4AEEFA54">
            <wp:extent cx="179933" cy="227284"/>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179933" cy="227284"/>
                    </a:xfrm>
                    <a:prstGeom prst="rect">
                      <a:avLst/>
                    </a:prstGeom>
                    <a:ln/>
                  </pic:spPr>
                </pic:pic>
              </a:graphicData>
            </a:graphic>
          </wp:inline>
        </w:drawing>
      </w:r>
      <w:r>
        <w:rPr>
          <w:rFonts w:ascii="Google Sans" w:eastAsia="Google Sans" w:hAnsi="Google Sans" w:cs="Google Sans"/>
          <w:color w:val="1F1F1F"/>
        </w:rPr>
        <w:t>），嚴密地掌控了巢穴微氣候的季節性升溫速率以及日夜溫差（Diurnal temperature range）的劇烈程度。</w:t>
      </w:r>
    </w:p>
    <w:p w14:paraId="1DFB3AEE"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礦物組成與比熱容多相體系分析</w:t>
      </w:r>
    </w:p>
    <w:p w14:paraId="4A108B83"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土壤或沉積物並非單一物質，而是一個由固相（礦物與有機質）、液相（水）與氣相（空氣）組</w:t>
      </w:r>
      <w:r>
        <w:rPr>
          <w:rFonts w:ascii="Google Sans" w:eastAsia="Google Sans" w:hAnsi="Google Sans" w:cs="Google Sans"/>
          <w:color w:val="1F1F1F"/>
        </w:rPr>
        <w:lastRenderedPageBreak/>
        <w:t xml:space="preserve">成的多相體系。其整體的體積熱容，是各組成成分的體積加權總和。在忽略熱對流與潛熱交換的純熱傳導模型中，體積熱容 </w:t>
      </w:r>
      <w:r>
        <w:rPr>
          <w:rFonts w:ascii="Google Sans" w:eastAsia="Google Sans" w:hAnsi="Google Sans" w:cs="Google Sans"/>
          <w:noProof/>
          <w:color w:val="1F1F1F"/>
        </w:rPr>
        <w:drawing>
          <wp:inline distT="19050" distB="19050" distL="19050" distR="19050" wp14:anchorId="4D064953" wp14:editId="0537C2B5">
            <wp:extent cx="208211" cy="227139"/>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208211" cy="227139"/>
                    </a:xfrm>
                    <a:prstGeom prst="rect">
                      <a:avLst/>
                    </a:prstGeom>
                    <a:ln/>
                  </pic:spPr>
                </pic:pic>
              </a:graphicData>
            </a:graphic>
          </wp:inline>
        </w:drawing>
      </w:r>
      <w:r>
        <w:rPr>
          <w:rFonts w:ascii="Google Sans" w:eastAsia="Google Sans" w:hAnsi="Google Sans" w:cs="Google Sans"/>
          <w:color w:val="1F1F1F"/>
        </w:rPr>
        <w:t xml:space="preserve"> 可透過下列公式估算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77C4EC44" w14:textId="77777777" w:rsidR="006F18F8"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7354D28" wp14:editId="62DDC23C">
            <wp:extent cx="5905500" cy="362618"/>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05500" cy="362618"/>
                    </a:xfrm>
                    <a:prstGeom prst="rect">
                      <a:avLst/>
                    </a:prstGeom>
                    <a:ln/>
                  </pic:spPr>
                </pic:pic>
              </a:graphicData>
            </a:graphic>
          </wp:inline>
        </w:drawing>
      </w:r>
    </w:p>
    <w:p w14:paraId="58A8D813"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公式中，</w:t>
      </w:r>
      <w:r>
        <w:rPr>
          <w:rFonts w:ascii="Google Sans" w:eastAsia="Google Sans" w:hAnsi="Google Sans" w:cs="Google Sans"/>
          <w:noProof/>
          <w:color w:val="1F1F1F"/>
        </w:rPr>
        <w:drawing>
          <wp:inline distT="19050" distB="19050" distL="19050" distR="19050" wp14:anchorId="7071554E" wp14:editId="46E2858D">
            <wp:extent cx="140345" cy="224552"/>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140345" cy="224552"/>
                    </a:xfrm>
                    <a:prstGeom prst="rect">
                      <a:avLst/>
                    </a:prstGeom>
                    <a:ln/>
                  </pic:spPr>
                </pic:pic>
              </a:graphicData>
            </a:graphic>
          </wp:inline>
        </w:drawing>
      </w:r>
      <w:r>
        <w:rPr>
          <w:rFonts w:ascii="Google Sans" w:eastAsia="Google Sans" w:hAnsi="Google Sans" w:cs="Google Sans"/>
          <w:color w:val="1F1F1F"/>
        </w:rPr>
        <w:t xml:space="preserve"> 代表各組分的體積百分比（Volume fraction），</w:t>
      </w:r>
      <w:r>
        <w:rPr>
          <w:rFonts w:ascii="Google Sans" w:eastAsia="Google Sans" w:hAnsi="Google Sans" w:cs="Google Sans"/>
          <w:noProof/>
          <w:color w:val="1F1F1F"/>
        </w:rPr>
        <w:drawing>
          <wp:inline distT="19050" distB="19050" distL="19050" distR="19050" wp14:anchorId="7B2A4192" wp14:editId="1F226598">
            <wp:extent cx="149125" cy="223688"/>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149125" cy="223688"/>
                    </a:xfrm>
                    <a:prstGeom prst="rect">
                      <a:avLst/>
                    </a:prstGeom>
                    <a:ln/>
                  </pic:spPr>
                </pic:pic>
              </a:graphicData>
            </a:graphic>
          </wp:inline>
        </w:drawing>
      </w:r>
      <w:r>
        <w:rPr>
          <w:rFonts w:ascii="Google Sans" w:eastAsia="Google Sans" w:hAnsi="Google Sans" w:cs="Google Sans"/>
          <w:color w:val="1F1F1F"/>
        </w:rPr>
        <w:t xml:space="preserve"> 代表密度，而 </w:t>
      </w:r>
      <w:r>
        <w:rPr>
          <w:rFonts w:ascii="Google Sans" w:eastAsia="Google Sans" w:hAnsi="Google Sans" w:cs="Google Sans"/>
          <w:noProof/>
          <w:color w:val="1F1F1F"/>
        </w:rPr>
        <w:drawing>
          <wp:inline distT="19050" distB="19050" distL="19050" distR="19050" wp14:anchorId="05A02CE6" wp14:editId="6CE71B44">
            <wp:extent cx="286643" cy="229315"/>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286643" cy="229315"/>
                    </a:xfrm>
                    <a:prstGeom prst="rect">
                      <a:avLst/>
                    </a:prstGeom>
                    <a:ln/>
                  </pic:spPr>
                </pic:pic>
              </a:graphicData>
            </a:graphic>
          </wp:inline>
        </w:drawing>
      </w:r>
      <w:r>
        <w:rPr>
          <w:rFonts w:ascii="Google Sans" w:eastAsia="Google Sans" w:hAnsi="Google Sans" w:cs="Google Sans"/>
          <w:color w:val="1F1F1F"/>
        </w:rPr>
        <w:t xml:space="preserve"> 則是特定物質的質量比熱容（Specific heat capacity，單位為 J/g·K 或 kJ/kg·K）。根據熱力學文獻的標準實驗數據，構成底質的幾項核心元素的比熱容存在顯著落差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607635FB" w14:textId="77777777" w:rsidR="006F18F8"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石英（Quartz）</w:t>
      </w:r>
      <w:r>
        <w:rPr>
          <w:rFonts w:ascii="Google Sans" w:eastAsia="Google Sans" w:hAnsi="Google Sans" w:cs="Google Sans"/>
          <w:color w:val="1F1F1F"/>
        </w:rPr>
        <w:t xml:space="preserve">：主導南部砂質土的核心礦物，在 10°C 時的比熱容約為 0.76 J/g·K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w:t>
      </w:r>
    </w:p>
    <w:p w14:paraId="3201B94C" w14:textId="77777777" w:rsidR="006F18F8"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黏土礦物（Clay minerals）</w:t>
      </w:r>
      <w:r>
        <w:rPr>
          <w:rFonts w:ascii="Google Sans" w:eastAsia="Google Sans" w:hAnsi="Google Sans" w:cs="Google Sans"/>
          <w:color w:val="1F1F1F"/>
        </w:rPr>
        <w:t xml:space="preserve">：主導北部極育土的成分，如高嶺石，在 10°C 時比熱容同樣約為 0.76 J/g·K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w:t>
      </w:r>
    </w:p>
    <w:p w14:paraId="072E6DA8" w14:textId="77777777" w:rsidR="006F18F8"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有機質（Organic matter）</w:t>
      </w:r>
      <w:r>
        <w:rPr>
          <w:rFonts w:ascii="Google Sans" w:eastAsia="Google Sans" w:hAnsi="Google Sans" w:cs="Google Sans"/>
          <w:color w:val="1F1F1F"/>
        </w:rPr>
        <w:t xml:space="preserve">：富含於表層 0.8m 內，比熱容較高，約為 1.93 J/g·K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w:t>
      </w:r>
    </w:p>
    <w:p w14:paraId="1B317FBB" w14:textId="77777777" w:rsidR="006F18F8"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水（Water）</w:t>
      </w:r>
      <w:r>
        <w:rPr>
          <w:rFonts w:ascii="Google Sans" w:eastAsia="Google Sans" w:hAnsi="Google Sans" w:cs="Google Sans"/>
          <w:color w:val="1F1F1F"/>
        </w:rPr>
        <w:t xml:space="preserve">：自然界中比熱容異常高的物質，達到 4.19 J/g·K（即 4190 J/kg·°C）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w:t>
      </w:r>
    </w:p>
    <w:p w14:paraId="54FDD72A" w14:textId="77777777" w:rsidR="006F18F8"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空氣（Air）</w:t>
      </w:r>
      <w:r>
        <w:rPr>
          <w:rFonts w:ascii="Google Sans" w:eastAsia="Google Sans" w:hAnsi="Google Sans" w:cs="Google Sans"/>
          <w:color w:val="1F1F1F"/>
        </w:rPr>
        <w:t>：密度極低，對整體體積熱容的貢獻可忽略不計。</w:t>
      </w:r>
    </w:p>
    <w:p w14:paraId="293442DF" w14:textId="77777777" w:rsidR="006F18F8"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從數據中不難發現，石英與黏土礦物在質量比熱容上並無明顯差異。然而，當我們將視角從「質量」轉向「體積」時，南北部土壤在孔隙度（Porosity）、體積密度（Bulk density）與保水能力上的巨大鴻溝，造就了其宏觀體積熱容的極端對立。</w:t>
      </w:r>
    </w:p>
    <w:p w14:paraId="54F62BF8"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實驗室的量熱法（Calorimetric method）實測數據驗證了此一推論：土壤的體積熱容與其含水率（Moisture content）及體積密度呈高度正相關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。對於代表北部極育土特徵的壤土與黏土，由於黏土礦物比表面積大，保水能力極強，其孔隙中幾乎被水分完全飽和（取代了空氣）。在含水率 0-20% 及密度 1200-1400 kg/m³ 的條件下，其體積熱容表現出極高的數值範圍，高達 1.55 至 3.50 MJ/m³·°C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。相對地，代表南部與西南部沖積新成土的砂質土，由於顆粒粗大、孔隙導水率高，水分極易流失而由空氣填補。在相同測試條件下，砂質沉積物的體積熱容顯著偏低，僅介於 1.06 至 3.00 MJ/m³·°C 之間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p w14:paraId="0301A376"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熱擴散係數與南北棲地微氣候緩衝效應</w:t>
      </w:r>
    </w:p>
    <w:p w14:paraId="70E89B97"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體積熱容的高低，必須結合熱傳導係數（Thermal conductivity, </w:t>
      </w:r>
      <w:r>
        <w:rPr>
          <w:rFonts w:ascii="Google Sans" w:eastAsia="Google Sans" w:hAnsi="Google Sans" w:cs="Google Sans"/>
          <w:noProof/>
          <w:color w:val="1F1F1F"/>
        </w:rPr>
        <w:drawing>
          <wp:inline distT="19050" distB="19050" distL="19050" distR="19050" wp14:anchorId="790DE3E1" wp14:editId="24EC2966">
            <wp:extent cx="101947" cy="22243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101947" cy="222430"/>
                    </a:xfrm>
                    <a:prstGeom prst="rect">
                      <a:avLst/>
                    </a:prstGeom>
                    <a:ln/>
                  </pic:spPr>
                </pic:pic>
              </a:graphicData>
            </a:graphic>
          </wp:inline>
        </w:drawing>
      </w:r>
      <w:r>
        <w:rPr>
          <w:rFonts w:ascii="Google Sans" w:eastAsia="Google Sans" w:hAnsi="Google Sans" w:cs="Google Sans"/>
          <w:color w:val="1F1F1F"/>
        </w:rPr>
        <w:t xml:space="preserve">），進一步換算為「熱擴散係數」（Thermal diffusivity, </w:t>
      </w:r>
      <w:r>
        <w:rPr>
          <w:rFonts w:ascii="Google Sans" w:eastAsia="Google Sans" w:hAnsi="Google Sans" w:cs="Google Sans"/>
          <w:noProof/>
          <w:color w:val="1F1F1F"/>
        </w:rPr>
        <w:drawing>
          <wp:inline distT="19050" distB="19050" distL="19050" distR="19050" wp14:anchorId="12FCEEDF" wp14:editId="0C649910">
            <wp:extent cx="179933" cy="227284"/>
            <wp:effectExtent l="0" t="0" r="0" b="0"/>
            <wp:docPr id="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179933" cy="227284"/>
                    </a:xfrm>
                    <a:prstGeom prst="rect">
                      <a:avLst/>
                    </a:prstGeom>
                    <a:ln/>
                  </pic:spPr>
                </pic:pic>
              </a:graphicData>
            </a:graphic>
          </wp:inline>
        </w:drawing>
      </w:r>
      <w:r>
        <w:rPr>
          <w:rFonts w:ascii="Google Sans" w:eastAsia="Google Sans" w:hAnsi="Google Sans" w:cs="Google Sans"/>
          <w:color w:val="1F1F1F"/>
        </w:rPr>
        <w:t xml:space="preserve"> 或 </w:t>
      </w:r>
      <w:r>
        <w:rPr>
          <w:rFonts w:ascii="Google Sans" w:eastAsia="Google Sans" w:hAnsi="Google Sans" w:cs="Google Sans"/>
          <w:noProof/>
          <w:color w:val="1F1F1F"/>
        </w:rPr>
        <w:drawing>
          <wp:inline distT="19050" distB="19050" distL="19050" distR="19050" wp14:anchorId="0A50A932" wp14:editId="5377A759">
            <wp:extent cx="118616" cy="23723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118616" cy="237232"/>
                    </a:xfrm>
                    <a:prstGeom prst="rect">
                      <a:avLst/>
                    </a:prstGeom>
                    <a:ln/>
                  </pic:spPr>
                </pic:pic>
              </a:graphicData>
            </a:graphic>
          </wp:inline>
        </w:drawing>
      </w:r>
      <w:r>
        <w:rPr>
          <w:rFonts w:ascii="Google Sans" w:eastAsia="Google Sans" w:hAnsi="Google Sans" w:cs="Google Sans"/>
          <w:color w:val="1F1F1F"/>
        </w:rPr>
        <w:t>），才能真實描述底質對溫度變化的反應速度。熱擴散係數定義為：</w:t>
      </w:r>
    </w:p>
    <w:p w14:paraId="26A5D2C4" w14:textId="77777777" w:rsidR="006F18F8"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05BE669" wp14:editId="50A32542">
            <wp:extent cx="5905500" cy="431689"/>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905500" cy="431689"/>
                    </a:xfrm>
                    <a:prstGeom prst="rect">
                      <a:avLst/>
                    </a:prstGeom>
                    <a:ln/>
                  </pic:spPr>
                </pic:pic>
              </a:graphicData>
            </a:graphic>
          </wp:inline>
        </w:drawing>
      </w:r>
    </w:p>
    <w:p w14:paraId="42936AC4"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此係數代表了物質傳遞溫度變化能力（Facility to undergo temperature change）的指標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r>
        <w:rPr>
          <w:rFonts w:ascii="Google Sans" w:eastAsia="Google Sans" w:hAnsi="Google Sans" w:cs="Google Sans"/>
          <w:noProof/>
          <w:color w:val="1F1F1F"/>
        </w:rPr>
        <w:drawing>
          <wp:inline distT="19050" distB="19050" distL="19050" distR="19050" wp14:anchorId="1DD92A06" wp14:editId="2F2DE1E0">
            <wp:extent cx="179933" cy="227284"/>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179933" cy="227284"/>
                    </a:xfrm>
                    <a:prstGeom prst="rect">
                      <a:avLst/>
                    </a:prstGeom>
                    <a:ln/>
                  </pic:spPr>
                </pic:pic>
              </a:graphicData>
            </a:graphic>
          </wp:inline>
        </w:drawing>
      </w:r>
      <w:r>
        <w:rPr>
          <w:rFonts w:ascii="Google Sans" w:eastAsia="Google Sans" w:hAnsi="Google Sans" w:cs="Google Sans"/>
          <w:color w:val="1F1F1F"/>
        </w:rPr>
        <w:t xml:space="preserve"> 值越小，代表該物質需要吸收極大量的熱能才會升溫，且升溫過程緩慢，對外在氣溫波動具有極強的緩衝與遲滯效應。</w:t>
      </w:r>
    </w:p>
    <w:p w14:paraId="2C73B892"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北部極育土棲地之熱力學特徵與生態學意義：</w:t>
      </w:r>
      <w:r>
        <w:rPr>
          <w:rFonts w:ascii="Google Sans" w:eastAsia="Google Sans" w:hAnsi="Google Sans" w:cs="Google Sans"/>
          <w:color w:val="1F1F1F"/>
        </w:rPr>
        <w:t xml:space="preserve"> 北部水庫（如石門水庫、寶山水庫）的底床被富含高嶺石與有機質的壓實黏土層覆蓋。如前所述，極育土黏土層具有高達 3.50 MJ/m³·°C 的體積熱容峰值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這種「高熱容、低熱擴散」的物理特徵，使得北部水域的底泥宛如一個巨大的「熱力學緩衝盾」。在漫長的冬季過後，即使早春大氣溫度開始回升，北部底泥吸收太陽輻射與水溫傳導的升溫速率極度緩慢。這種熱力學上的遲滯效應，直接導致了北部大嘴黑鱸的繁殖產卵期，通常會比南部群體延遲 3 至 4 週甚至更久。然而，一旦水溫終於跨越了 15°C 的產卵閾值，極育土底泥的高熱容便轉化為巨大的生存優勢：它能有效抵抗春季突發性冷鋒面（寒流）帶來的氣溫驟降，持續向巢穴微環境釋放儲備熱量，將水溫波動鎖定在安全範圍內，極大地降低了黑鱸胚胎因冷緊迫（Cold stress）導致石化、發育停滯或壞死的風險。</w:t>
      </w:r>
    </w:p>
    <w:p w14:paraId="6E7C8AEF"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南部新成土棲地之熱力學特徵與生態學意義：</w:t>
      </w:r>
      <w:r>
        <w:rPr>
          <w:rFonts w:ascii="Google Sans" w:eastAsia="Google Sans" w:hAnsi="Google Sans" w:cs="Google Sans"/>
          <w:color w:val="1F1F1F"/>
        </w:rPr>
        <w:t xml:space="preserve"> 將焦點南移至曾文水庫、白河水庫或附屬埤塘水系，其邊緣的沖積扇與河階台地底質，多為高滲透性的砂質壤土或粗砂礫 </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。這些砂質底床的含水率偏低且孔隙多空氣，導致其體積熱容低下（低至 1.06 MJ/m³·°C）</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且熱擴散係數較高。這意味著熱能可以迅速地在砂粒骨架間傳遞，並輕易地改變其溫度狀態。當初春的太陽輻射照射在南部淺水沙地上時，底床能夠迅速升溫，將熱能反饋給上覆水體。因此，南部大嘴黑鱸能夠在早春極短的時間內獲得適宜的產卵水溫，率先啟動繁殖週期，為仔魚爭取到更長的生長季。但這項熱力學特性的反撲也同樣致命：低熱容的砂質底床在夜間散熱極快，且無法抵禦冷氣團的侵襲。在水深僅 0.8m 的產卵巢穴中，日夜溫差的劇烈震盪將直接衝擊剛破膜而出的仔魚。劇烈的熱漲冷縮不僅會消耗仔魚有限的卵黃囊能量用於滲透壓與生理調節，更可能引發熱休克蛋白（Heat shock proteins）的過度表達，甚至導致群體性熱緊迫致死。</w:t>
      </w:r>
    </w:p>
    <w:p w14:paraId="3AEAE11F" w14:textId="77777777" w:rsidR="006F18F8" w:rsidRDefault="00000000">
      <w:pPr>
        <w:pStyle w:val="2"/>
        <w:spacing w:before="120" w:after="120" w:line="275" w:lineRule="auto"/>
        <w:rPr>
          <w:rFonts w:ascii="Google Sans" w:eastAsia="Google Sans" w:hAnsi="Google Sans" w:cs="Google Sans"/>
          <w:color w:val="1F1F1F"/>
        </w:rPr>
      </w:pPr>
      <w:r>
        <w:pict w14:anchorId="0E3F22F9">
          <v:rect id="_x0000_i1025" style="width:0;height:1.5pt" o:hralign="center" o:hrstd="t" o:hr="t" fillcolor="#a0a0a0" stroked="f"/>
        </w:pict>
      </w:r>
      <w:r>
        <w:rPr>
          <w:rFonts w:ascii="Google Sans" w:eastAsia="Google Sans" w:hAnsi="Google Sans" w:cs="Google Sans"/>
          <w:color w:val="1F1F1F"/>
        </w:rPr>
        <w:t>第六章：白皮書卷0B核心量化輸出指標</w:t>
      </w:r>
    </w:p>
    <w:p w14:paraId="5FCB241F"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本章節基於前述第一至第五章涵蓋之地質化學、膠體動力學、水文學及熱傳導物理之詳盡量化論證，嚴格遵循《台灣大嘴黑鱸釣魚環境生態白皮書》之模型編制規範，萃取出結構化、模組化之數值發現與延展假定矩陣。此三大獨立輸出區塊將作為底層邏輯，無縫對接至卷 0C（生物群集互動、繁衍存活率計算與棲地工程量化模型）進行後續運算。</w:t>
      </w:r>
    </w:p>
    <w:p w14:paraId="0F35AC81"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0B_Findings</w:t>
      </w:r>
    </w:p>
    <w:p w14:paraId="19279247"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0B-01 [基底 pH 值之地理分化]</w:t>
      </w:r>
      <w:r>
        <w:rPr>
          <w:rFonts w:ascii="Google Sans" w:eastAsia="Google Sans" w:hAnsi="Google Sans" w:cs="Google Sans"/>
          <w:color w:val="1F1F1F"/>
        </w:rPr>
        <w:t xml:space="preserve">: 台灣北部極育土水域因經歷百萬年季風降雨引發之強烈去矽與鹽基淋溶作用，其環境基底 pH 值呈常態分布於 4.5 至 5.5 的微酸性區間；反觀南部與西部弱育土/新成土水域，因近代沖積物富含原生碳酸鹽礦物之強大緩衝能力，pH 值長期穩定於 6.5 至 7.5 的中性至微鹼性區間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E23773A"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0B-02 [零電荷點 (ZPC) 漂移閾值]</w:t>
      </w:r>
      <w:r>
        <w:rPr>
          <w:rFonts w:ascii="Google Sans" w:eastAsia="Google Sans" w:hAnsi="Google Sans" w:cs="Google Sans"/>
          <w:color w:val="1F1F1F"/>
        </w:rPr>
        <w:t xml:space="preserve">: 決定底泥膠體是否自發絮凝之關鍵閾值——極育土底質的零電荷點 (ZPC)，經實測主要受控於無定形鋁與結晶態鐵氧化物的表面質子化程度，其轉折點精確落於 pH 4.5 至 5.5 區間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；當北部水體 pH 處於此帶時，膠體靜電排斥力降至最低。</w:t>
      </w:r>
    </w:p>
    <w:p w14:paraId="51A19FD8"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0B-03 [高嶺石微酸性 Zeta 電位梯度]</w:t>
      </w:r>
      <w:r>
        <w:rPr>
          <w:rFonts w:ascii="Google Sans" w:eastAsia="Google Sans" w:hAnsi="Google Sans" w:cs="Google Sans"/>
          <w:color w:val="1F1F1F"/>
        </w:rPr>
        <w:t>: 構成北部底泥主體結構的高嶺石（Kaolinite），其等電點</w:t>
      </w:r>
      <w:r>
        <w:rPr>
          <w:rFonts w:ascii="Google Sans" w:eastAsia="Google Sans" w:hAnsi="Google Sans" w:cs="Google Sans"/>
          <w:color w:val="1F1F1F"/>
        </w:rPr>
        <w:lastRenderedPageBreak/>
        <w:t xml:space="preserve">極低（&lt; pH 3）。在 pH 3 時 Zeta 電位為 -15 mV，當 pH 微升至 6 時，Zeta 電位驟降至 -43 mV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。此微小 pH 區間的變化將導致雙電層巨幅擴張，影響邊對面（Edge-to-face）吸引力的強度。</w:t>
      </w:r>
    </w:p>
    <w:p w14:paraId="407E0F04"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0B-04 [鹼性環境同性電荷排斥效應]</w:t>
      </w:r>
      <w:r>
        <w:rPr>
          <w:rFonts w:ascii="Google Sans" w:eastAsia="Google Sans" w:hAnsi="Google Sans" w:cs="Google Sans"/>
          <w:color w:val="1F1F1F"/>
        </w:rPr>
        <w:t xml:space="preserve">: 於南部高 pH (&gt; 7.0) 水域中，伊利石與蒙脫石等富含永久負電荷之矽酸鹽礦物，其 Zeta 電位絕對值可深潛至 -42 mV 至 -52 mV 以上 </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。此強烈的同性靜電排斥能障，導致懸浮微粒呈現極端穩定的膠體狀態，形成長達數週難以消散的高光學濁度期。</w:t>
      </w:r>
    </w:p>
    <w:p w14:paraId="3F12D55C"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0B-05 [流體動態黏滯度之法定校準常數]</w:t>
      </w:r>
      <w:r>
        <w:rPr>
          <w:rFonts w:ascii="Google Sans" w:eastAsia="Google Sans" w:hAnsi="Google Sans" w:cs="Google Sans"/>
          <w:color w:val="1F1F1F"/>
        </w:rPr>
        <w:t>: 水溫 25°C 時，水體動態黏滯度 (</w:t>
      </w:r>
      <w:r>
        <w:rPr>
          <w:rFonts w:ascii="Google Sans" w:eastAsia="Google Sans" w:hAnsi="Google Sans" w:cs="Google Sans"/>
          <w:noProof/>
          <w:color w:val="1F1F1F"/>
        </w:rPr>
        <w:drawing>
          <wp:inline distT="19050" distB="19050" distL="19050" distR="19050" wp14:anchorId="272D60B5" wp14:editId="12E3C6B7">
            <wp:extent cx="111323" cy="222647"/>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11323" cy="222647"/>
                    </a:xfrm>
                    <a:prstGeom prst="rect">
                      <a:avLst/>
                    </a:prstGeom>
                    <a:ln/>
                  </pic:spPr>
                </pic:pic>
              </a:graphicData>
            </a:graphic>
          </wp:inline>
        </w:drawing>
      </w:r>
      <w:r>
        <w:rPr>
          <w:rFonts w:ascii="Google Sans" w:eastAsia="Google Sans" w:hAnsi="Google Sans" w:cs="Google Sans"/>
          <w:color w:val="1F1F1F"/>
        </w:rPr>
        <w:t xml:space="preserve">) 常數經量測為 0.89 mPa·s (即 </w:t>
      </w:r>
      <w:r>
        <w:rPr>
          <w:rFonts w:ascii="Google Sans" w:eastAsia="Google Sans" w:hAnsi="Google Sans" w:cs="Google Sans"/>
          <w:noProof/>
          <w:color w:val="1F1F1F"/>
        </w:rPr>
        <w:drawing>
          <wp:inline distT="19050" distB="19050" distL="19050" distR="19050" wp14:anchorId="474B0E7B" wp14:editId="257760C6">
            <wp:extent cx="912019" cy="218504"/>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912019" cy="218504"/>
                    </a:xfrm>
                    <a:prstGeom prst="rect">
                      <a:avLst/>
                    </a:prstGeom>
                    <a:ln/>
                  </pic:spPr>
                </pic:pic>
              </a:graphicData>
            </a:graphic>
          </wp:inline>
        </w:drawing>
      </w:r>
      <w:r>
        <w:rPr>
          <w:rFonts w:ascii="Google Sans" w:eastAsia="Google Sans" w:hAnsi="Google Sans" w:cs="Google Sans"/>
          <w:color w:val="1F1F1F"/>
        </w:rPr>
        <w:t xml:space="preserve"> Pa·s 或 0.00089 Pa·s)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。此數值為帶入斯托克斯定律 (Stokes' Law) 演算大嘴黑鱸棲地微粒終端沉降速度之法定熱力學基準值。</w:t>
      </w:r>
    </w:p>
    <w:p w14:paraId="508FFA25"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0B-06 [懸浮微粒沉降時間量級之非線性躍升]</w:t>
      </w:r>
      <w:r>
        <w:rPr>
          <w:rFonts w:ascii="Google Sans" w:eastAsia="Google Sans" w:hAnsi="Google Sans" w:cs="Google Sans"/>
          <w:color w:val="1F1F1F"/>
        </w:rPr>
        <w:t xml:space="preserve">: 理論演算顯示，直徑 2 μm 之單一未絮凝黏土顆粒於 25°C 靜水中的沉降速度極緩（約 </w:t>
      </w:r>
      <w:r>
        <w:rPr>
          <w:rFonts w:ascii="Google Sans" w:eastAsia="Google Sans" w:hAnsi="Google Sans" w:cs="Google Sans"/>
          <w:noProof/>
          <w:color w:val="1F1F1F"/>
        </w:rPr>
        <w:drawing>
          <wp:inline distT="19050" distB="19050" distL="19050" distR="19050" wp14:anchorId="6FC84878" wp14:editId="71911ACD">
            <wp:extent cx="912019" cy="218504"/>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912019" cy="218504"/>
                    </a:xfrm>
                    <a:prstGeom prst="rect">
                      <a:avLst/>
                    </a:prstGeom>
                    <a:ln/>
                  </pic:spPr>
                </pic:pic>
              </a:graphicData>
            </a:graphic>
          </wp:inline>
        </w:drawing>
      </w:r>
      <w:r>
        <w:rPr>
          <w:rFonts w:ascii="Google Sans" w:eastAsia="Google Sans" w:hAnsi="Google Sans" w:cs="Google Sans"/>
          <w:color w:val="1F1F1F"/>
        </w:rPr>
        <w:t xml:space="preserve"> m/s）。然而，在北部微酸性環境下經由 EPS 架橋形成的直徑 1-2 mm 宏觀絮體 (Macroflocs)，儘管其有效密度驟降至 50 kg/m³ 以下，因半徑平方之幾何放大效應，其沉降速度呈指數級增加，較單一粒子快 1000 倍以上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p w14:paraId="3E7C4179"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0B-07 [淺層巢穴區水文同位素混合延遲]</w:t>
      </w:r>
      <w:r>
        <w:rPr>
          <w:rFonts w:ascii="Google Sans" w:eastAsia="Google Sans" w:hAnsi="Google Sans" w:cs="Google Sans"/>
          <w:color w:val="1F1F1F"/>
        </w:rPr>
        <w:t xml:space="preserve">: 同位素觀測證實，於 0.8m 深度（黑鱸核心築巢區與根系擾動區），受強烈蒸發散與頂層有機質動態物理化學交換之干擾，地表溶解態溶質與營養鹽訊號之下滲抵達時間，發生長達 1 至 2 個月的時間遲滯現象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3FE8853D"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0B-08 [次層大孔隙優先流傳導速率]</w:t>
      </w:r>
      <w:r>
        <w:rPr>
          <w:rFonts w:ascii="Google Sans" w:eastAsia="Google Sans" w:hAnsi="Google Sans" w:cs="Google Sans"/>
          <w:color w:val="1F1F1F"/>
        </w:rPr>
        <w:t xml:space="preserve">: 於 1.5m 深度區帶，水分與溶質的垂直傳輸脫離了基質吸力與蒸發主導區，轉由大孔隙與根系通道之優先流 (Preferential flow) 全面主導。化學溶質訊號僅需 1 至 2 週即可於此深度顯現，造成淺層與深層間顯著的化學運移脫鉤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564C5D89"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0B-09 [旱季蒸發濃縮與底質硬化效應]</w:t>
      </w:r>
      <w:r>
        <w:rPr>
          <w:rFonts w:ascii="Google Sans" w:eastAsia="Google Sans" w:hAnsi="Google Sans" w:cs="Google Sans"/>
          <w:color w:val="1F1F1F"/>
        </w:rPr>
        <w:t xml:space="preserve">: 春季旱季期間，南部淺水產卵棲地強烈的蒸發作用將水分剝離。若水深由 1.5m 降至 0.8m，孔隙水中 Ca²⁺、Mg²⁺ 及 SO₄²⁻ 將面臨約 1.88 倍之濃縮倍率。此現象不僅提高離子強度壓縮雙電層引發鹽析，高濃度的二價陽離子更透過與有機質的架橋作用造成巢床底質物理性硬化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4AAD2B95"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0B-10 [多相體系沉積物比熱容量化基準]</w:t>
      </w:r>
      <w:r>
        <w:rPr>
          <w:rFonts w:ascii="Google Sans" w:eastAsia="Google Sans" w:hAnsi="Google Sans" w:cs="Google Sans"/>
          <w:color w:val="1F1F1F"/>
        </w:rPr>
        <w:t>: 為建立底質熱力學預測基底模型，各相態組成之比熱容 (</w:t>
      </w:r>
      <w:r>
        <w:rPr>
          <w:rFonts w:ascii="Google Sans" w:eastAsia="Google Sans" w:hAnsi="Google Sans" w:cs="Google Sans"/>
          <w:noProof/>
          <w:color w:val="1F1F1F"/>
        </w:rPr>
        <w:drawing>
          <wp:inline distT="19050" distB="19050" distL="19050" distR="19050" wp14:anchorId="66BE2A60" wp14:editId="286C811D">
            <wp:extent cx="205978" cy="224703"/>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205978" cy="224703"/>
                    </a:xfrm>
                    <a:prstGeom prst="rect">
                      <a:avLst/>
                    </a:prstGeom>
                    <a:ln/>
                  </pic:spPr>
                </pic:pic>
              </a:graphicData>
            </a:graphic>
          </wp:inline>
        </w:drawing>
      </w:r>
      <w:r>
        <w:rPr>
          <w:rFonts w:ascii="Google Sans" w:eastAsia="Google Sans" w:hAnsi="Google Sans" w:cs="Google Sans"/>
          <w:color w:val="1F1F1F"/>
        </w:rPr>
        <w:t xml:space="preserve">) 確立如下：石英及黏土礦物固相約為 0.76 J/g·K，液相水體比熱容高達 4.19 J/g·K，而有機質部分則為 1.93 J/g·K </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。水含量成為決定系統總熱容的絕對優勢權重因子。</w:t>
      </w:r>
    </w:p>
    <w:p w14:paraId="706DD2A9"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0B-11 [極育土體積熱容峰值與寒害緩衝]</w:t>
      </w:r>
      <w:r>
        <w:rPr>
          <w:rFonts w:ascii="Google Sans" w:eastAsia="Google Sans" w:hAnsi="Google Sans" w:cs="Google Sans"/>
          <w:color w:val="1F1F1F"/>
        </w:rPr>
        <w:t>: 北部具備高孔隙度與極強保水能力之黏土/壤土，在體積密度 1200-1400 kg/m³ 之飽和條件下，其體積熱容 (</w:t>
      </w:r>
      <w:r>
        <w:rPr>
          <w:rFonts w:ascii="Google Sans" w:eastAsia="Google Sans" w:hAnsi="Google Sans" w:cs="Google Sans"/>
          <w:noProof/>
          <w:color w:val="1F1F1F"/>
        </w:rPr>
        <w:drawing>
          <wp:inline distT="19050" distB="19050" distL="19050" distR="19050" wp14:anchorId="65A20003" wp14:editId="12E76210">
            <wp:extent cx="208211" cy="227139"/>
            <wp:effectExtent l="0" t="0" r="0"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208211" cy="227139"/>
                    </a:xfrm>
                    <a:prstGeom prst="rect">
                      <a:avLst/>
                    </a:prstGeom>
                    <a:ln/>
                  </pic:spPr>
                </pic:pic>
              </a:graphicData>
            </a:graphic>
          </wp:inline>
        </w:drawing>
      </w:r>
      <w:r>
        <w:rPr>
          <w:rFonts w:ascii="Google Sans" w:eastAsia="Google Sans" w:hAnsi="Google Sans" w:cs="Google Sans"/>
          <w:color w:val="1F1F1F"/>
        </w:rPr>
        <w:t xml:space="preserve">) 峰值可達 1.55 至 3.50 MJ/m³·°C 之譜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。此一「高熱容、低熱擴散」特徵賦予北部棲地極強的溫度遲滯性與抗春寒緩衝能力。</w:t>
      </w:r>
    </w:p>
    <w:p w14:paraId="40378DF0"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0B-12 [新成土體積熱容谷值與熱緊迫風險]</w:t>
      </w:r>
      <w:r>
        <w:rPr>
          <w:rFonts w:ascii="Google Sans" w:eastAsia="Google Sans" w:hAnsi="Google Sans" w:cs="Google Sans"/>
          <w:color w:val="1F1F1F"/>
        </w:rPr>
        <w:t xml:space="preserve">: 南部高滲透性、排水快速之砂質沉積物，因孔隙多由低密度空氣填充，含水率偏低，其體積熱容僅介於 1.06 至 3.00 MJ/m³·°C 之間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。低熱容導致底床易受強烈日照與夜間輻射冷卻驅動，引發 0.8m 巢穴微氣候劇烈溫差，提升仔魚群體熱緊迫致死率。</w:t>
      </w:r>
    </w:p>
    <w:p w14:paraId="2E4D036F" w14:textId="77777777" w:rsidR="006F18F8"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0B_Findings_Supplement</w:t>
      </w:r>
    </w:p>
    <w:p w14:paraId="5B898B98"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0B-13：[Eh 動力學序列與過渡時程]。南部底泥淹水後，溶氧降至 &lt;4 mg/L 時由好氧帶（+300 ~ +500 mV）進入反硝化帶（+200 ~ +300 mV），約需 1–3 天；隨後於第 3–7 天進入錳與鐵還原（+100 ~ -200 mV），7–14 天後跌入硫酸鹽還原帶（&lt; -150 mV）。[信心等級：中]。[基於 Eh 氧化還原熱力學序列之推測]。</w:t>
      </w:r>
    </w:p>
    <w:p w14:paraId="46BD30FE"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0B-14：[鐵還原觸發閾值與速率]。Fe³⁺ 還原觸發條件為水溫 &gt;20°C、有機碳 &gt;2% 且 Eh 降至 0 至 -100 mV 以下；其還原速率於亞熱帶底泥中估算為 10–50 mmol/m²/day。[信心等級：中]。[基於亞熱帶水庫底泥鐵動力學之推測]。</w:t>
      </w:r>
    </w:p>
    <w:p w14:paraId="630D53E4" w14:textId="362E25B4"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0B-15：當 Eh &lt; -150 mV 且有機碳充足時，硫酸鹽還原強烈進行，H₂S 釋放速率（即 SO₄²⁻ 消耗速率）可高達 19–281 mmol/m²/day。[信心等級：高]。</w:t>
      </w:r>
    </w:p>
    <w:p w14:paraId="115846F2"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0B-16：[高溫反應放大效應 (Q10)]。微生物厭氧分解與還原反應具備溫度依賴性，其 Q10 係數約為 2.08；當夏季水溫由 20°C 上升至 30–35°C 時，鐵還原與硫酸鹽還原速率將呈 2–2.8 倍之非線性倍增。[信心等級：高]。</w:t>
      </w:r>
    </w:p>
    <w:p w14:paraId="02A661B9" w14:textId="3AE1D02C"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0B-17：於有機碳 &gt;5% 之南部高負載管理池，夏季高溫條件下若 H₂S 以 200 mmol/m²/day 速率釋放，於 0.8m 淺水巢穴區單日 H₂S 累積濃度估算可達 8.5 mg/L。[信心等級：中]。[基於化學計量與極端負載情境之推測]。</w:t>
      </w:r>
    </w:p>
    <w:p w14:paraId="43FFA556" w14:textId="77777777" w:rsidR="006F18F8"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Carry_Forward_To_0C</w:t>
      </w:r>
    </w:p>
    <w:p w14:paraId="4176B7C0"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[基底 pH 值]：(a) 參數類型：化學參數；(b) 北部 4.5–5.5，南部 6.5–7.5；(c) 適用水體：全台；(d) 引用編號：0B-01</w:t>
      </w:r>
    </w:p>
    <w:p w14:paraId="027413A0"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[極育土 ZPC 閾值]：(a) 參數類型：化學參數；(b) pH 4.5–5.5；(c) 適用水體：北部；(d) 引用編號：0B-02</w:t>
      </w:r>
    </w:p>
    <w:p w14:paraId="3A21908E"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[高嶺石微酸性 Zeta 電位]：(a) 參數類型：物理化學參數；(b) -15 mV (pH 3) 至 -43 mV (pH 6)；(c) 適用水體：北部；(d) 引用編號：0B-03</w:t>
      </w:r>
    </w:p>
    <w:p w14:paraId="34B3709B"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[鹼性環境 Zeta 電位]：(a) 參數類型：物理化學參數；(b) -42 mV 至 -52 mV；(c) 適用水體：南部；(d) 引用編號：0B-04</w:t>
      </w:r>
    </w:p>
    <w:p w14:paraId="62F3ACB1"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[動態黏滯度基準常數]：(a) 參數類型：物理參數；(b) 0.89 mPa·s (於 25°C)；(c) 適用水體：全台；(d) 引用編號：0B-05</w:t>
      </w:r>
    </w:p>
    <w:p w14:paraId="3934FFF5"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[絮體終端沉降速度加速率]：(a) 參數類型：物理參數；(b) 較單粒微粒快 1000 倍以上 (約 3.06 cm/s)；(c) 適用水體：北部；(d) 引用編號：0B-06</w:t>
      </w:r>
    </w:p>
    <w:p w14:paraId="414C24EF"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[0.8m 淺層溶質混合遲滯期]：(a) 參數類型：水文參數；(b) 30–60 天；(c) 適用水體：全台；(d) 引用編號：0B-07</w:t>
      </w:r>
    </w:p>
    <w:p w14:paraId="2131B0E1"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[1.5m 深層優先流到達時間]：(a) 參數類型：水文參數；(b) 7–14 天；(c) 適用水體：</w:t>
      </w:r>
      <w:r>
        <w:rPr>
          <w:rFonts w:ascii="Google Sans" w:eastAsia="Google Sans" w:hAnsi="Google Sans" w:cs="Google Sans"/>
          <w:color w:val="1F1F1F"/>
        </w:rPr>
        <w:lastRenderedPageBreak/>
        <w:t>全台；(d) 引用編號：0B-08</w:t>
      </w:r>
    </w:p>
    <w:p w14:paraId="0A5B693B"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[旱季蒸發濃縮效應倍率]：(a) 參數類型：化學參數；(b) 1.88 倍 (水深由 1.5m 降至 0.8m 時)；(c) 適用水體：南部；(d) 引用編號：0B-09</w:t>
      </w:r>
    </w:p>
    <w:p w14:paraId="6FE0A677"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[底泥體積熱容基準]：(a) 參數類型：熱力學參數；(b) 石英/黏土 0.76 J/g·K，有機質 1.93 J/g·K，水 4.19 J/g·K；(c) 適用水體：全台；(d) 引用編號：0B-10</w:t>
      </w:r>
    </w:p>
    <w:p w14:paraId="185F1F9D"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[北部高黏土體積熱容 (C_v)]：(a) 參數類型：熱力學參數；(b) 1.55–3.50 MJ/m³·°C；(c) 適用水體：北部；(d) 引用編號：0B-11</w:t>
      </w:r>
    </w:p>
    <w:p w14:paraId="144C9198"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[南部砂質土體積熱容 (C_v)]：(a) 參數類型：熱力學參數；(b) 1.06–3.00 MJ/m³·°C；(c) 適用水體：南部；(d) 引用編號：0B-12</w:t>
      </w:r>
    </w:p>
    <w:p w14:paraId="587A399A"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[Eh 動力學過渡時程]：(a) 參數類型：地球化學參數；(b) 淹水後 1-3 天進入反硝化，3-7 天鐵還原，7-14 天硫酸鹽還原；(c) 適用水體：南部；(d) 引用編號：0B-13</w:t>
      </w:r>
    </w:p>
    <w:p w14:paraId="6400AA6D"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[鐵還原速率]：(a) 參數類型：地球化學參數；(b) 10–50 mmol/m²/day；(c) 適用水體：全台；(d) 引用編號：0B-14</w:t>
      </w:r>
    </w:p>
    <w:p w14:paraId="0896FD81"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：(a) 參數類型：地球化學參數；(b) 19–281 mmol/m²/day；(c) 適用水體：全台；(d) 引用編號：0B-15</w:t>
      </w:r>
    </w:p>
    <w:p w14:paraId="2387F28A"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[高溫還原反應放大係數 (Q10)]：(a) 參數類型：熱動力學參數；(b) 2.08 (30-35°C 時速率放大 2-2.8 倍)；(c) 適用水體：全台；(d) 引用編號：0B-16</w:t>
      </w:r>
    </w:p>
    <w:p w14:paraId="31706636" w14:textId="77777777" w:rsidR="006F18F8" w:rsidRDefault="00000000">
      <w:pPr>
        <w:pBdr>
          <w:top w:val="nil"/>
          <w:left w:val="nil"/>
          <w:bottom w:val="nil"/>
          <w:right w:val="nil"/>
          <w:between w:val="nil"/>
        </w:pBdr>
        <w:spacing w:after="150" w:line="275" w:lineRule="auto"/>
        <w:ind w:left="600" w:right="600"/>
        <w:rPr>
          <w:rFonts w:ascii="Google Sans" w:eastAsia="Google Sans" w:hAnsi="Google Sans" w:cs="Google Sans"/>
          <w:color w:val="1F1F1F"/>
        </w:rPr>
      </w:pPr>
      <w:r>
        <w:rPr>
          <w:rFonts w:ascii="Google Sans" w:eastAsia="Google Sans" w:hAnsi="Google Sans" w:cs="Google Sans"/>
          <w:color w:val="1F1F1F"/>
        </w:rPr>
        <w:t>：(a) 參數類型：毒理學參數；(b) 8.5 mg/L (於 0.8m 淺水區)；(c) 適用水體：南部；(d) 引用編號：0B-17</w:t>
      </w:r>
    </w:p>
    <w:p w14:paraId="400DE36F" w14:textId="77777777" w:rsidR="006F18F8"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Open_Assumptions_0B</w:t>
      </w:r>
    </w:p>
    <w:p w14:paraId="6FDAED8B" w14:textId="77777777" w:rsidR="006F18F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本區塊明列於當前白皮書環境模型架構下，因受限於台灣全島微觀尺度大數據之缺乏，且為確保生態與毒理學風險評估具備足夠的防護彈性與安全邊際，於後續數值計算中必須無條件採取的「保守假設」（Conservative Assumptions）：</w:t>
      </w:r>
    </w:p>
    <w:p w14:paraId="3CD7CDA1" w14:textId="77777777" w:rsidR="006F18F8"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宏觀絮體 (Macroflocs) 有效密度極小化遞減假設</w:t>
      </w:r>
      <w:r>
        <w:rPr>
          <w:rFonts w:ascii="Google Sans" w:eastAsia="Google Sans" w:hAnsi="Google Sans" w:cs="Google Sans"/>
          <w:color w:val="1F1F1F"/>
        </w:rPr>
        <w:t xml:space="preserve">： 在估算北部極育土水域暴雨後的濁度恢復速率時，雖然已知由 EPS 高分子架橋與邊對面吸引引發的絮凝過程，能產生直徑達 1-2 mm 級的龐大絮體，但其內部呈現疏鬆的蜂窩狀結構，含水率極高。由於目前缺乏針對全台各水庫特定 EPS 種類與分子量的實測分離數據，模型將強制保守假設所有形成之宏觀絮體，其有效密度（Bulk density 扣除純水密度）在任何情況下皆不超過 50 kg/m³ </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。此一極端下修的假設，旨在確保模型系統性地防止我們過度樂觀地高估水庫雨後的自我渾濁清除速度，保障黑鱸視覺覓食效率預估的嚴謹性。</w:t>
      </w:r>
    </w:p>
    <w:p w14:paraId="3DF87520" w14:textId="77777777" w:rsidR="006F18F8"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大孔隙優先流 (Preferential Flow) 之無阻礙極端穿透假設</w:t>
      </w:r>
      <w:r>
        <w:rPr>
          <w:rFonts w:ascii="Google Sans" w:eastAsia="Google Sans" w:hAnsi="Google Sans" w:cs="Google Sans"/>
          <w:color w:val="1F1F1F"/>
        </w:rPr>
        <w:t>： 在建構 1.5m 深度的水文地球化學三維傳輸矩陣時，針對農業化肥（如高溶解度硝酸鹽）及工業微量重金屬之擴散，模型假設所有地表污染源在遭遇大雨（降雨強度 &gt; 50 mm/hr）沖刷下，皆能 100% 透過大孔</w:t>
      </w:r>
      <w:r>
        <w:rPr>
          <w:rFonts w:ascii="Google Sans" w:eastAsia="Google Sans" w:hAnsi="Google Sans" w:cs="Google Sans"/>
          <w:color w:val="1F1F1F"/>
        </w:rPr>
        <w:lastRenderedPageBreak/>
        <w:t>隙與乾裂縫隙的「優先流」路徑，完全繞過 0.8m 含有機質的生物緩衝區與吸附帶。該假設定義溶質將以最短時間軸（1 至 2 週）</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零耗損地直接衝擊 1.5m 深度的底棲棲地。此保守邊界設定，確保了稚魚底棲與底棲無脊椎動物群落的毒理學暴露風險評估，絕不會被過度高估的土壤基質吸附與自淨能力所掩蓋。</w:t>
      </w:r>
    </w:p>
    <w:p w14:paraId="7FB22C15" w14:textId="77777777" w:rsidR="006F18F8"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硫酸鹽還原閾值之 Eh 崩塌保守邊界假設</w:t>
      </w:r>
      <w:r>
        <w:rPr>
          <w:rFonts w:ascii="Google Sans" w:eastAsia="Google Sans" w:hAnsi="Google Sans" w:cs="Google Sans"/>
          <w:color w:val="1F1F1F"/>
        </w:rPr>
        <w:t>：</w:t>
      </w:r>
      <w:r>
        <w:rPr>
          <w:rFonts w:eastAsia="Arial"/>
          <w:color w:val="000000"/>
        </w:rPr>
        <w:br/>
      </w:r>
      <w:r>
        <w:rPr>
          <w:rFonts w:ascii="Google Sans" w:eastAsia="Google Sans" w:hAnsi="Google Sans" w:cs="Google Sans"/>
          <w:color w:val="1F1F1F"/>
        </w:rPr>
        <w:t>南部中性及微鹼性水域中，因富營養化導致有機質大量沉積並引發底床缺氧時，究竟何時會跨越熱力學門檻觸發致死性的硫化氫 (H₂S) 釋放，實務上存在高度測量不確定性。由於全台各大湖庫缺乏安裝於 0.8m 泥水界面的高解析度連續氧化還原電極（ORP probes）陣列，我們在生態毒理子模型中設定一項強制觸發條件：一旦偵測到近底層水體溶解氧（DO）濃度探底低於 2.0 mg/L，模型即自動假設該微環境的氧化還原電位 (Eh) 已全面崩塌並跌破硫酸鹽還原電位（即 Eh &lt; -150 mV）。此假設意在以最嚴苛的標準，提前示警並計算春季護巢期大嘴黑鱸因急性硫化氫毒性而大規模棄巢或稚魚全軍覆沒的機率上限。</w:t>
      </w:r>
    </w:p>
    <w:p w14:paraId="71520B33" w14:textId="77777777" w:rsidR="006F18F8"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表面電荷介面化學之單一礦物主導性簡化假設</w:t>
      </w:r>
      <w:r>
        <w:rPr>
          <w:rFonts w:ascii="Google Sans" w:eastAsia="Google Sans" w:hAnsi="Google Sans" w:cs="Google Sans"/>
          <w:color w:val="1F1F1F"/>
        </w:rPr>
        <w:t xml:space="preserve">： 儘管真實世界的底床沉積物為成分極度繁雜的多礦物、多相態混合體（包含各式次生矽酸鹽、游離氧化物、腐植酸等），但在執行複雜的膠體動力學估算與微觀粒子間作用力模擬時，為了維持數學模型（如 DLVO 交互作用力積分方程式）的運算收斂性與可行性，本報告建立簡化防護網：保守假設北部極育土水域所有懸浮微粒的 Zeta 電位演變與絮凝行為，「完全且排他性地」由高嶺石（Kaolinite）晶格矽氧面與鋁氧邊緣的電荷特性所絕對主導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；同理，南部水域則假設由伊利石 (Illite) 與蒙脫石 (Smectite) 百分之百主導。此一降維簡化刻意忽略了次要礦物與極微量有機質的表面遮蔽效應（Surface coating effects），以求在宏觀尺度上精準捕捉南北水體光學混濁與沉降機制的根本差異。</w:t>
      </w:r>
    </w:p>
    <w:p w14:paraId="7384A12E" w14:textId="77777777" w:rsidR="006F18F8" w:rsidRDefault="00000000">
      <w:pPr>
        <w:pStyle w:val="4"/>
        <w:rPr>
          <w:rFonts w:ascii="Google Sans" w:eastAsia="Google Sans" w:hAnsi="Google Sans" w:cs="Google Sans"/>
        </w:rPr>
      </w:pPr>
      <w:r>
        <w:rPr>
          <w:rFonts w:ascii="Google Sans" w:eastAsia="Google Sans" w:hAnsi="Google Sans" w:cs="Google Sans"/>
        </w:rPr>
        <w:t>引用的著作</w:t>
      </w:r>
    </w:p>
    <w:p w14:paraId="42285314"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(PDF) The Soils of Taiwan - ResearchGate, 檢索日期：4月 22, 2026， </w:t>
      </w:r>
      <w:hyperlink r:id="rId32">
        <w:r w:rsidR="006F18F8">
          <w:rPr>
            <w:rFonts w:ascii="Google Sans" w:eastAsia="Google Sans" w:hAnsi="Google Sans" w:cs="Google Sans"/>
            <w:color w:val="0000EE"/>
            <w:sz w:val="24"/>
            <w:szCs w:val="24"/>
            <w:u w:val="single"/>
          </w:rPr>
          <w:t>https://www.researchgate.net/publication/315178805_The_Soils_of_Taiwan</w:t>
        </w:r>
      </w:hyperlink>
    </w:p>
    <w:p w14:paraId="2007F95D"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Factors affecting zero point of charge (ZPC) of variable charge soils - ResearchGate, 檢索日期：4月 22, 2026， </w:t>
      </w:r>
      <w:hyperlink r:id="rId33">
        <w:r w:rsidR="006F18F8">
          <w:rPr>
            <w:rFonts w:ascii="Google Sans" w:eastAsia="Google Sans" w:hAnsi="Google Sans" w:cs="Google Sans"/>
            <w:color w:val="0000EE"/>
            <w:sz w:val="24"/>
            <w:szCs w:val="24"/>
            <w:u w:val="single"/>
          </w:rPr>
          <w:t>https://www.researchgate.net/publication/241732241_Factors_affecting_zero_point_of_charge_ZPC_of_variable_charge_soils</w:t>
        </w:r>
      </w:hyperlink>
    </w:p>
    <w:p w14:paraId="6CF6291E"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Systematic review assessing the effects of amendments on acidic soils pH in tea plantations, 檢索日期：4月 22, 2026， </w:t>
      </w:r>
      <w:hyperlink r:id="rId34">
        <w:r w:rsidR="006F18F8">
          <w:rPr>
            <w:rFonts w:ascii="Google Sans" w:eastAsia="Google Sans" w:hAnsi="Google Sans" w:cs="Google Sans"/>
            <w:color w:val="0000EE"/>
            <w:sz w:val="24"/>
            <w:szCs w:val="24"/>
            <w:u w:val="single"/>
          </w:rPr>
          <w:t>https://pmc.ncbi.nlm.nih.gov/articles/PMC11283173/</w:t>
        </w:r>
      </w:hyperlink>
    </w:p>
    <w:p w14:paraId="3A9456EA"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National-Scale Assessment of Soil pH Change in Chinese Croplands from 1980 to 2018, 檢索日期：4月 22, 2026， </w:t>
      </w:r>
      <w:hyperlink r:id="rId35">
        <w:r w:rsidR="006F18F8">
          <w:rPr>
            <w:rFonts w:ascii="Google Sans" w:eastAsia="Google Sans" w:hAnsi="Google Sans" w:cs="Google Sans"/>
            <w:color w:val="0000EE"/>
            <w:sz w:val="24"/>
            <w:szCs w:val="24"/>
            <w:u w:val="single"/>
          </w:rPr>
          <w:t>https://www.mdpi.com/2073-4395/15/12/2775</w:t>
        </w:r>
      </w:hyperlink>
    </w:p>
    <w:p w14:paraId="67D721F4"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to Measure Kaolinite Dispersion Using Zeta Potential - PatSnap Eureka, 檢索日期：4月 22, 2026， </w:t>
      </w:r>
      <w:hyperlink r:id="rId36">
        <w:r w:rsidR="006F18F8">
          <w:rPr>
            <w:rFonts w:ascii="Google Sans" w:eastAsia="Google Sans" w:hAnsi="Google Sans" w:cs="Google Sans"/>
            <w:color w:val="0000EE"/>
            <w:sz w:val="24"/>
            <w:szCs w:val="24"/>
            <w:u w:val="single"/>
          </w:rPr>
          <w:t>https://eureka.patsnap.com/report-how-to-measure-kaolinite-dispersion-using-zeta-potential</w:t>
        </w:r>
      </w:hyperlink>
    </w:p>
    <w:p w14:paraId="433E6A67"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Zeta Potential–Viscosity Relationship in Kaolinite Slurry in the Presence of Dispersants Bahri Ersoy, Atilla Evcin, Tayfun Uyg - University of North Texas, 檢索</w:t>
      </w:r>
      <w:r>
        <w:rPr>
          <w:rFonts w:ascii="Google Sans" w:eastAsia="Google Sans" w:hAnsi="Google Sans" w:cs="Google Sans"/>
          <w:sz w:val="24"/>
          <w:szCs w:val="24"/>
        </w:rPr>
        <w:lastRenderedPageBreak/>
        <w:t xml:space="preserve">日期：4月 22, 2026， </w:t>
      </w:r>
      <w:hyperlink r:id="rId37">
        <w:r w:rsidR="006F18F8">
          <w:rPr>
            <w:rFonts w:ascii="Google Sans" w:eastAsia="Google Sans" w:hAnsi="Google Sans" w:cs="Google Sans"/>
            <w:color w:val="0000EE"/>
            <w:sz w:val="24"/>
            <w:szCs w:val="24"/>
            <w:u w:val="single"/>
          </w:rPr>
          <w:t>https://engineering.unt.edu/mse/research/labs/lapom/sites/default/files/zetapotential.pdf</w:t>
        </w:r>
      </w:hyperlink>
    </w:p>
    <w:p w14:paraId="4C84C650"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SURFACE CHARGE FEATURES OF KAOLINITE PARTICLES AND THEIR INTERACTIONS - The University of Utah, 檢索日期：4月 22, 2026， </w:t>
      </w:r>
      <w:hyperlink r:id="rId38">
        <w:r w:rsidR="006F18F8">
          <w:rPr>
            <w:rFonts w:ascii="Google Sans" w:eastAsia="Google Sans" w:hAnsi="Google Sans" w:cs="Google Sans"/>
            <w:color w:val="0000EE"/>
            <w:sz w:val="24"/>
            <w:szCs w:val="24"/>
            <w:u w:val="single"/>
          </w:rPr>
          <w:t>https://collections.lib.utah.edu/dl_files/1a/e3/1ae36eb76c82bee8154ffbb6184cf208a03e0ba5.pdf</w:t>
        </w:r>
      </w:hyperlink>
    </w:p>
    <w:p w14:paraId="1CB8BD30"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1leSiS L. o ct - Newcastle University Theses, 檢索日期：4月 22, 2026， </w:t>
      </w:r>
      <w:hyperlink r:id="rId39">
        <w:r w:rsidR="006F18F8">
          <w:rPr>
            <w:rFonts w:ascii="Google Sans" w:eastAsia="Google Sans" w:hAnsi="Google Sans" w:cs="Google Sans"/>
            <w:color w:val="0000EE"/>
            <w:sz w:val="24"/>
            <w:szCs w:val="24"/>
            <w:u w:val="single"/>
          </w:rPr>
          <w:t>https://theses.ncl.ac.uk/jspui/bitstream/10443/475/1/Miqdadi92.pdf</w:t>
        </w:r>
      </w:hyperlink>
    </w:p>
    <w:p w14:paraId="763E90E8"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Filtration behavior and associated mechanisms of kaolinite and illite with emphasis on pH effect - PMC, 檢索日期：4月 22, 2026， </w:t>
      </w:r>
      <w:hyperlink r:id="rId40">
        <w:r w:rsidR="006F18F8">
          <w:rPr>
            <w:rFonts w:ascii="Google Sans" w:eastAsia="Google Sans" w:hAnsi="Google Sans" w:cs="Google Sans"/>
            <w:color w:val="0000EE"/>
            <w:sz w:val="24"/>
            <w:szCs w:val="24"/>
            <w:u w:val="single"/>
          </w:rPr>
          <w:t>https://pmc.ncbi.nlm.nih.gov/articles/PMC12607929/</w:t>
        </w:r>
      </w:hyperlink>
    </w:p>
    <w:p w14:paraId="594A1681"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The Study of Optimization of Flocculation and Destabilization Technology of Waste PEM Drilling Fluid in Bohai Oilfield - Frontiers, 檢索日期：4月 22, 2026， </w:t>
      </w:r>
      <w:hyperlink r:id="rId41">
        <w:r w:rsidR="006F18F8">
          <w:rPr>
            <w:rFonts w:ascii="Google Sans" w:eastAsia="Google Sans" w:hAnsi="Google Sans" w:cs="Google Sans"/>
            <w:color w:val="0000EE"/>
            <w:sz w:val="24"/>
            <w:szCs w:val="24"/>
            <w:u w:val="single"/>
          </w:rPr>
          <w:t>https://www.frontiersin.org/journals/energy-research/articles/10.3389/fenrg.2021.796786/full</w:t>
        </w:r>
      </w:hyperlink>
    </w:p>
    <w:p w14:paraId="0A4E4761"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Determination of pH of zero point of charge (pH ZPC ) of the adsorbent. - ResearchGate, 檢索日期：4月 22, 2026， </w:t>
      </w:r>
      <w:hyperlink r:id="rId42">
        <w:r w:rsidR="006F18F8">
          <w:rPr>
            <w:rFonts w:ascii="Google Sans" w:eastAsia="Google Sans" w:hAnsi="Google Sans" w:cs="Google Sans"/>
            <w:color w:val="0000EE"/>
            <w:sz w:val="24"/>
            <w:szCs w:val="24"/>
            <w:u w:val="single"/>
          </w:rPr>
          <w:t>https://www.researchgate.net/figure/Determination-of-pH-of-zero-point-of-charge-pH-ZPC-of-the-adsorbent_fig1_328442718</w:t>
        </w:r>
      </w:hyperlink>
    </w:p>
    <w:p w14:paraId="78151905"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The Effects of Zeta Potential and Flocculant Molecular Chain Length on the Flocculation of Fines - ScholarWorks at WMU, 檢索日期：4月 22, 2026， </w:t>
      </w:r>
      <w:hyperlink r:id="rId43">
        <w:r w:rsidR="006F18F8">
          <w:rPr>
            <w:rFonts w:ascii="Google Sans" w:eastAsia="Google Sans" w:hAnsi="Google Sans" w:cs="Google Sans"/>
            <w:color w:val="0000EE"/>
            <w:sz w:val="24"/>
            <w:szCs w:val="24"/>
            <w:u w:val="single"/>
          </w:rPr>
          <w:t>https://scholarworks.wmich.edu/context/engineer-senior-theses/article/1034/viewcontent/197012_Chiu_K.pdf</w:t>
        </w:r>
      </w:hyperlink>
    </w:p>
    <w:p w14:paraId="5C6DCB47"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Flocculation cohesive sediments - Coastal Wiki, 檢索日期：4月 22, 2026， </w:t>
      </w:r>
      <w:hyperlink r:id="rId44">
        <w:r w:rsidR="006F18F8">
          <w:rPr>
            <w:rFonts w:ascii="Google Sans" w:eastAsia="Google Sans" w:hAnsi="Google Sans" w:cs="Google Sans"/>
            <w:color w:val="0000EE"/>
            <w:sz w:val="24"/>
            <w:szCs w:val="24"/>
            <w:u w:val="single"/>
          </w:rPr>
          <w:t>https://www.coastalwiki.org/wiki/Flocculation_cohesive_sediments</w:t>
        </w:r>
      </w:hyperlink>
    </w:p>
    <w:p w14:paraId="7B1C435F"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Coagulation-flocculation Mechanisms in Wastewater Treatment Plants Through Zeta Potential Measurements - PubMed, 檢索日期：4月 22, 2026， </w:t>
      </w:r>
      <w:hyperlink r:id="rId45">
        <w:r w:rsidR="006F18F8">
          <w:rPr>
            <w:rFonts w:ascii="Google Sans" w:eastAsia="Google Sans" w:hAnsi="Google Sans" w:cs="Google Sans"/>
            <w:color w:val="0000EE"/>
            <w:sz w:val="24"/>
            <w:szCs w:val="24"/>
            <w:u w:val="single"/>
          </w:rPr>
          <w:t>https://pubmed.ncbi.nlm.nih.gov/25036994/</w:t>
        </w:r>
      </w:hyperlink>
    </w:p>
    <w:p w14:paraId="065198E3"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Zeta Potential as a Measure of Polyelectrolyte Flocculation and the Effect of Polymer Dosing Conditions on Cell Removal From Fermentation Broth - PubMed, 檢索日期：4月 22, 2026， </w:t>
      </w:r>
      <w:hyperlink r:id="rId46">
        <w:r w:rsidR="006F18F8">
          <w:rPr>
            <w:rFonts w:ascii="Google Sans" w:eastAsia="Google Sans" w:hAnsi="Google Sans" w:cs="Google Sans"/>
            <w:color w:val="0000EE"/>
            <w:sz w:val="24"/>
            <w:szCs w:val="24"/>
            <w:u w:val="single"/>
          </w:rPr>
          <w:t>https://pubmed.ncbi.nlm.nih.gov/15211488/</w:t>
        </w:r>
      </w:hyperlink>
    </w:p>
    <w:p w14:paraId="0362FC3C"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"The Effects of Zeta Potential and Flocculant Molecular Chain Length on" by Kai F. Chiu, 檢索日期：4月 22, 2026， </w:t>
      </w:r>
      <w:hyperlink r:id="rId47">
        <w:r w:rsidR="006F18F8">
          <w:rPr>
            <w:rFonts w:ascii="Google Sans" w:eastAsia="Google Sans" w:hAnsi="Google Sans" w:cs="Google Sans"/>
            <w:color w:val="0000EE"/>
            <w:sz w:val="24"/>
            <w:szCs w:val="24"/>
            <w:u w:val="single"/>
          </w:rPr>
          <w:t>https://scholarworks.wmich.edu/engineer-senior-theses/66/</w:t>
        </w:r>
      </w:hyperlink>
    </w:p>
    <w:p w14:paraId="07732D04"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Dynamic Light Scattering for Particle Size Determination - HORIBA, 檢索日期：4月 22, 2026， </w:t>
      </w:r>
      <w:hyperlink r:id="rId48">
        <w:r w:rsidR="006F18F8">
          <w:rPr>
            <w:rFonts w:ascii="Google Sans" w:eastAsia="Google Sans" w:hAnsi="Google Sans" w:cs="Google Sans"/>
            <w:color w:val="0000EE"/>
            <w:sz w:val="24"/>
            <w:szCs w:val="24"/>
            <w:u w:val="single"/>
          </w:rPr>
          <w:t>https://www.horiba.com/fileadmin/uploads/Scientific/Documents/PSA/Webinar_Slides/AP039.pdf</w:t>
        </w:r>
      </w:hyperlink>
    </w:p>
    <w:p w14:paraId="6892B42A"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WATER TREATMENT MANUALS - EPA.ie, 檢索日期：4月 22, 2026， </w:t>
      </w:r>
      <w:hyperlink r:id="rId49">
        <w:r w:rsidR="006F18F8">
          <w:rPr>
            <w:rFonts w:ascii="Google Sans" w:eastAsia="Google Sans" w:hAnsi="Google Sans" w:cs="Google Sans"/>
            <w:color w:val="0000EE"/>
            <w:sz w:val="24"/>
            <w:szCs w:val="24"/>
            <w:u w:val="single"/>
          </w:rPr>
          <w:t>https://www.epa.ie/publications/compliance--enforcement/drinking-water/advice--guidance/EPA_water_treatment_mgt_coag_flocc_clar2.pdf</w:t>
        </w:r>
      </w:hyperlink>
    </w:p>
    <w:p w14:paraId="5F16948F"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Stokes' Law Calculator, 檢索日期：4月 22, 2026， </w:t>
      </w:r>
      <w:hyperlink r:id="rId50">
        <w:r w:rsidR="006F18F8">
          <w:rPr>
            <w:rFonts w:ascii="Google Sans" w:eastAsia="Google Sans" w:hAnsi="Google Sans" w:cs="Google Sans"/>
            <w:color w:val="0000EE"/>
            <w:sz w:val="24"/>
            <w:szCs w:val="24"/>
            <w:u w:val="single"/>
          </w:rPr>
          <w:t>https://www.omnicalculator.com/physics/stokes-law</w:t>
        </w:r>
      </w:hyperlink>
    </w:p>
    <w:p w14:paraId="004E21F9"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Viscosity of Water - Anton Paar Wiki, 檢索日期：4月 22, 2026， </w:t>
      </w:r>
      <w:hyperlink r:id="rId51">
        <w:r w:rsidR="006F18F8">
          <w:rPr>
            <w:rFonts w:ascii="Google Sans" w:eastAsia="Google Sans" w:hAnsi="Google Sans" w:cs="Google Sans"/>
            <w:color w:val="0000EE"/>
            <w:sz w:val="24"/>
            <w:szCs w:val="24"/>
            <w:u w:val="single"/>
          </w:rPr>
          <w:t>https://wiki.anton-paar.com/en/water/</w:t>
        </w:r>
      </w:hyperlink>
    </w:p>
    <w:p w14:paraId="5079EFC6"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Vadose zone flushing of fertilizer tracked by isotopes of water and nitrate - PMC, 檢索日期：4月 22, 2026， </w:t>
      </w:r>
      <w:hyperlink r:id="rId52">
        <w:r w:rsidR="006F18F8">
          <w:rPr>
            <w:rFonts w:ascii="Google Sans" w:eastAsia="Google Sans" w:hAnsi="Google Sans" w:cs="Google Sans"/>
            <w:color w:val="0000EE"/>
            <w:sz w:val="24"/>
            <w:szCs w:val="24"/>
            <w:u w:val="single"/>
          </w:rPr>
          <w:t>https://pmc.ncbi.nlm.nih.gov/articles/PMC11636160/</w:t>
        </w:r>
      </w:hyperlink>
    </w:p>
    <w:p w14:paraId="70F0601C"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THERMAL PROPERTIES OF SOILS - Transportation Research Board (TRB), 檢索日期：4月 22, 2026， </w:t>
      </w:r>
      <w:hyperlink r:id="rId53">
        <w:r w:rsidR="006F18F8">
          <w:rPr>
            <w:rFonts w:ascii="Google Sans" w:eastAsia="Google Sans" w:hAnsi="Google Sans" w:cs="Google Sans"/>
            <w:color w:val="0000EE"/>
            <w:sz w:val="24"/>
            <w:szCs w:val="24"/>
            <w:u w:val="single"/>
          </w:rPr>
          <w:t>https://onlinepubs.trb.org/Onlinepubs/sr/sr2/sr2-015.pdf</w:t>
        </w:r>
      </w:hyperlink>
    </w:p>
    <w:p w14:paraId="50A410F3"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do I calculate the volumetric heat capacity of a wet soil through time? - ResearchGate, 檢索日期：4月 22, 2026， </w:t>
      </w:r>
      <w:hyperlink r:id="rId54">
        <w:r w:rsidR="006F18F8">
          <w:rPr>
            <w:rFonts w:ascii="Google Sans" w:eastAsia="Google Sans" w:hAnsi="Google Sans" w:cs="Google Sans"/>
            <w:color w:val="0000EE"/>
            <w:sz w:val="24"/>
            <w:szCs w:val="24"/>
            <w:u w:val="single"/>
          </w:rPr>
          <w:t>https://www.researchgate.net/post/How-do-I-calculate-the-volumetric-heat-capacity-of-a-wet-soil-through-time</w:t>
        </w:r>
      </w:hyperlink>
    </w:p>
    <w:p w14:paraId="412B2101"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Specific Heat and Volumetric Heat Capacity of Some Saudian Soils as affected by Moisture and Density - NAUN, 檢索日期：4月 22, 2026， </w:t>
      </w:r>
      <w:hyperlink r:id="rId55">
        <w:r w:rsidR="006F18F8">
          <w:rPr>
            <w:rFonts w:ascii="Google Sans" w:eastAsia="Google Sans" w:hAnsi="Google Sans" w:cs="Google Sans"/>
            <w:color w:val="0000EE"/>
            <w:sz w:val="24"/>
            <w:szCs w:val="24"/>
            <w:u w:val="single"/>
          </w:rPr>
          <w:t>https://www.naun.org/main/NAUN/materials/2020/a162018-008(2020).pdf</w:t>
        </w:r>
      </w:hyperlink>
    </w:p>
    <w:p w14:paraId="2E9DFE54"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國立臺灣大學工學院土木工程學系碩士論文黏土壓密參數多變數分布模型的建置Development of the m, 檢索日期：4月 22, 2026， </w:t>
      </w:r>
      <w:hyperlink r:id="rId56">
        <w:r w:rsidR="006F18F8">
          <w:rPr>
            <w:rFonts w:ascii="Google Sans" w:eastAsia="Google Sans" w:hAnsi="Google Sans" w:cs="Google Sans"/>
            <w:color w:val="0000EE"/>
            <w:sz w:val="24"/>
            <w:szCs w:val="24"/>
            <w:u w:val="single"/>
          </w:rPr>
          <w:t>https://tdr.lib.ntu.edu.tw/bitstream/123456789/699/1/ntu-108-1.pdf</w:t>
        </w:r>
      </w:hyperlink>
    </w:p>
    <w:p w14:paraId="7E32A39E" w14:textId="77777777" w:rsidR="006F18F8"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Water Viscosity Interactive Calculator - Firgelli Automations, 檢索日期：4月 22, 2026， </w:t>
      </w:r>
      <w:hyperlink r:id="rId57">
        <w:r w:rsidR="006F18F8">
          <w:rPr>
            <w:rFonts w:ascii="Google Sans" w:eastAsia="Google Sans" w:hAnsi="Google Sans" w:cs="Google Sans"/>
            <w:color w:val="0000EE"/>
            <w:sz w:val="24"/>
            <w:szCs w:val="24"/>
            <w:u w:val="single"/>
          </w:rPr>
          <w:t>https://www.firgelliauto.com/blogs/engineering-calculators/water-viscosity-calculator</w:t>
        </w:r>
      </w:hyperlink>
    </w:p>
    <w:sectPr w:rsidR="006F18F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A0BDFE-47F6-4082-BCC3-5D58F4DDBDDD}"/>
  </w:font>
  <w:font w:name="Google Sans">
    <w:charset w:val="00"/>
    <w:family w:val="auto"/>
    <w:pitch w:val="default"/>
    <w:embedRegular r:id="rId2" w:fontKey="{7845DED6-2C69-4CFF-A466-DD8C5D7585B0}"/>
    <w:embedBold r:id="rId3" w:fontKey="{04E56997-19FA-494E-B1E2-4B5FBF1F207D}"/>
    <w:embedItalic r:id="rId4" w:fontKey="{FBC5C94F-57B7-4C2F-AE68-3A5298AF7A05}"/>
  </w:font>
  <w:font w:name="Calibri">
    <w:panose1 w:val="020F0502020204030204"/>
    <w:charset w:val="00"/>
    <w:family w:val="swiss"/>
    <w:pitch w:val="variable"/>
    <w:sig w:usb0="E4002EFF" w:usb1="C000247B" w:usb2="00000009" w:usb3="00000000" w:csb0="000001FF" w:csb1="00000000"/>
    <w:embedRegular r:id="rId5" w:fontKey="{5B76D40D-5989-422E-B3AC-7208F6876C58}"/>
  </w:font>
  <w:font w:name="Cambria">
    <w:panose1 w:val="02040503050406030204"/>
    <w:charset w:val="00"/>
    <w:family w:val="roman"/>
    <w:pitch w:val="variable"/>
    <w:sig w:usb0="E00006FF" w:usb1="420024FF" w:usb2="02000000" w:usb3="00000000" w:csb0="0000019F" w:csb1="00000000"/>
    <w:embedRegular r:id="rId6" w:fontKey="{09316087-FBA3-4A1E-BF94-9ABFA9FD14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79E0"/>
    <w:multiLevelType w:val="multilevel"/>
    <w:tmpl w:val="B7585AA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8742459"/>
    <w:multiLevelType w:val="multilevel"/>
    <w:tmpl w:val="61068F8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DB7751A"/>
    <w:multiLevelType w:val="multilevel"/>
    <w:tmpl w:val="942611E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4F1357F"/>
    <w:multiLevelType w:val="multilevel"/>
    <w:tmpl w:val="2D3CE50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A6557E3"/>
    <w:multiLevelType w:val="multilevel"/>
    <w:tmpl w:val="DADCCC9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27046917">
    <w:abstractNumId w:val="2"/>
  </w:num>
  <w:num w:numId="2" w16cid:durableId="426729878">
    <w:abstractNumId w:val="0"/>
  </w:num>
  <w:num w:numId="3" w16cid:durableId="971179877">
    <w:abstractNumId w:val="3"/>
  </w:num>
  <w:num w:numId="4" w16cid:durableId="1794983783">
    <w:abstractNumId w:val="1"/>
  </w:num>
  <w:num w:numId="5" w16cid:durableId="272172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8F8"/>
    <w:rsid w:val="001F4FC9"/>
    <w:rsid w:val="006F18F8"/>
    <w:rsid w:val="00771E57"/>
    <w:rsid w:val="007F1577"/>
    <w:rsid w:val="00EB1B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1D35"/>
  <w15:docId w15:val="{95F27450-AD37-450A-A20C-94E04D99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theses.ncl.ac.uk/jspui/bitstream/10443/475/1/Miqdadi92.pdf" TargetMode="External"/><Relationship Id="rId21" Type="http://schemas.openxmlformats.org/officeDocument/2006/relationships/image" Target="media/image17.png"/><Relationship Id="rId34" Type="http://schemas.openxmlformats.org/officeDocument/2006/relationships/hyperlink" Target="https://pmc.ncbi.nlm.nih.gov/articles/PMC11283173/" TargetMode="External"/><Relationship Id="rId42" Type="http://schemas.openxmlformats.org/officeDocument/2006/relationships/hyperlink" Target="https://www.researchgate.net/figure/Determination-of-pH-of-zero-point-of-charge-pH-ZPC-of-the-adsorbent_fig1_328442718" TargetMode="External"/><Relationship Id="rId47" Type="http://schemas.openxmlformats.org/officeDocument/2006/relationships/hyperlink" Target="https://scholarworks.wmich.edu/engineer-senior-theses/66/" TargetMode="External"/><Relationship Id="rId50" Type="http://schemas.openxmlformats.org/officeDocument/2006/relationships/hyperlink" Target="https://www.omnicalculator.com/physics/stokes-law" TargetMode="External"/><Relationship Id="rId55" Type="http://schemas.openxmlformats.org/officeDocument/2006/relationships/hyperlink" Target="https://www.naun.org/main/NAUN/materials/2020/a162018-008(2020).pdf"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researchgate.net/publication/315178805_The_Soils_of_Taiwan" TargetMode="External"/><Relationship Id="rId37" Type="http://schemas.openxmlformats.org/officeDocument/2006/relationships/hyperlink" Target="https://engineering.unt.edu/mse/research/labs/lapom/sites/default/files/zetapotential.pdf" TargetMode="External"/><Relationship Id="rId40" Type="http://schemas.openxmlformats.org/officeDocument/2006/relationships/hyperlink" Target="https://pmc.ncbi.nlm.nih.gov/articles/PMC12607929/" TargetMode="External"/><Relationship Id="rId45" Type="http://schemas.openxmlformats.org/officeDocument/2006/relationships/hyperlink" Target="https://pubmed.ncbi.nlm.nih.gov/25036994/" TargetMode="External"/><Relationship Id="rId53" Type="http://schemas.openxmlformats.org/officeDocument/2006/relationships/hyperlink" Target="https://onlinepubs.trb.org/Onlinepubs/sr/sr2/sr2-015.pdf" TargetMode="External"/><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mdpi.com/2073-4395/15/12/2775" TargetMode="External"/><Relationship Id="rId43" Type="http://schemas.openxmlformats.org/officeDocument/2006/relationships/hyperlink" Target="https://scholarworks.wmich.edu/context/engineer-senior-theses/article/1034/viewcontent/197012_Chiu_K.pdf" TargetMode="External"/><Relationship Id="rId48" Type="http://schemas.openxmlformats.org/officeDocument/2006/relationships/hyperlink" Target="https://www.horiba.com/fileadmin/uploads/Scientific/Documents/PSA/Webinar_Slides/AP039.pdf" TargetMode="External"/><Relationship Id="rId56" Type="http://schemas.openxmlformats.org/officeDocument/2006/relationships/hyperlink" Target="https://tdr.lib.ntu.edu.tw/bitstream/123456789/699/1/ntu-108-1.pdf" TargetMode="External"/><Relationship Id="rId8" Type="http://schemas.openxmlformats.org/officeDocument/2006/relationships/image" Target="media/image4.png"/><Relationship Id="rId51" Type="http://schemas.openxmlformats.org/officeDocument/2006/relationships/hyperlink" Target="https://wiki.anton-paar.com/en/water/"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researchgate.net/publication/241732241_Factors_affecting_zero_point_of_charge_ZPC_of_variable_charge_soils" TargetMode="External"/><Relationship Id="rId38" Type="http://schemas.openxmlformats.org/officeDocument/2006/relationships/hyperlink" Target="https://collections.lib.utah.edu/dl_files/1a/e3/1ae36eb76c82bee8154ffbb6184cf208a03e0ba5.pdf" TargetMode="External"/><Relationship Id="rId46" Type="http://schemas.openxmlformats.org/officeDocument/2006/relationships/hyperlink" Target="https://pubmed.ncbi.nlm.nih.gov/15211488/" TargetMode="External"/><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hyperlink" Target="https://www.frontiersin.org/journals/energy-research/articles/10.3389/fenrg.2021.796786/full" TargetMode="External"/><Relationship Id="rId54" Type="http://schemas.openxmlformats.org/officeDocument/2006/relationships/hyperlink" Target="https://www.researchgate.net/post/How-do-I-calculate-the-volumetric-heat-capacity-of-a-wet-soil-through-tim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eureka.patsnap.com/report-how-to-measure-kaolinite-dispersion-using-zeta-potential" TargetMode="External"/><Relationship Id="rId49" Type="http://schemas.openxmlformats.org/officeDocument/2006/relationships/hyperlink" Target="https://www.epa.ie/publications/compliance--enforcement/drinking-water/advice--guidance/EPA_water_treatment_mgt_coag_flocc_clar2.pdf" TargetMode="External"/><Relationship Id="rId57" Type="http://schemas.openxmlformats.org/officeDocument/2006/relationships/hyperlink" Target="https://www.firgelliauto.com/blogs/engineering-calculators/water-viscosity-calculator"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www.coastalwiki.org/wiki/Flocculation_cohesive_sediments" TargetMode="External"/><Relationship Id="rId52" Type="http://schemas.openxmlformats.org/officeDocument/2006/relationships/hyperlink" Target="https://pmc.ncbi.nlm.nih.gov/articles/PMC1163616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3591</Words>
  <Characters>20470</Characters>
  <Application>Microsoft Office Word</Application>
  <DocSecurity>0</DocSecurity>
  <Lines>170</Lines>
  <Paragraphs>48</Paragraphs>
  <ScaleCrop>false</ScaleCrop>
  <Company/>
  <LinksUpToDate>false</LinksUpToDate>
  <CharactersWithSpaces>24013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劉懿鋆 Randy.Liu</cp:lastModifiedBy>
  <cp:revision>3</cp:revision>
  <dcterms:created xsi:type="dcterms:W3CDTF">2026-04-22T02:33:00Z</dcterms:created>
  <dcterms:modified xsi:type="dcterms:W3CDTF">2026-04-22T02:33:00Z</dcterms:modified>
</cp:coreProperties>
</file>