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Programming I — Subject Description</w:t>
      </w:r>
    </w:p>
    <w:p>
      <w:r>
        <w:rPr>
          <w:sz w:val="20"/>
        </w:rPr>
        <w:t>Subject ID: SUB001</w:t>
      </w:r>
    </w:p>
    <w:p>
      <w:r>
        <w:rPr>
          <w:sz w:val="20"/>
        </w:rPr>
        <w:t>Department: Sciences and Technology</w:t>
      </w:r>
    </w:p>
    <w:p>
      <w:r>
        <w:rPr>
          <w:sz w:val="20"/>
        </w:rPr>
        <w:t>ECTS: 6</w:t>
      </w:r>
    </w:p>
    <w:p/>
    <w:p>
      <w:r>
        <w:rPr>
          <w:sz w:val="22"/>
        </w:rPr>
        <w:t>The subject "Programming I" is delivered by the Department of Sciences and Technology. Carrying a weight of 6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