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Business Communication — Subject Description</w:t>
      </w:r>
    </w:p>
    <w:p>
      <w:r>
        <w:rPr>
          <w:sz w:val="20"/>
        </w:rPr>
        <w:t>Subject ID: SUB006</w:t>
      </w:r>
    </w:p>
    <w:p>
      <w:r>
        <w:rPr>
          <w:sz w:val="20"/>
        </w:rPr>
        <w:t>Department: Sciences and Technology</w:t>
      </w:r>
    </w:p>
    <w:p>
      <w:r>
        <w:rPr>
          <w:sz w:val="20"/>
        </w:rPr>
        <w:t>ECTS: 8</w:t>
      </w:r>
    </w:p>
    <w:p/>
    <w:p>
      <w:r>
        <w:rPr>
          <w:sz w:val="22"/>
        </w:rPr>
        <w:t>The subject "Business Communication" is delivered by the Department of Sciences and Technology. Carrying a weight of 8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