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Computer Networks — Subject Description</w:t>
      </w:r>
    </w:p>
    <w:p>
      <w:r>
        <w:rPr>
          <w:sz w:val="20"/>
        </w:rPr>
        <w:t>Subject ID: SUB007</w:t>
      </w:r>
    </w:p>
    <w:p>
      <w:r>
        <w:rPr>
          <w:sz w:val="20"/>
        </w:rPr>
        <w:t>Department: Arts and Communication</w:t>
      </w:r>
    </w:p>
    <w:p>
      <w:r>
        <w:rPr>
          <w:sz w:val="20"/>
        </w:rPr>
        <w:t>ECTS: 8</w:t>
      </w:r>
    </w:p>
    <w:p/>
    <w:p>
      <w:r>
        <w:rPr>
          <w:sz w:val="22"/>
        </w:rPr>
        <w:t>The subject "Computer Networks" is delivered by the Department of Arts and Communication. Carrying a weight of 8 ECTS, the unit provides a rigorous engagement with foundational and applied concepts relevant to the area. Learning and assessment activities are aligned to promote critical inquiry, conceptual clarity, and the progressive attainment of intended learning outcomes.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