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Financial Accounting — Subject Description</w:t>
      </w:r>
    </w:p>
    <w:p>
      <w:r>
        <w:rPr>
          <w:sz w:val="20"/>
        </w:rPr>
        <w:t>Subject ID: SUB010</w:t>
      </w:r>
    </w:p>
    <w:p>
      <w:r>
        <w:rPr>
          <w:sz w:val="20"/>
        </w:rPr>
        <w:t>Department: Arts and Communication</w:t>
      </w:r>
    </w:p>
    <w:p>
      <w:r>
        <w:rPr>
          <w:sz w:val="20"/>
        </w:rPr>
        <w:t>ECTS: 4</w:t>
      </w:r>
    </w:p>
    <w:p/>
    <w:p>
      <w:r>
        <w:rPr>
          <w:sz w:val="22"/>
        </w:rPr>
        <w:t>The subject "Financial Accounting" is delivered by the Department of Arts and Communication. Carrying a weight of 4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