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Organizational Behavior — Subject Description</w:t>
      </w:r>
    </w:p>
    <w:p>
      <w:r>
        <w:rPr>
          <w:sz w:val="20"/>
        </w:rPr>
        <w:t>Subject ID: SUB012</w:t>
      </w:r>
    </w:p>
    <w:p>
      <w:r>
        <w:rPr>
          <w:sz w:val="20"/>
        </w:rPr>
        <w:t>Department: Communication and Media</w:t>
      </w:r>
    </w:p>
    <w:p>
      <w:r>
        <w:rPr>
          <w:sz w:val="20"/>
        </w:rPr>
        <w:t>ECTS: 6</w:t>
      </w:r>
    </w:p>
    <w:p/>
    <w:p>
      <w:r>
        <w:rPr>
          <w:sz w:val="22"/>
        </w:rPr>
        <w:t>The subject "Organizational Behavior" is delivered by the Department of Communication and Media. Carrying a weight of 6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