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University Legal and Governance Regulations (Formal Template – Portugal)</w:t>
      </w:r>
    </w:p>
    <w:p>
      <w:r>
        <w:rPr>
          <w:sz w:val="20"/>
        </w:rPr>
        <w:t>This document provides a formal template of university statutes and regulations aligned with the Portuguese legal framework. It is intended for institutional drafting purposes and does not constitute legal advice.</w:t>
      </w:r>
    </w:p>
    <w:p/>
    <w:p>
      <w:r>
        <w:rPr>
          <w:b/>
          <w:sz w:val="26"/>
        </w:rPr>
        <w:t>Preamble</w:t>
      </w:r>
    </w:p>
    <w:p>
      <w:r>
        <w:rPr>
          <w:sz w:val="22"/>
        </w:rPr>
        <w:t>These Regulations establish the legal and governance framework of the University (hereinafter, the "University"), defining its mission, principles, organisational model, academic regime, quality assurance, and rights and duties of its members. They are adopted pursuant to Law No. 62/2007, of 10 September (Regime Jurídico das Instituições de Ensino Superior – RJIES), and subsequent applicable legislation, within the scope of institutional autonomy, academic freedom and public service.</w:t>
      </w:r>
    </w:p>
    <w:p/>
    <w:p>
      <w:r>
        <w:rPr>
          <w:b/>
          <w:sz w:val="26"/>
        </w:rPr>
        <w:t>Article 1 – Legal Basis and Scope</w:t>
      </w:r>
    </w:p>
    <w:p>
      <w:r>
        <w:rPr>
          <w:sz w:val="22"/>
        </w:rPr>
        <w:t>1. These Regulations are founded on RJIES and applicable national and European legislation governing higher education, qualifications frameworks, quality assurance, data protection and equality and non-discrimination.</w:t>
      </w:r>
    </w:p>
    <w:p>
      <w:r>
        <w:rPr>
          <w:sz w:val="22"/>
        </w:rPr>
        <w:t>2. They apply to all organic units, research centres, services and members of the University community, including students, academic and non-academic staff, and external collaborators.</w:t>
      </w:r>
    </w:p>
    <w:p/>
    <w:p>
      <w:r>
        <w:rPr>
          <w:b/>
          <w:sz w:val="26"/>
        </w:rPr>
        <w:t>Article 2 – Mission, Values and Objectives</w:t>
      </w:r>
    </w:p>
    <w:p>
      <w:r>
        <w:rPr>
          <w:sz w:val="22"/>
        </w:rPr>
        <w:t>1. The University pursues the public interest by providing advanced education, promoting scientific and artistic research, and fostering knowledge transfer and innovation in accordance with internationally recognised standards.</w:t>
      </w:r>
    </w:p>
    <w:p>
      <w:r>
        <w:rPr>
          <w:sz w:val="22"/>
        </w:rPr>
        <w:t>2. The University upholds academic freedom, integrity, collegiality, social responsibility, inclusion, and the pursuit of excellence.</w:t>
      </w:r>
    </w:p>
    <w:p>
      <w:r>
        <w:rPr>
          <w:sz w:val="22"/>
        </w:rPr>
        <w:t>3. Objectives include: (a) offering high-quality study cycles; (b) promoting research and interdisciplinary collaboration; (c) extending services to society; (d) ensuring mobility and internationalisation; (e) supporting lifelong learning.</w:t>
      </w:r>
    </w:p>
    <w:p/>
    <w:p>
      <w:r>
        <w:rPr>
          <w:b/>
          <w:sz w:val="26"/>
        </w:rPr>
        <w:t>Article 3 – System and Degrees</w:t>
      </w:r>
    </w:p>
    <w:p>
      <w:r>
        <w:rPr>
          <w:sz w:val="22"/>
        </w:rPr>
        <w:t>1. The University organises its study cycles according to the Bologna Process, in three cycles: Licenciado (Bachelor) – typically 180–240 ECTS; Mestre (Master) – typically 90–120 ECTS; Doutor (Doctor).</w:t>
      </w:r>
    </w:p>
    <w:p>
      <w:r>
        <w:rPr>
          <w:sz w:val="22"/>
        </w:rPr>
        <w:t>2. Study cycles and qualifications are referenced to the National Qualifications Framework (QNQ) and aligned with the European Qualifications Framework (EQF).</w:t>
      </w:r>
    </w:p>
    <w:p>
      <w:r>
        <w:rPr>
          <w:sz w:val="22"/>
        </w:rPr>
        <w:t>3. Recognition of foreign degrees and diplomas follows Decree-Law No. 66/2018 and respective regulations.</w:t>
      </w:r>
    </w:p>
    <w:p/>
    <w:p>
      <w:r>
        <w:rPr>
          <w:b/>
          <w:sz w:val="26"/>
        </w:rPr>
        <w:t>Article 4 – Governance Bodies</w:t>
      </w:r>
    </w:p>
    <w:p>
      <w:r>
        <w:rPr>
          <w:sz w:val="22"/>
        </w:rPr>
        <w:t>1. The University’s governance bodies are: (a) the General Council; (b) the Rector; (c) the Management Board; (d) the Academic Council; without prejudice to other advisory or supervisory bodies as provided in the Statutes.</w:t>
      </w:r>
    </w:p>
    <w:p>
      <w:r>
        <w:rPr>
          <w:sz w:val="22"/>
        </w:rPr>
        <w:t>2. The General Council defines strategic guidelines, approves statutes and the plan and budget, and oversees the Rector’s performance.</w:t>
      </w:r>
    </w:p>
    <w:p>
      <w:r>
        <w:rPr>
          <w:sz w:val="22"/>
        </w:rPr>
        <w:t>3. The Rector represents and directs the University, ensures execution of the strategic plan, and appoints and oversees the Management Board.</w:t>
      </w:r>
    </w:p>
    <w:p>
      <w:r>
        <w:rPr>
          <w:sz w:val="22"/>
        </w:rPr>
        <w:t>4. The Management Board is responsible for administrative, asset and financial management, in accordance with public sector and foundation regulations as applicable.</w:t>
      </w:r>
    </w:p>
    <w:p>
      <w:r>
        <w:rPr>
          <w:sz w:val="22"/>
        </w:rPr>
        <w:t>5. The Academic Council defines academic policy, including education, research and quality assurance matters, and issues binding or advisory opinions within its remit.</w:t>
      </w:r>
    </w:p>
    <w:p/>
    <w:p>
      <w:r>
        <w:rPr>
          <w:b/>
          <w:sz w:val="26"/>
        </w:rPr>
        <w:t>Article 5 – Autonomy and Accountability</w:t>
      </w:r>
    </w:p>
    <w:p>
      <w:r>
        <w:rPr>
          <w:sz w:val="22"/>
        </w:rPr>
        <w:t>1. The University enjoys statutory, scientific, pedagogical, administrative, financial and disciplinary autonomy within the limits of the law.</w:t>
      </w:r>
    </w:p>
    <w:p>
      <w:r>
        <w:rPr>
          <w:sz w:val="22"/>
        </w:rPr>
        <w:t>2. Autonomy is exercised with transparency and accountability, subject to public supervision and external evaluation, including accreditation procedures.</w:t>
      </w:r>
    </w:p>
    <w:p/>
    <w:p>
      <w:r>
        <w:rPr>
          <w:b/>
          <w:sz w:val="26"/>
        </w:rPr>
        <w:t>Article 6 – Organic Units and Services</w:t>
      </w:r>
    </w:p>
    <w:p>
      <w:r>
        <w:rPr>
          <w:sz w:val="22"/>
        </w:rPr>
        <w:t>1. Faculties, schools, departments and research units are established by the General Council upon proposal of the Rector, following academic evaluation and financial sustainability analysis.</w:t>
      </w:r>
    </w:p>
    <w:p>
      <w:r>
        <w:rPr>
          <w:sz w:val="22"/>
        </w:rPr>
        <w:t>2. Central and support services ensure academic, research, library, IT, HR, procurement, legal and financial functions in accordance with internal regulations.</w:t>
      </w:r>
    </w:p>
    <w:p/>
    <w:p>
      <w:r>
        <w:rPr>
          <w:b/>
          <w:sz w:val="26"/>
        </w:rPr>
        <w:t>Article 7 – Academic Regulations</w:t>
      </w:r>
    </w:p>
    <w:p>
      <w:r>
        <w:rPr>
          <w:sz w:val="22"/>
        </w:rPr>
        <w:t>1. Admission, enrolment, curricular structures, ECTS allocation, assessment and grading shall be governed by specific regulations approved by the Academic Council, ensuring fairness, transparency and alignment with Bologna principles.</w:t>
      </w:r>
    </w:p>
    <w:p>
      <w:r>
        <w:rPr>
          <w:sz w:val="22"/>
        </w:rPr>
        <w:t>2. Student assessment may include examinations, continuous assessment, projects, laboratory and field work, in accordance with the learning outcomes and workload specified for each course unit.</w:t>
      </w:r>
    </w:p>
    <w:p>
      <w:r>
        <w:rPr>
          <w:sz w:val="22"/>
        </w:rPr>
        <w:t>3. Credit transfer and recognition follow national and European mobility instruments and institutional rules.</w:t>
      </w:r>
    </w:p>
    <w:p/>
    <w:p>
      <w:r>
        <w:rPr>
          <w:b/>
          <w:sz w:val="26"/>
        </w:rPr>
        <w:t>Article 8 – Quality Assurance</w:t>
      </w:r>
    </w:p>
    <w:p>
      <w:r>
        <w:rPr>
          <w:sz w:val="22"/>
        </w:rPr>
        <w:t>1. The University maintains an internal quality assurance system covering teaching, research, services and governance, aligned with the Standards and Guidelines for Quality Assurance in the European Higher Education Area (ESG).</w:t>
      </w:r>
    </w:p>
    <w:p>
      <w:r>
        <w:rPr>
          <w:sz w:val="22"/>
        </w:rPr>
        <w:t>2. Study cycles and institutions are subject to external assessment and accreditation by the national quality agency (A3ES).</w:t>
      </w:r>
    </w:p>
    <w:p/>
    <w:p>
      <w:r>
        <w:rPr>
          <w:b/>
          <w:sz w:val="26"/>
        </w:rPr>
        <w:t>Article 9 – Research Integrity and Ethics</w:t>
      </w:r>
    </w:p>
    <w:p>
      <w:r>
        <w:rPr>
          <w:sz w:val="22"/>
        </w:rPr>
        <w:t>1. Research activities adhere to recognised standards of integrity, including honesty, objectivity, transparency, accountability and respect for participants and society.</w:t>
      </w:r>
    </w:p>
    <w:p>
      <w:r>
        <w:rPr>
          <w:sz w:val="22"/>
        </w:rPr>
        <w:t>2. The University shall maintain ethics oversight mechanisms and procedures for handling allegations of misconduct, data management and open science practices, in accordance with applicable law and funder policies.</w:t>
      </w:r>
    </w:p>
    <w:p/>
    <w:p>
      <w:r>
        <w:rPr>
          <w:b/>
          <w:sz w:val="26"/>
        </w:rPr>
        <w:t>Article 10 – Rights and Duties</w:t>
      </w:r>
    </w:p>
    <w:p>
      <w:r>
        <w:rPr>
          <w:sz w:val="22"/>
        </w:rPr>
        <w:t>1. Members of the University community have the right to academic freedom, due process, non-discrimination and participation in governance, within the limits of institutional rules.</w:t>
      </w:r>
    </w:p>
    <w:p>
      <w:r>
        <w:rPr>
          <w:sz w:val="22"/>
        </w:rPr>
        <w:t>2. Duties include compliance with statutes and regulations, integrity in academic and professional conduct, respect for intellectual property, confidentiality where applicable, and proper use of University resources.</w:t>
      </w:r>
    </w:p>
    <w:p/>
    <w:p>
      <w:r>
        <w:rPr>
          <w:b/>
          <w:sz w:val="26"/>
        </w:rPr>
        <w:t>Article 11 – Disciplinary Regime</w:t>
      </w:r>
    </w:p>
    <w:p>
      <w:r>
        <w:rPr>
          <w:sz w:val="22"/>
        </w:rPr>
        <w:t>1. Disciplinary infractions by staff and students are addressed under the disciplinary autonomy of the University and relevant national legislation, with proportional sanctions and the right to defence and appeal.</w:t>
      </w:r>
    </w:p>
    <w:p>
      <w:r>
        <w:rPr>
          <w:sz w:val="22"/>
        </w:rPr>
        <w:t>2. Procedures shall ensure impartiality, timeliness, documentation and data protection compliance.</w:t>
      </w:r>
    </w:p>
    <w:p/>
    <w:p>
      <w:r>
        <w:rPr>
          <w:b/>
          <w:sz w:val="26"/>
        </w:rPr>
        <w:t>Article 12 – Equality, Inclusion and Accessibility</w:t>
      </w:r>
    </w:p>
    <w:p>
      <w:r>
        <w:rPr>
          <w:sz w:val="22"/>
        </w:rPr>
        <w:t>1. The University prohibits discrimination on any unlawful grounds and promotes equal opportunities and inclusive learning and working environments.</w:t>
      </w:r>
    </w:p>
    <w:p>
      <w:r>
        <w:rPr>
          <w:sz w:val="22"/>
        </w:rPr>
        <w:t>2. Reasonable accommodations and accessibility measures shall be provided in accordance with applicable law and internal policy.</w:t>
      </w:r>
    </w:p>
    <w:p/>
    <w:p>
      <w:r>
        <w:rPr>
          <w:b/>
          <w:sz w:val="26"/>
        </w:rPr>
        <w:t>Article 13 – Data Protection and Information Security</w:t>
      </w:r>
    </w:p>
    <w:p>
      <w:r>
        <w:rPr>
          <w:sz w:val="22"/>
        </w:rPr>
        <w:t>1. Personal data shall be processed lawfully, fairly and transparently, for specified purposes, with appropriate technical and organisational measures in place.</w:t>
      </w:r>
    </w:p>
    <w:p>
      <w:r>
        <w:rPr>
          <w:sz w:val="22"/>
        </w:rPr>
        <w:t>2. The University shall appoint a Data Protection Officer and adopt internal rules on records management, retention and information security proportionate to risk.</w:t>
      </w:r>
    </w:p>
    <w:p/>
    <w:p>
      <w:r>
        <w:rPr>
          <w:b/>
          <w:sz w:val="26"/>
        </w:rPr>
        <w:t>Article 14 – Intellectual Property and Knowledge Transfer</w:t>
      </w:r>
    </w:p>
    <w:p>
      <w:r>
        <w:rPr>
          <w:sz w:val="22"/>
        </w:rPr>
        <w:t>1. Intellectual property arising from research and innovation shall be governed by applicable law and internal policy, ensuring fair attribution of rights and benefits to inventors, authors and the University.</w:t>
      </w:r>
    </w:p>
    <w:p>
      <w:r>
        <w:rPr>
          <w:sz w:val="22"/>
        </w:rPr>
        <w:t>2. Technology transfer and partnerships shall uphold academic integrity, public interest and transparency.</w:t>
      </w:r>
    </w:p>
    <w:p/>
    <w:p>
      <w:r>
        <w:rPr>
          <w:b/>
          <w:sz w:val="26"/>
        </w:rPr>
        <w:t>Article 15 – Financial Regime</w:t>
      </w:r>
    </w:p>
    <w:p>
      <w:r>
        <w:rPr>
          <w:sz w:val="22"/>
        </w:rPr>
        <w:t>1. The University adopts a multi-annual planning and budgeting framework, with internal control and audit mechanisms, and publishes annual accounts and reports.</w:t>
      </w:r>
    </w:p>
    <w:p>
      <w:r>
        <w:rPr>
          <w:sz w:val="22"/>
        </w:rPr>
        <w:t>2. Tuition and fees are approved by the competent bodies in accordance with the law, ensuring clarity of charges and exemptions or reductions where applicable.</w:t>
      </w:r>
    </w:p>
    <w:p/>
    <w:p>
      <w:r>
        <w:rPr>
          <w:b/>
          <w:sz w:val="26"/>
        </w:rPr>
        <w:t>Article 16 – Internationalisation and Mobility</w:t>
      </w:r>
    </w:p>
    <w:p>
      <w:r>
        <w:rPr>
          <w:sz w:val="22"/>
        </w:rPr>
        <w:t>1. The University promotes student and staff mobility and international cooperation, recognising learning and qualifications in accordance with national rules and the European Higher Education Area.</w:t>
      </w:r>
    </w:p>
    <w:p/>
    <w:p>
      <w:r>
        <w:rPr>
          <w:b/>
          <w:sz w:val="26"/>
        </w:rPr>
        <w:t>Article 17 – Final and Transitional Provisions</w:t>
      </w:r>
    </w:p>
    <w:p>
      <w:r>
        <w:rPr>
          <w:sz w:val="22"/>
        </w:rPr>
        <w:t>1. These Regulations enter into force on the date of their approval by the competent bodies and shall be reviewed periodically to ensure continued alignment with legislation and best practice.</w:t>
      </w:r>
    </w:p>
    <w:p>
      <w:r>
        <w:rPr>
          <w:sz w:val="22"/>
        </w:rPr>
        <w:t>2. In the event of conflict between these Regulations and mandatory legal provisions, the latter shall prevail.</w:t>
      </w:r>
    </w:p>
    <w:p/>
    <w:p>
      <w:r>
        <w:rPr>
          <w:b/>
          <w:sz w:val="26"/>
        </w:rPr>
        <w:t>References (Informative)</w:t>
      </w:r>
    </w:p>
    <w:p>
      <w:r>
        <w:rPr>
          <w:sz w:val="22"/>
        </w:rPr>
        <w:t>Law No. 62/2007, of 10 September (RJIES) — legal framework of higher education institutions.</w:t>
      </w:r>
    </w:p>
    <w:p>
      <w:r>
        <w:rPr>
          <w:sz w:val="22"/>
        </w:rPr>
        <w:t>Decree-Law No. 66/2018 — recognition of foreign degrees and diplomas.</w:t>
      </w:r>
    </w:p>
    <w:p>
      <w:r>
        <w:rPr>
          <w:sz w:val="22"/>
        </w:rPr>
        <w:t>National Qualifications Framework (QNQ) and European Qualifications Framework (EQF) guidance.</w:t>
      </w:r>
    </w:p>
    <w:p>
      <w:r>
        <w:rPr>
          <w:sz w:val="22"/>
        </w:rPr>
        <w:t>A3ES — external quality assurance and accreditation procedures.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