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Tahunan</w:t>
      </w:r>
    </w:p>
    <w:p w14:paraId="605A1BD3" w14:textId="77777777" w:rsidR="00C83A30" w:rsidRDefault="00000000">
      <w:pPr>
        <w:jc w:val="center"/>
      </w:pPr>
      <w:r>
        <w:t>Nomor : 800/     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Tahunan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PRASETYO HERI H., SKM.,M.Kes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196504301989031006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Pembina (IV/a)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Fungsional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RUMAH SAKIT DAERAH RYACUDU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12 Hari Kerja </w:t>
      </w:r>
      <w:r>
        <w:t xml:space="preserve">terhitung mulai tanggal </w:t>
      </w:r>
      <w:r>
        <w:rPr>
          <w:b/>
        </w:rPr>
        <w:t>06 Februari 2025</w:t>
      </w:r>
      <w:r>
        <w:t xml:space="preserve"> sampai dengan </w:t>
      </w:r>
      <w:r>
        <w:rPr>
          <w:b/>
        </w:rPr>
        <w:t xml:space="preserve">21 Februari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Tahunan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Tahunan,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Tahunan yang bersangkutan menjalani Cuti Tahunan dengan alamat Jl. Gelatik Tulung Mili Indah No. 03 Kotabumi.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Tahunan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04 Februari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