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1a365d"/>
          <w:sz w:val="24"/>
          <w:szCs w:val="24"/>
        </w:rPr>
      </w:pPr>
      <w:r w:rsidDel="00000000" w:rsidR="00000000" w:rsidRPr="00000000">
        <w:rPr>
          <w:color w:val="1a365d"/>
          <w:sz w:val="24"/>
          <w:szCs w:val="24"/>
          <w:rtl w:val="0"/>
        </w:rPr>
        <w:t xml:space="preserve">Ficha de la Empresa u Organización: Farmacias La Bomba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a. Giro de negocio principal y diversificación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Giro principal:</w:t>
      </w:r>
      <w:r w:rsidDel="00000000" w:rsidR="00000000" w:rsidRPr="00000000">
        <w:rPr>
          <w:sz w:val="24"/>
          <w:szCs w:val="24"/>
          <w:rtl w:val="0"/>
        </w:rPr>
        <w:t xml:space="preserve"> Venta al por menor (retail) de productos farmacéuticos, medicamentos con y sin receta médica (OTC).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Diversificación:</w:t>
      </w:r>
      <w:r w:rsidDel="00000000" w:rsidR="00000000" w:rsidRPr="00000000">
        <w:rPr>
          <w:sz w:val="24"/>
          <w:szCs w:val="24"/>
          <w:rtl w:val="0"/>
        </w:rPr>
        <w:t xml:space="preserve"> Venta de productos de cuidado personal, dermocosmética básica, vitaminas, suplementos, equipo médico menor, y servicios de conveniencia (inyecciones, toma de presión). Además, diversificación de canales de venta a través de su plataforma de e-commerce (App/Web) y alianzas con aplicaciones de delivery (UberEats, PedidosYa).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b. Sector de mercado al que pertenece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Pertenece al sector terciario (servicios y comercio), específicamente al subsector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Retail Farmacéutico</w:t>
      </w:r>
      <w:r w:rsidDel="00000000" w:rsidR="00000000" w:rsidRPr="00000000">
        <w:rPr>
          <w:sz w:val="24"/>
          <w:szCs w:val="24"/>
          <w:rtl w:val="0"/>
        </w:rPr>
        <w:t xml:space="preserve">. Dentro de este mercado, se enfoca en el segmento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Low-Cost</w:t>
      </w:r>
      <w:r w:rsidDel="00000000" w:rsidR="00000000" w:rsidRPr="00000000">
        <w:rPr>
          <w:sz w:val="24"/>
          <w:szCs w:val="24"/>
          <w:rtl w:val="0"/>
        </w:rPr>
        <w:t xml:space="preserve"> o de precios de descuento.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c. Estructura organizacional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 parte de la división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Cuestamoras Salud</w:t>
      </w:r>
      <w:r w:rsidDel="00000000" w:rsidR="00000000" w:rsidRPr="00000000">
        <w:rPr>
          <w:sz w:val="24"/>
          <w:szCs w:val="24"/>
          <w:rtl w:val="0"/>
        </w:rPr>
        <w:t xml:space="preserve"> (junto con Farmacias Fischel).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 estructura está centralizada en la cúpula corporativa y descentralizada en la operación de tiendas.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 Directivo:</w:t>
      </w:r>
      <w:r w:rsidDel="00000000" w:rsidR="00000000" w:rsidRPr="00000000">
        <w:rPr>
          <w:sz w:val="24"/>
          <w:szCs w:val="24"/>
          <w:rtl w:val="0"/>
        </w:rPr>
        <w:t xml:space="preserve"> Dirección General de Cuestamoras Salud.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 Gerencial/Corporativo:</w:t>
      </w:r>
      <w:r w:rsidDel="00000000" w:rsidR="00000000" w:rsidRPr="00000000">
        <w:rPr>
          <w:sz w:val="24"/>
          <w:szCs w:val="24"/>
          <w:rtl w:val="0"/>
        </w:rPr>
        <w:t xml:space="preserve"> Direcciones de Operaciones, Finanzas y Tesorería, Compras y Categorías (Centralizada para La Bomba y Fischel), Logística, TI y Recursos Humanos.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 Operativo (por sucursal):</w:t>
      </w:r>
      <w:r w:rsidDel="00000000" w:rsidR="00000000" w:rsidRPr="00000000">
        <w:rPr>
          <w:sz w:val="24"/>
          <w:szCs w:val="24"/>
          <w:rtl w:val="0"/>
        </w:rPr>
        <w:t xml:space="preserve"> Gerente/Administrador de Tienda, Regente Farmacéutico (obligatorio por ley), Supervisores de caja y Dependientes de farmacia.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d. Resumen estrategia de negocio y modelo de negocio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de Negocio: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Cash and Carry</w:t>
      </w:r>
      <w:r w:rsidDel="00000000" w:rsidR="00000000" w:rsidRPr="00000000">
        <w:rPr>
          <w:sz w:val="24"/>
          <w:szCs w:val="24"/>
          <w:rtl w:val="0"/>
        </w:rPr>
        <w:t xml:space="preserve"> (paga y lleva) de alta rotación y bajo margen unitario.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Estrategia de Negocio:</w:t>
      </w:r>
      <w:r w:rsidDel="00000000" w:rsidR="00000000" w:rsidRPr="00000000">
        <w:rPr>
          <w:sz w:val="24"/>
          <w:szCs w:val="24"/>
          <w:rtl w:val="0"/>
        </w:rPr>
        <w:t xml:space="preserve"> Liderazgo en costos. Su ventaja competitiva se basa en el modelo de "Pronto Pago": negocian grandes volúmenes de compra con los laboratorios y droguerías a cambio de pagar las facturas en plazos muy cortos (ej. a 7 o 15 días). Los grandes descuentos obtenidos en la compra se trasladan al precio final para el consumidor.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e. Descripción de las áreas funcionales y cantidad de colaboradores por área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(Distribución estándar estimada por giro de negocio)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Operaciones/Ventas (80% aprox.):</w:t>
      </w:r>
      <w:r w:rsidDel="00000000" w:rsidR="00000000" w:rsidRPr="00000000">
        <w:rPr>
          <w:sz w:val="24"/>
          <w:szCs w:val="24"/>
          <w:rtl w:val="0"/>
        </w:rPr>
        <w:t xml:space="preserve"> Personal en sucursales. Cada tienda opera con turnos rotativos que incluyen al menos 1 Regente Farmacéutico, 2-4 dependientes, cajeros y personal de seguridad/limpieza.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Supply Chain / Logística (10% aprox.):</w:t>
      </w:r>
      <w:r w:rsidDel="00000000" w:rsidR="00000000" w:rsidRPr="00000000">
        <w:rPr>
          <w:sz w:val="24"/>
          <w:szCs w:val="24"/>
          <w:rtl w:val="0"/>
        </w:rPr>
        <w:t xml:space="preserve"> Personal en centros de distribución, manejo de inventarios, choferes y despachadores.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Comercial y Compras (3% aprox.):</w:t>
      </w:r>
      <w:r w:rsidDel="00000000" w:rsidR="00000000" w:rsidRPr="00000000">
        <w:rPr>
          <w:sz w:val="24"/>
          <w:szCs w:val="24"/>
          <w:rtl w:val="0"/>
        </w:rPr>
        <w:t xml:space="preserve"> Negociadores, analistas de datos y category managers.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Finanzas y Tesorería (3% aprox.):</w:t>
      </w:r>
      <w:r w:rsidDel="00000000" w:rsidR="00000000" w:rsidRPr="00000000">
        <w:rPr>
          <w:sz w:val="24"/>
          <w:szCs w:val="24"/>
          <w:rtl w:val="0"/>
        </w:rPr>
        <w:t xml:space="preserve"> Encargados de gestionar el flujo de caja diario para cumplir con la estrategia de pronto pago.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 y Recursos Humanos (4% aprox.):</w:t>
      </w:r>
      <w:r w:rsidDel="00000000" w:rsidR="00000000" w:rsidRPr="00000000">
        <w:rPr>
          <w:sz w:val="24"/>
          <w:szCs w:val="24"/>
          <w:rtl w:val="0"/>
        </w:rPr>
        <w:t xml:space="preserve"> Soporte técnico, desarrollo, planillas y reclutamiento constante.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f. Descripción de los principales procesos sustantivos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Abastecimiento Estratégico:</w:t>
      </w:r>
      <w:r w:rsidDel="00000000" w:rsidR="00000000" w:rsidRPr="00000000">
        <w:rPr>
          <w:sz w:val="24"/>
          <w:szCs w:val="24"/>
          <w:rtl w:val="0"/>
        </w:rPr>
        <w:t xml:space="preserve"> Negociación constante con proveedores farmacéuticos para asegurar volumen y precios con descuento.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Inventario y Distribución:</w:t>
      </w:r>
      <w:r w:rsidDel="00000000" w:rsidR="00000000" w:rsidRPr="00000000">
        <w:rPr>
          <w:sz w:val="24"/>
          <w:szCs w:val="24"/>
          <w:rtl w:val="0"/>
        </w:rPr>
        <w:t xml:space="preserve"> Recepción en el Centro de Distribución (CEDI) y despacho diario/semanal a sucursales priorizando productos de alta demanda.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Dispensación y Venta en Mostrador:</w:t>
      </w:r>
      <w:r w:rsidDel="00000000" w:rsidR="00000000" w:rsidRPr="00000000">
        <w:rPr>
          <w:sz w:val="24"/>
          <w:szCs w:val="24"/>
          <w:rtl w:val="0"/>
        </w:rPr>
        <w:t xml:space="preserve"> Atención al cliente, validación de recetas médicas por parte del regente, facturación y cobro.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g. Aspectos de cumplimiento y regulación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Ministerio de Salud:</w:t>
      </w:r>
      <w:r w:rsidDel="00000000" w:rsidR="00000000" w:rsidRPr="00000000">
        <w:rPr>
          <w:sz w:val="24"/>
          <w:szCs w:val="24"/>
          <w:rtl w:val="0"/>
        </w:rPr>
        <w:t xml:space="preserve"> Permisos de funcionamiento y regulaciones sobre almacenamiento y dispensación de medicamentos (psicotrópicos/estupefacientes).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Colegio de Farmacéuticos de Costa Rica:</w:t>
      </w:r>
      <w:r w:rsidDel="00000000" w:rsidR="00000000" w:rsidRPr="00000000">
        <w:rPr>
          <w:sz w:val="24"/>
          <w:szCs w:val="24"/>
          <w:rtl w:val="0"/>
        </w:rPr>
        <w:t xml:space="preserve"> Exigencia de contar con un profesional farmacéutico (Regente) activo y presente.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Ministerio de Hacienda:</w:t>
      </w:r>
      <w:r w:rsidDel="00000000" w:rsidR="00000000" w:rsidRPr="00000000">
        <w:rPr>
          <w:sz w:val="24"/>
          <w:szCs w:val="24"/>
          <w:rtl w:val="0"/>
        </w:rPr>
        <w:t xml:space="preserve"> Cumplimiento de facturación electrónica y tributación.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MEIC:</w:t>
      </w:r>
      <w:r w:rsidDel="00000000" w:rsidR="00000000" w:rsidRPr="00000000">
        <w:rPr>
          <w:sz w:val="24"/>
          <w:szCs w:val="24"/>
          <w:rtl w:val="0"/>
        </w:rPr>
        <w:t xml:space="preserve"> Regulaciones de defensa al consumidor, publicidad de promociones y precios.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h. Principales competidores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Competencia Directa:</w:t>
      </w:r>
      <w:r w:rsidDel="00000000" w:rsidR="00000000" w:rsidRPr="00000000">
        <w:rPr>
          <w:sz w:val="24"/>
          <w:szCs w:val="24"/>
          <w:rtl w:val="0"/>
        </w:rPr>
        <w:t xml:space="preserve"> FarmaValue (principal rival en guerra de precios).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Competencia Indirecta:</w:t>
      </w:r>
      <w:r w:rsidDel="00000000" w:rsidR="00000000" w:rsidRPr="00000000">
        <w:rPr>
          <w:sz w:val="24"/>
          <w:szCs w:val="24"/>
          <w:rtl w:val="0"/>
        </w:rPr>
        <w:t xml:space="preserve"> Farmacias independientes de comunidad, Farmacias Sucre / Saba (precios intermedios), supermercados Walmart/Masxmenos.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i. Nivel respecto a uso de Sistemas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Nivel:</w:t>
      </w:r>
      <w:r w:rsidDel="00000000" w:rsidR="00000000" w:rsidRPr="00000000">
        <w:rPr>
          <w:sz w:val="24"/>
          <w:szCs w:val="24"/>
          <w:rtl w:val="0"/>
        </w:rPr>
        <w:t xml:space="preserve"> Muy Alto y Corporativo.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Operan sobre un ecosistema robusto basado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SAP (ERP)</w:t>
      </w:r>
      <w:r w:rsidDel="00000000" w:rsidR="00000000" w:rsidRPr="00000000">
        <w:rPr>
          <w:sz w:val="24"/>
          <w:szCs w:val="24"/>
          <w:rtl w:val="0"/>
        </w:rPr>
        <w:t xml:space="preserve"> para la gestión contable e inventarios.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SAP SuccessFactors</w:t>
      </w:r>
      <w:r w:rsidDel="00000000" w:rsidR="00000000" w:rsidRPr="00000000">
        <w:rPr>
          <w:sz w:val="24"/>
          <w:szCs w:val="24"/>
          <w:rtl w:val="0"/>
        </w:rPr>
        <w:t xml:space="preserve"> para la gestión de su fuerza laboral.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Implementan el sistema financiero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Kyriba</w:t>
      </w:r>
      <w:r w:rsidDel="00000000" w:rsidR="00000000" w:rsidRPr="00000000">
        <w:rPr>
          <w:sz w:val="24"/>
          <w:szCs w:val="24"/>
          <w:rtl w:val="0"/>
        </w:rPr>
        <w:t xml:space="preserve"> para el manejo crítico de la tesorería y liquidez (vital para el pronto pago).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Sistemas POS en tiempo real con bases de datos transaccionales (cumplimiento ACID) e integraciones API para e-commerce.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j. Factores críticos de éxito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Músculo Financiero:</w:t>
      </w:r>
      <w:r w:rsidDel="00000000" w:rsidR="00000000" w:rsidRPr="00000000">
        <w:rPr>
          <w:sz w:val="24"/>
          <w:szCs w:val="24"/>
          <w:rtl w:val="0"/>
        </w:rPr>
        <w:t xml:space="preserve"> Mantener liquidez constante para honrar los tratos de "pronto pago".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Ubicación Estratégica:</w:t>
      </w:r>
      <w:r w:rsidDel="00000000" w:rsidR="00000000" w:rsidRPr="00000000">
        <w:rPr>
          <w:sz w:val="24"/>
          <w:szCs w:val="24"/>
          <w:rtl w:val="0"/>
        </w:rPr>
        <w:t xml:space="preserve"> Locales en puntos de alto tránsito peatonal/vehicular.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Eficiencia Logística:</w:t>
      </w:r>
      <w:r w:rsidDel="00000000" w:rsidR="00000000" w:rsidRPr="00000000">
        <w:rPr>
          <w:sz w:val="24"/>
          <w:szCs w:val="24"/>
          <w:rtl w:val="0"/>
        </w:rPr>
        <w:t xml:space="preserve"> Evitar el desabastecimiento (quiebres de stock) de productos de primera necesidad.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Gastos Operativos:</w:t>
      </w:r>
      <w:r w:rsidDel="00000000" w:rsidR="00000000" w:rsidRPr="00000000">
        <w:rPr>
          <w:sz w:val="24"/>
          <w:szCs w:val="24"/>
          <w:rtl w:val="0"/>
        </w:rPr>
        <w:t xml:space="preserve"> Mantener locales austeros pero funcionales.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k. Aspectos Estratégicos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Estratégico:</w:t>
      </w:r>
      <w:r w:rsidDel="00000000" w:rsidR="00000000" w:rsidRPr="00000000">
        <w:rPr>
          <w:sz w:val="24"/>
          <w:szCs w:val="24"/>
          <w:rtl w:val="0"/>
        </w:rPr>
        <w:t xml:space="preserve"> Consolidar el liderazgo en participación de mercado (Market Share) por volumen en el segmento de bajo costo en Costa Rica, maximizando la rentabilidad a través de economías de escala.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Tácticos: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Expansión de la huella física (nuevas sucursales fuera del GAM).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Fortalecimiento de la omnicanalidad (App y delivery).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Optimización de la cadena de frío y logística.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color w:val="2b6cb0"/>
          <w:sz w:val="24"/>
          <w:szCs w:val="24"/>
        </w:rPr>
      </w:pPr>
      <w:r w:rsidDel="00000000" w:rsidR="00000000" w:rsidRPr="00000000">
        <w:rPr>
          <w:color w:val="2b6cb0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color w:val="4a5568"/>
          <w:sz w:val="24"/>
          <w:szCs w:val="24"/>
        </w:rPr>
      </w:pPr>
      <w:r w:rsidDel="00000000" w:rsidR="00000000" w:rsidRPr="00000000">
        <w:rPr>
          <w:color w:val="4a5568"/>
          <w:sz w:val="24"/>
          <w:szCs w:val="24"/>
          <w:rtl w:val="0"/>
        </w:rPr>
        <w:t xml:space="preserve">Artículos sobre Estrategia Comercial y Adquisición: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CentralAmericaData / La Nación.</w:t>
      </w:r>
      <w:r w:rsidDel="00000000" w:rsidR="00000000" w:rsidRPr="00000000">
        <w:rPr>
          <w:sz w:val="24"/>
          <w:szCs w:val="24"/>
          <w:rtl w:val="0"/>
        </w:rPr>
        <w:t xml:space="preserve"> (2017, 1 de febrero).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Costa Rica: Cadena de farmacias cambia de manos.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CRHoy.</w:t>
      </w:r>
      <w:r w:rsidDel="00000000" w:rsidR="00000000" w:rsidRPr="00000000">
        <w:rPr>
          <w:sz w:val="24"/>
          <w:szCs w:val="24"/>
          <w:rtl w:val="0"/>
        </w:rPr>
        <w:t xml:space="preserve"> (2017, 1 de febrero).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Cuestamoras, propietaria de La Fischel, compra cadena de farmacias La Bomba.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Teletica.</w:t>
      </w:r>
      <w:r w:rsidDel="00000000" w:rsidR="00000000" w:rsidRPr="00000000">
        <w:rPr>
          <w:sz w:val="24"/>
          <w:szCs w:val="24"/>
          <w:rtl w:val="0"/>
        </w:rPr>
        <w:t xml:space="preserve"> (2017, 1 de febrero).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Dueños de Fischel adquieren farmacias La Bomba.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4a5568"/>
          <w:sz w:val="24"/>
          <w:szCs w:val="24"/>
        </w:rPr>
      </w:pPr>
      <w:r w:rsidDel="00000000" w:rsidR="00000000" w:rsidRPr="00000000">
        <w:rPr>
          <w:color w:val="4a5568"/>
          <w:sz w:val="24"/>
          <w:szCs w:val="24"/>
          <w:rtl w:val="0"/>
        </w:rPr>
        <w:t xml:space="preserve">Referencias sobre Arquitectura Tecnológica y Sistemas (IT):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Instituto Tecnológico de Costa Rica (TEC).</w:t>
      </w:r>
      <w:r w:rsidDel="00000000" w:rsidR="00000000" w:rsidRPr="00000000">
        <w:rPr>
          <w:sz w:val="24"/>
          <w:szCs w:val="24"/>
          <w:rtl w:val="0"/>
        </w:rPr>
        <w:t xml:space="preserve"> (2016).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Elaboración del proceso de venta e implementación del sistema basado en las metodologías SAP Partner Sales y SAP Activate.</w:t>
      </w:r>
      <w:r w:rsidDel="00000000" w:rsidR="00000000" w:rsidRPr="00000000">
        <w:rPr>
          <w:sz w:val="24"/>
          <w:szCs w:val="24"/>
          <w:rtl w:val="0"/>
        </w:rPr>
        <w:t xml:space="preserve"> Repositorio TEC. (Documenta a Grupo Cuestamoras como cliente corporativo de la firma integradora Axento para el sistema SAP SuccessFactors).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Kyriba.</w:t>
      </w:r>
      <w:r w:rsidDel="00000000" w:rsidR="00000000" w:rsidRPr="00000000">
        <w:rPr>
          <w:sz w:val="24"/>
          <w:szCs w:val="24"/>
          <w:rtl w:val="0"/>
        </w:rPr>
        <w:t xml:space="preserve"> (2019).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Kyriba Expands in Brazil, Solidifying Growing LATAM Presence</w:t>
      </w:r>
      <w:r w:rsidDel="00000000" w:rsidR="00000000" w:rsidRPr="00000000">
        <w:rPr>
          <w:sz w:val="24"/>
          <w:szCs w:val="24"/>
          <w:rtl w:val="0"/>
        </w:rPr>
        <w:t xml:space="preserve"> [Comunicado corporativo oficial]. (Confirma el uso de la plataforma global de tesorería y liquidez por parte del grupo corporativo).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Serkes Consulting.</w:t>
      </w:r>
      <w:r w:rsidDel="00000000" w:rsidR="00000000" w:rsidRPr="00000000">
        <w:rPr>
          <w:sz w:val="24"/>
          <w:szCs w:val="24"/>
          <w:rtl w:val="0"/>
        </w:rPr>
        <w:t xml:space="preserve">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Transformación y modernización digital 100% remota.</w:t>
      </w:r>
      <w:r w:rsidDel="00000000" w:rsidR="00000000" w:rsidRPr="00000000">
        <w:rPr>
          <w:sz w:val="24"/>
          <w:szCs w:val="24"/>
          <w:rtl w:val="0"/>
        </w:rPr>
        <w:t xml:space="preserve"> (Caso de estudio técnico sobre la modernización de la infraestructura digital, procesos e integraciones Cloud para la división de Cuestamoras Salud, abarcando Farmacias La Bomba y Fischel).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