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840fe45799dfbd29ed988942c52d88854b4bad"/>
    <w:p>
      <w:pPr>
        <w:pStyle w:val="Heading1"/>
      </w:pPr>
      <w:r>
        <w:t xml:space="preserve">RLB Solar Solutions — Project Briefing Document</w:t>
      </w:r>
    </w:p>
    <w:p>
      <w:pPr>
        <w:pStyle w:val="FirstParagraph"/>
      </w:pPr>
      <w:r>
        <w:rPr>
          <w:iCs/>
          <w:i/>
        </w:rPr>
        <w:t xml:space="preserve">Last updated: June 29, 2026 | Bring this file into any new AI session to restore full context</w:t>
      </w:r>
    </w:p>
    <w:p>
      <w:r>
        <w:pict>
          <v:rect style="width:0;height:1.5pt" o:hralign="center" o:hrstd="t" o:hr="t"/>
        </w:pict>
      </w:r>
    </w:p>
    <w:bookmarkStart w:id="20" w:name="how-to-use-this-file"/>
    <w:p>
      <w:pPr>
        <w:pStyle w:val="Heading2"/>
      </w:pPr>
      <w:r>
        <w:t xml:space="preserve">HOW TO USE THIS FILE</w:t>
      </w:r>
    </w:p>
    <w:p>
      <w:pPr>
        <w:pStyle w:val="FirstParagraph"/>
      </w:pPr>
      <w:r>
        <w:t xml:space="preserve">Upload or paste this document at the start of any new Claude session and say: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 this briefing file and pick up where we left off on the RLB Solar Solutions grant project.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the-people"/>
    <w:p>
      <w:pPr>
        <w:pStyle w:val="Heading2"/>
      </w:pPr>
      <w:r>
        <w:t xml:space="preserve">1. THE PEOPLE</w:t>
      </w:r>
    </w:p>
    <w:p>
      <w:pPr>
        <w:pStyle w:val="FirstParagraph"/>
      </w:pPr>
      <w:r>
        <w:rPr>
          <w:bCs/>
          <w:b/>
        </w:rPr>
        <w:t xml:space="preserve">Randy Barclay</w:t>
      </w:r>
      <w:r>
        <w:t xml:space="preserve"> </w:t>
      </w:r>
      <w:r>
        <w:t xml:space="preserve">— Sole owner and Managing Member</w:t>
      </w:r>
      <w:r>
        <w:t xml:space="preserve"> </w:t>
      </w:r>
      <w:r>
        <w:t xml:space="preserve">- 40+ years precision manufacturing, CNC programming/machining (5-axis), ISO 9001 environments</w:t>
      </w:r>
      <w:r>
        <w:t xml:space="preserve"> </w:t>
      </w:r>
      <w:r>
        <w:t xml:space="preserve">- Oil/gas field background — directly relevant to remote work-site power market</w:t>
      </w:r>
      <w:r>
        <w:t xml:space="preserve"> </w:t>
      </w:r>
      <w:r>
        <w:t xml:space="preserve">- Currently employed full-time as machine shop manager at RMFI (Sunnyvale, CA)</w:t>
      </w:r>
      <w:r>
        <w:t xml:space="preserve"> </w:t>
      </w:r>
      <w:r>
        <w:t xml:space="preserve">- Planning to relocate to Idaho for RLB Solar operations</w:t>
      </w:r>
      <w:r>
        <w:t xml:space="preserve"> </w:t>
      </w:r>
      <w:r>
        <w:t xml:space="preserve">- Self-funded ~$50,000 into the patent and prototype development</w:t>
      </w:r>
      <w:r>
        <w:t xml:space="preserve"> </w:t>
      </w:r>
      <w:r>
        <w:t xml:space="preserve">- Email for RLB Solar business: rlbsolarsolutionsllc@gmail.com</w:t>
      </w:r>
    </w:p>
    <w:p>
      <w:pPr>
        <w:pStyle w:val="BodyText"/>
      </w:pPr>
      <w:r>
        <w:rPr>
          <w:bCs/>
          <w:b/>
        </w:rPr>
        <w:t xml:space="preserve">Samuel Anthony Dottle</w:t>
      </w:r>
      <w:r>
        <w:t xml:space="preserve"> </w:t>
      </w:r>
      <w:r>
        <w:t xml:space="preserve">(Sonora, CA) — Co-inventor, no ownership stake</w:t>
      </w:r>
      <w:r>
        <w:t xml:space="preserve"> </w:t>
      </w:r>
      <w:r>
        <w:t xml:space="preserve">- Named on patent out of respect; was paid for his design/electronics contribution</w:t>
      </w:r>
      <w:r>
        <w:t xml:space="preserve"> </w:t>
      </w:r>
      <w:r>
        <w:t xml:space="preserve">- Patent attorney structured the filing so Randy is sole owner (assignment handled at filing)</w:t>
      </w:r>
      <w:r>
        <w:t xml:space="preserve"> </w:t>
      </w:r>
      <w:r>
        <w:t xml:space="preserve">- No role in the business going forward — no equity, no grant paperwork needed from him</w:t>
      </w:r>
    </w:p>
    <w:p>
      <w:r>
        <w:pict>
          <v:rect style="width:0;height:1.5pt" o:hralign="center" o:hrstd="t" o:hr="t"/>
        </w:pict>
      </w:r>
    </w:p>
    <w:bookmarkEnd w:id="21"/>
    <w:bookmarkStart w:id="22" w:name="the-patent"/>
    <w:p>
      <w:pPr>
        <w:pStyle w:val="Heading2"/>
      </w:pPr>
      <w:r>
        <w:t xml:space="preserve">2. THE PATENT</w:t>
      </w:r>
    </w:p>
    <w:p>
      <w:pPr>
        <w:pStyle w:val="FirstParagraph"/>
      </w:pPr>
      <w:r>
        <w:rPr>
          <w:bCs/>
          <w:b/>
        </w:rPr>
        <w:t xml:space="preserve">US Patent No. 11,677,350 B2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Solar Panel Tilt Adjustment System</w:t>
      </w:r>
      <w:r>
        <w:t xml:space="preserve">”</w:t>
      </w:r>
      <w:r>
        <w:t xml:space="preserve"> </w:t>
      </w:r>
      <w:r>
        <w:t xml:space="preserve">- Filed: December 19, 2020 (priority to provisional filed December 20, 2019)</w:t>
      </w:r>
      <w:r>
        <w:t xml:space="preserve"> </w:t>
      </w:r>
      <w:r>
        <w:t xml:space="preserve">- Issued: June 13, 2023</w:t>
      </w:r>
      <w:r>
        <w:t xml:space="preserve"> </w:t>
      </w:r>
      <w:r>
        <w:t xml:space="preserve">- Expiration: Approximately December 2040</w:t>
      </w:r>
      <w:r>
        <w:t xml:space="preserve"> </w:t>
      </w:r>
      <w:r>
        <w:t xml:space="preserve">- Inventors: Randy Barclay, Samuel Anthony Dottle</w:t>
      </w:r>
      <w:r>
        <w:t xml:space="preserve"> </w:t>
      </w:r>
      <w:r>
        <w:t xml:space="preserve">- Owner: Randy Barclay (sole; assignment confirmed by patent attorney at filing)</w:t>
      </w:r>
      <w:r>
        <w:t xml:space="preserve"> </w:t>
      </w:r>
      <w:r>
        <w:t xml:space="preserve">- Claims: 9 total</w:t>
      </w:r>
    </w:p>
    <w:p>
      <w:pPr>
        <w:pStyle w:val="BodyText"/>
      </w:pPr>
      <w:r>
        <w:rPr>
          <w:bCs/>
          <w:b/>
        </w:rPr>
        <w:t xml:space="preserve">What it covers:</w:t>
      </w:r>
      <w:r>
        <w:t xml:space="preserve"> </w:t>
      </w:r>
      <w:r>
        <w:t xml:space="preserve">- Two independently motor-driven scissor-type lift jacks per solar panel</w:t>
      </w:r>
      <w:r>
        <w:t xml:space="preserve"> </w:t>
      </w:r>
      <w:r>
        <w:t xml:space="preserve">- Each jack has its own motor — raising one side more than the other enables true two-axis tilt (not just single-axis like existing products)</w:t>
      </w:r>
      <w:r>
        <w:t xml:space="preserve"> </w:t>
      </w:r>
      <w:r>
        <w:t xml:space="preserve">- Extremely low profile when stowed (~2 inches above roof level)</w:t>
      </w:r>
      <w:r>
        <w:t xml:space="preserve"> </w:t>
      </w:r>
      <w:r>
        <w:t xml:space="preserve">- Microcontroller + relay control architecture with light sensors for automatic sun-tracking (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mode)</w:t>
      </w:r>
      <w:r>
        <w:t xml:space="preserve"> </w:t>
      </w:r>
      <w:r>
        <w:t xml:space="preserve">- Scales to up to 6 panels per controller (FIG. 14)</w:t>
      </w:r>
      <w:r>
        <w:t xml:space="preserve"> </w:t>
      </w:r>
      <w:r>
        <w:t xml:space="preserve">- Remote operation capability</w:t>
      </w:r>
    </w:p>
    <w:p>
      <w:pPr>
        <w:pStyle w:val="BodyText"/>
      </w:pPr>
      <w:r>
        <w:rPr>
          <w:bCs/>
          <w:b/>
        </w:rPr>
        <w:t xml:space="preserve">What makes it novel over prior art:</w:t>
      </w:r>
      <w:r>
        <w:t xml:space="preserve"> </w:t>
      </w:r>
      <w:r>
        <w:t xml:space="preserve">- Existing products: manual tilt legs (single-axis, must climb on roof)</w:t>
      </w:r>
      <w:r>
        <w:t xml:space="preserve"> </w:t>
      </w:r>
      <w:r>
        <w:t xml:space="preserve">- This patent: dual independently-actuated jacks = true multi-directional tilt, automated, low-profile, remote-controlled</w:t>
      </w:r>
    </w:p>
    <w:p>
      <w:pPr>
        <w:pStyle w:val="BodyText"/>
      </w:pPr>
      <w:r>
        <w:rPr>
          <w:bCs/>
          <w:b/>
        </w:rPr>
        <w:t xml:space="preserve">IP gaps to address (action items):</w:t>
      </w:r>
      <w:r>
        <w:t xml:space="preserve"> </w:t>
      </w:r>
      <w:r>
        <w:t xml:space="preserve">- Confirm USPTO assignment search shows Sam’s assignment to Randy recorded (Patent Center / assignment.uspto.gov) — if not recorded, file the existing signed assignment (~$25-40)</w:t>
      </w:r>
      <w:r>
        <w:t xml:space="preserve"> </w:t>
      </w:r>
      <w:r>
        <w:t xml:space="preserve">- No Freedom-to-Operate (FTO) analysis conducted yet</w:t>
      </w:r>
      <w:r>
        <w:t xml:space="preserve"> </w:t>
      </w:r>
      <w:r>
        <w:t xml:space="preserve">- No trademarks filed</w:t>
      </w:r>
      <w:r>
        <w:t xml:space="preserve"> </w:t>
      </w:r>
      <w:r>
        <w:t xml:space="preserve">- Single patent family — continuation applications for modernized electronics/tracking architecture would strengthen position</w:t>
      </w:r>
    </w:p>
    <w:p>
      <w:r>
        <w:pict>
          <v:rect style="width:0;height:1.5pt" o:hralign="center" o:hrstd="t" o:hr="t"/>
        </w:pict>
      </w:r>
    </w:p>
    <w:bookmarkEnd w:id="22"/>
    <w:bookmarkStart w:id="23" w:name="the-company"/>
    <w:p>
      <w:pPr>
        <w:pStyle w:val="Heading2"/>
      </w:pPr>
      <w:r>
        <w:t xml:space="preserve">3. THE COMPANY</w:t>
      </w:r>
    </w:p>
    <w:p>
      <w:pPr>
        <w:pStyle w:val="FirstParagraph"/>
      </w:pPr>
      <w:r>
        <w:rPr>
          <w:bCs/>
          <w:b/>
        </w:rPr>
        <w:t xml:space="preserve">RLB Solar Solutions LLC</w:t>
      </w:r>
      <w:r>
        <w:t xml:space="preserve"> </w:t>
      </w:r>
      <w:r>
        <w:t xml:space="preserve">- Status: NOT YET FORMED as of June 29, 2026 — LLC formation is Immediate Action Item #1</w:t>
      </w:r>
      <w:r>
        <w:t xml:space="preserve"> </w:t>
      </w:r>
      <w:r>
        <w:t xml:space="preserve">- Structure: Single-member LLC (Randy is sole owner)</w:t>
      </w:r>
      <w:r>
        <w:t xml:space="preserve"> </w:t>
      </w:r>
      <w:r>
        <w:t xml:space="preserve">- Location: Idaho (where operations will be based)</w:t>
      </w:r>
      <w:r>
        <w:t xml:space="preserve"> </w:t>
      </w:r>
      <w:r>
        <w:t xml:space="preserve">- Stage: Pre-revenue; patent issued; original prototype built but uses outdated components</w:t>
      </w:r>
    </w:p>
    <w:p>
      <w:pPr>
        <w:pStyle w:val="BodyText"/>
      </w:pPr>
      <w:r>
        <w:rPr>
          <w:bCs/>
          <w:b/>
        </w:rPr>
        <w:t xml:space="preserve">Formation steps needed:</w:t>
      </w:r>
      <w:r>
        <w:t xml:space="preserve"> </w:t>
      </w:r>
      <w:r>
        <w:t xml:space="preserve">1. File Articles of Organization with Idaho Secretary of State (~$100-150, done online at sos.idaho.gov)</w:t>
      </w:r>
      <w:r>
        <w:t xml:space="preserve"> </w:t>
      </w:r>
      <w:r>
        <w:t xml:space="preserve">2. Get EIN from IRS (free, 10 minutes at irs.gov)</w:t>
      </w:r>
      <w:r>
        <w:t xml:space="preserve"> </w:t>
      </w:r>
      <w:r>
        <w:t xml:space="preserve">3. Open business bank account</w:t>
      </w:r>
      <w:r>
        <w:t xml:space="preserve"> </w:t>
      </w:r>
      <w:r>
        <w:t xml:space="preserve">4. Formally assign patent rights from Randy Barclay (individual) to RLB Solar Solutions LLC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Do NOT convert to C-corp yet. Single-member LLC is correct for now. C-corp conversion only needed if pursuing institutional VC or equity-based angel investment later.</w:t>
      </w:r>
    </w:p>
    <w:p>
      <w:r>
        <w:pict>
          <v:rect style="width:0;height:1.5pt" o:hralign="center" o:hrstd="t" o:hr="t"/>
        </w:pict>
      </w:r>
    </w:p>
    <w:bookmarkEnd w:id="23"/>
    <w:bookmarkStart w:id="24" w:name="the-technology-strategy"/>
    <w:p>
      <w:pPr>
        <w:pStyle w:val="Heading2"/>
      </w:pPr>
      <w:r>
        <w:t xml:space="preserve">4. THE TECHNOLOGY STRATEGY</w:t>
      </w:r>
    </w:p>
    <w:p>
      <w:pPr>
        <w:pStyle w:val="FirstParagraph"/>
      </w:pPr>
      <w:r>
        <w:rPr>
          <w:bCs/>
          <w:b/>
        </w:rPr>
        <w:t xml:space="preserve">Original prototype — field-tested, 5+ years real-world use:</w:t>
      </w:r>
      <w:r>
        <w:t xml:space="preserve"> </w:t>
      </w:r>
      <w:r>
        <w:t xml:space="preserve">- Mechanical switching</w:t>
      </w:r>
      <w:r>
        <w:t xml:space="preserve"> </w:t>
      </w:r>
      <w:r>
        <w:t xml:space="preserve">- Remote-control operation</w:t>
      </w:r>
      <w:r>
        <w:t xml:space="preserve"> </w:t>
      </w:r>
      <w:r>
        <w:t xml:space="preserve">- Dual-direction tilt capability</w:t>
      </w:r>
      <w:r>
        <w:t xml:space="preserve"> </w:t>
      </w:r>
      <w:r>
        <w:t xml:space="preserve">- Survived highway transport (CA-OR-ID routes), high wind, long-term outdoor exposure</w:t>
      </w:r>
      <w:r>
        <w:t xml:space="preserve"> </w:t>
      </w:r>
      <w:r>
        <w:t xml:space="preserve">- Key components: 80/20 aluminum extrusion (structural), Hayden motors (actuators), Victron charge controller integration</w:t>
      </w:r>
      <w:r>
        <w:t xml:space="preserve"> </w:t>
      </w:r>
      <w:r>
        <w:t xml:space="preserve">- Compatible with domestic solar panels including First Solar modules</w:t>
      </w:r>
    </w:p>
    <w:p>
      <w:pPr>
        <w:pStyle w:val="BodyText"/>
      </w:pPr>
      <w:r>
        <w:rPr>
          <w:bCs/>
          <w:b/>
        </w:rPr>
        <w:t xml:space="preserve">Next-generation upgrade plan:</w:t>
      </w:r>
      <w:r>
        <w:t xml:space="preserve"> </w:t>
      </w:r>
      <w:r>
        <w:t xml:space="preserve">- GPS-based solar positioning using astronomical algorithms (open-loop primary tracking)</w:t>
      </w:r>
      <w:r>
        <w:t xml:space="preserve"> </w:t>
      </w:r>
      <w:r>
        <w:t xml:space="preserve">- Light sensor array for fine-correction trim (hybrid approach — NOT pure sensor tracking)</w:t>
      </w:r>
      <w:r>
        <w:t xml:space="preserve"> </w:t>
      </w:r>
      <w:r>
        <w:t xml:space="preserve">- Modern microcontroller architecture (ESP32/Teensy-class, industrial grade)</w:t>
      </w:r>
      <w:r>
        <w:t xml:space="preserve"> </w:t>
      </w:r>
      <w:r>
        <w:t xml:space="preserve">- Position encoders and limit switches</w:t>
      </w:r>
      <w:r>
        <w:t xml:space="preserve"> </w:t>
      </w:r>
      <w:r>
        <w:t xml:space="preserve">- Telemetry and data collection (cellular/LoRa)</w:t>
      </w:r>
      <w:r>
        <w:t xml:space="preserve"> </w:t>
      </w:r>
      <w:r>
        <w:t xml:space="preserve">- Automatic stow mode (wind/transport safety)</w:t>
      </w:r>
      <w:r>
        <w:t xml:space="preserve"> </w:t>
      </w:r>
      <w:r>
        <w:t xml:space="preserve">- Single-axis tracking first (tilt axis oriented N-S at deployment = captures daily E-W sun sweep)</w:t>
      </w:r>
      <w:r>
        <w:t xml:space="preserve"> </w:t>
      </w:r>
      <w:r>
        <w:t xml:space="preserve">- Dual-axis (azimuth rotation via slewing bearing) as future second-generation variant — NOT first priority</w:t>
      </w:r>
    </w:p>
    <w:p>
      <w:pPr>
        <w:pStyle w:val="BodyText"/>
      </w:pPr>
      <w:r>
        <w:rPr>
          <w:bCs/>
          <w:b/>
        </w:rPr>
        <w:t xml:space="preserve">Why single-axis first:</w:t>
      </w:r>
      <w:r>
        <w:t xml:space="preserve"> </w:t>
      </w:r>
      <w:r>
        <w:t xml:space="preserve">- Single-axis captures ~65-75% of total possible tracking gain over fixed</w:t>
      </w:r>
      <w:r>
        <w:t xml:space="preserve"> </w:t>
      </w:r>
      <w:r>
        <w:t xml:space="preserve">- Dual-axis adds remaining 25-35% but requires slewing ring bearing, slip rings/cable-wrap, second motor, second locking system, added height — too complex for first product</w:t>
      </w:r>
      <w:r>
        <w:t xml:space="preserve"> </w:t>
      </w:r>
      <w:r>
        <w:t xml:space="preserve">- Start simple, generate field data, add azimuth rotation in Phase II</w:t>
      </w:r>
    </w:p>
    <w:p>
      <w:pPr>
        <w:pStyle w:val="BodyText"/>
      </w:pPr>
      <w:r>
        <w:rPr>
          <w:bCs/>
          <w:b/>
        </w:rPr>
        <w:t xml:space="preserve">Tracking technology decision (confirmed):</w:t>
      </w:r>
      <w:r>
        <w:t xml:space="preserve"> </w:t>
      </w:r>
      <w:r>
        <w:t xml:space="preserve">- GPS/astronomical open-loop = primary control (reliable, weather-independent, no exposed sensors to dirty)</w:t>
      </w:r>
      <w:r>
        <w:t xml:space="preserve"> </w:t>
      </w:r>
      <w:r>
        <w:t xml:space="preserve">- Light sensor trim = secondary correction layer</w:t>
      </w:r>
      <w:r>
        <w:t xml:space="preserve"> </w:t>
      </w:r>
      <w:r>
        <w:t xml:space="preserve">- Fall back to pure astronomical if sensors dirty/clouded — graceful degradation</w:t>
      </w:r>
      <w:r>
        <w:t xml:space="preserve"> </w:t>
      </w:r>
      <w:r>
        <w:t xml:space="preserve">- This is the architecture used by top-performing hybrid systems in research</w:t>
      </w:r>
    </w:p>
    <w:p>
      <w:r>
        <w:pict>
          <v:rect style="width:0;height:1.5pt" o:hralign="center" o:hrstd="t" o:hr="t"/>
        </w:pict>
      </w:r>
    </w:p>
    <w:bookmarkEnd w:id="24"/>
    <w:bookmarkStart w:id="25" w:name="the-commercial-positioning"/>
    <w:p>
      <w:pPr>
        <w:pStyle w:val="Heading2"/>
      </w:pPr>
      <w:r>
        <w:t xml:space="preserve">5. THE COMMERCIAL POSITIONING</w:t>
      </w:r>
    </w:p>
    <w:p>
      <w:pPr>
        <w:pStyle w:val="FirstParagraph"/>
      </w:pPr>
      <w:r>
        <w:rPr>
          <w:bCs/>
          <w:b/>
        </w:rPr>
        <w:t xml:space="preserve">Critical positioning decision:</w:t>
      </w:r>
      <w:r>
        <w:t xml:space="preserve"> </w:t>
      </w:r>
      <w:r>
        <w:t xml:space="preserve">This is NOT an RV accessory.</w:t>
      </w:r>
    </w:p>
    <w:p>
      <w:pPr>
        <w:pStyle w:val="BodyText"/>
      </w:pPr>
      <w:r>
        <w:rPr>
          <w:bCs/>
          <w:b/>
        </w:rPr>
        <w:t xml:space="preserve">Official positioning: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Mobile Autonomous Solar Positioning Platform (MASPP) — a low-profile, highway-survivable, dual-axis solar tracker for any transportable power asset that currently relies on diesel generators or undersized fixed solar.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RV use is the proof point, not the market.</w:t>
      </w:r>
      <w:r>
        <w:t xml:space="preserve"> </w:t>
      </w:r>
      <w:r>
        <w:t xml:space="preserve">Multi-year highway survival data (CA-OR-ID driving) is field validation that B2B/industrial buyers require but rarely see from competitors.</w:t>
      </w:r>
    </w:p>
    <w:p>
      <w:pPr>
        <w:pStyle w:val="BodyText"/>
      </w:pPr>
      <w:r>
        <w:rPr>
          <w:bCs/>
          <w:b/>
        </w:rPr>
        <w:t xml:space="preserve">Top target markets (ranked by priority):</w:t>
      </w:r>
    </w:p>
    <w:p>
      <w:pPr>
        <w:pStyle w:val="BodyText"/>
      </w:pPr>
      <w:r>
        <w:rPr>
          <w:bCs/>
          <w:b/>
        </w:rPr>
        <w:t xml:space="preserve">PRIMARY MARKETS FOR DOE SBIR PROPOSAL (emphasize these):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333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(Search &amp; Rescue) command trailers — western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DOE/emergency-resilience alignment; Randy has field background relevant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&amp; gas remote field offices / wellsite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Randy’s oil/gas background = credibility; high diesel delivery cost; high ability to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response / disaster relief trailers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$1.3B → $3.9B market; FEMA/DOE grant alignment; life-safety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communications trailers (COW/COLT)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diesel generator market ~$1.5-2.5B; fuel logistics 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environmental monitoring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USGS, EPA, state agencies; eliminate battery-swap site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surveillance trailers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refueling pain; licensing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service &amp; distribution trailers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 grid resilience funding direct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site trailers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market; moderate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Agricultural remote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USDA REAP grants; price-sensitive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Event/production mobile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pilot potential; limited grant fit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tracking beats adding more panels (for every market):</w:t>
      </w:r>
      <w:r>
        <w:t xml:space="preserve"> </w:t>
      </w:r>
      <w:r>
        <w:t xml:space="preserve">- These platforms have FIXED roof/deck area and weight budgets already at or near limits</w:t>
      </w:r>
      <w:r>
        <w:t xml:space="preserve"> </w:t>
      </w:r>
      <w:r>
        <w:t xml:space="preserve">- Tracking extracts more energy from the fixed footprint —</w:t>
      </w:r>
      <w:r>
        <w:t xml:space="preserve"> </w:t>
      </w:r>
      <w:r>
        <w:t xml:space="preserve">“</w:t>
      </w:r>
      <w:r>
        <w:t xml:space="preserve">add another panel</w:t>
      </w:r>
      <w:r>
        <w:t xml:space="preserve">”</w:t>
      </w:r>
      <w:r>
        <w:t xml:space="preserve"> </w:t>
      </w:r>
      <w:r>
        <w:t xml:space="preserve">is usually physically impossible</w:t>
      </w:r>
    </w:p>
    <w:p>
      <w:pPr>
        <w:pStyle w:val="BodyText"/>
      </w:pPr>
      <w:r>
        <w:rPr>
          <w:bCs/>
          <w:b/>
        </w:rPr>
        <w:t xml:space="preserve">Gap this fills (say this to reviewers):</w:t>
      </w:r>
      <w:r>
        <w:t xml:space="preserve"> </w:t>
      </w:r>
      <w:r>
        <w:t xml:space="preserve">- Utility-scale trackers: permanent, ground-mounted, heavy, never transported, not height-constrained</w:t>
      </w:r>
      <w:r>
        <w:t xml:space="preserve"> </w:t>
      </w:r>
      <w:r>
        <w:t xml:space="preserve">- RV/consumer trackers: cheap, consumer-grade, not built for B2B/industrial durability</w:t>
      </w:r>
      <w:r>
        <w:t xml:space="preserve"> </w:t>
      </w:r>
      <w:r>
        <w:t xml:space="preserve">- This platform: transportable, road-legal, highway-survivable, unattended-capable, industrial-grade —</w:t>
      </w:r>
      <w:r>
        <w:t xml:space="preserve"> </w:t>
      </w:r>
      <w:r>
        <w:rPr>
          <w:bCs/>
          <w:b/>
        </w:rPr>
        <w:t xml:space="preserve">this gap is currently unoccupied</w:t>
      </w:r>
    </w:p>
    <w:p>
      <w:pPr>
        <w:pStyle w:val="BodyText"/>
      </w:pPr>
      <w:r>
        <w:rPr>
          <w:bCs/>
          <w:b/>
        </w:rPr>
        <w:t xml:space="preserve">CRITICAL FRAMING SHIFT (discovered June 29, 2026):</w:t>
      </w:r>
      <w:r>
        <w:t xml:space="preserve"> </w:t>
      </w:r>
      <w:r>
        <w:t xml:space="preserve">Because DOE SBIR management moved to the Office of Technology Commercialization (OTC) and EERE/SETO budgets were cut 74%, do NOT frame this as a</w:t>
      </w:r>
      <w:r>
        <w:t xml:space="preserve"> </w:t>
      </w:r>
      <w:r>
        <w:t xml:space="preserve">“</w:t>
      </w:r>
      <w:r>
        <w:t xml:space="preserve">solar energy</w:t>
      </w:r>
      <w:r>
        <w:t xml:space="preserve">”</w:t>
      </w:r>
      <w:r>
        <w:t xml:space="preserve"> </w:t>
      </w:r>
      <w:r>
        <w:t xml:space="preserve">project. Frame it as 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energy systems / distributed resilient power</w:t>
      </w:r>
      <w:r>
        <w:rPr>
          <w:bCs/>
          <w:b/>
        </w:rPr>
        <w:t xml:space="preserve">”</w:t>
      </w:r>
      <w:r>
        <w:t xml:space="preserve"> </w:t>
      </w:r>
      <w:r>
        <w:t xml:space="preserve">project. The technology is a control and positioning system that maximizes energy extraction from any existing solar installation — not a solar panel product. This framing is better aligned with 2026 DOE priority areas and also makes it more defensible to OTC reviewers who want commercialization pathways, not pure R&amp;D.</w:t>
      </w:r>
    </w:p>
    <w:p>
      <w:r>
        <w:pict>
          <v:rect style="width:0;height:1.5pt" o:hralign="center" o:hrstd="t" o:hr="t"/>
        </w:pict>
      </w:r>
    </w:p>
    <w:bookmarkEnd w:id="25"/>
    <w:bookmarkStart w:id="31" w:name="the-grants"/>
    <w:p>
      <w:pPr>
        <w:pStyle w:val="Heading2"/>
      </w:pPr>
      <w:r>
        <w:t xml:space="preserve">6. THE GRANTS</w:t>
      </w:r>
    </w:p>
    <w:bookmarkStart w:id="26" w:name="afwerx-air-force-dropped"/>
    <w:p>
      <w:pPr>
        <w:pStyle w:val="Heading3"/>
      </w:pPr>
      <w:r>
        <w:t xml:space="preserve">AFWERX (Air Force) — DROPPED</w:t>
      </w:r>
    </w:p>
    <w:p>
      <w:pPr>
        <w:pStyle w:val="FirstParagraph"/>
      </w:pPr>
      <w:r>
        <w:rPr>
          <w:bCs/>
          <w:b/>
        </w:rPr>
        <w:t xml:space="preserve">AFWERX decision (confirmed June 2026):</w:t>
      </w:r>
      <w:r>
        <w:t xml:space="preserve"> </w:t>
      </w:r>
      <w:r>
        <w:t xml:space="preserve">AFWERX Open Topic requires finding an Air Force unit willing to sign a memorandum as your</w:t>
      </w:r>
      <w:r>
        <w:t xml:space="preserve"> </w:t>
      </w:r>
      <w:r>
        <w:t xml:space="preserve">“</w:t>
      </w:r>
      <w:r>
        <w:t xml:space="preserve">champion</w:t>
      </w:r>
      <w:r>
        <w:t xml:space="preserve">”</w:t>
      </w:r>
      <w:r>
        <w:t xml:space="preserve"> </w:t>
      </w:r>
      <w:r>
        <w:t xml:space="preserve">within a short window. Without existing defense relationships or a defense-specific track record, this is low-probability. Dropped as a near-term target. Revisit after DOE win or commercial traction.</w:t>
      </w:r>
    </w:p>
    <w:p>
      <w:r>
        <w:pict>
          <v:rect style="width:0;height:1.5pt" o:hralign="center" o:hrstd="t" o:hr="t"/>
        </w:pict>
      </w:r>
    </w:p>
    <w:bookmarkEnd w:id="26"/>
    <w:bookmarkStart w:id="27" w:name="grant-1-doe-sbir-phase-i-primary-target"/>
    <w:p>
      <w:pPr>
        <w:pStyle w:val="Heading3"/>
      </w:pPr>
      <w:r>
        <w:t xml:space="preserve">Grant 1 — DOE SBIR Phase I (PRIMARY TARGET)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Energy (DOE) — now managed by Office of Technology Commercialization (OTC)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Energy Technologies Office (SETO) — but budget-constrained in 2026 (see warning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~$200-225K (realistic target; cap is ~$295K but don’t budget to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energy.gov/technologycommercialization (OTC took over from sbir.energy.gov)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FOA expected summer/August 2026 —</w:t>
            </w:r>
            <w:r>
              <w:t xml:space="preserve"> </w:t>
            </w:r>
            <w:r>
              <w:rPr>
                <w:bCs/>
                <w:b/>
              </w:rPr>
              <w:t xml:space="preserve">NOT confirmed yet as of June 29,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+ EIN + SAM.gov registration must be complete BEFORE applying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 — DOE SBIR STATUS AS OF JUNE 29, 2026:</w:t>
      </w:r>
    </w:p>
    <w:p>
      <w:pPr>
        <w:pStyle w:val="BodyText"/>
      </w:pPr>
      <w:r>
        <w:t xml:space="preserve">Several significant changes happened since earlier sessions: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SBIR program reauthorized.</w:t>
      </w:r>
      <w:r>
        <w:t xml:space="preserve"> </w:t>
      </w:r>
      <w:r>
        <w:t xml:space="preserve">S. 3971 signed April 13, 2026 — extends SBIR/STTR through September 2031. The program is alive.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DOE FY2026 Release 1 was indefinitely postponed.</w:t>
      </w:r>
      <w:r>
        <w:t xml:space="preserve"> </w:t>
      </w:r>
      <w:r>
        <w:t xml:space="preserve">A Release 1 FOA was expected earlier in 2026, went from</w:t>
      </w:r>
      <w:r>
        <w:t xml:space="preserve"> </w:t>
      </w:r>
      <w:r>
        <w:t xml:space="preserve">“</w:t>
      </w:r>
      <w:r>
        <w:t xml:space="preserve">slightly delayed</w:t>
      </w:r>
      <w:r>
        <w:t xml:space="preserve">”</w:t>
      </w:r>
      <w:r>
        <w:t xml:space="preserve"> </w:t>
      </w:r>
      <w:r>
        <w:t xml:space="preserve">to indefinitely postponed. The reason is connected to the budget cuts below.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EERE (which contains SETO) took a 74% budget cut.</w:t>
      </w:r>
      <w:r>
        <w:t xml:space="preserve"> </w:t>
      </w:r>
      <w:r>
        <w:t xml:space="preserve">FY2026 DOE budget cut EERE from $3.46 billion to $888 million. Solar, wind, and hydrogen deployment programs were explicitly eliminated. SETO-specific SBIR topics are significantly thinner this cycle.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DOE SBIR management shifted to Office of Technology Commercialization (OTC).</w:t>
      </w:r>
      <w:r>
        <w:t xml:space="preserve"> </w:t>
      </w:r>
      <w:r>
        <w:t xml:space="preserve">No longer run out of individual program offices like SETO. Focus changed from</w:t>
      </w:r>
      <w:r>
        <w:t xml:space="preserve"> </w:t>
      </w:r>
      <w:r>
        <w:t xml:space="preserve">“</w:t>
      </w:r>
      <w:r>
        <w:t xml:space="preserve">interesting science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commercialization-first</w:t>
      </w:r>
      <w:r>
        <w:t xml:space="preserve">. This actually benefits Randy — 5 years of real field data, a patent, and named markets is exactly what OTC wants. Pure science proposals are at a disadvantage.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2026 DOE priority areas are now:</w:t>
      </w:r>
      <w:r>
        <w:t xml:space="preserve"> </w:t>
      </w:r>
      <w:r>
        <w:t xml:space="preserve">AI, quantum computing, semiconductors, energy systems, and critical materials.</w:t>
      </w:r>
      <w:r>
        <w:t xml:space="preserve"> </w:t>
      </w:r>
      <w:r>
        <w:t xml:space="preserve">“</w:t>
      </w:r>
      <w:r>
        <w:t xml:space="preserve">Energy systems</w:t>
      </w:r>
      <w:r>
        <w:t xml:space="preserve">”</w:t>
      </w:r>
      <w:r>
        <w:t xml:space="preserve"> </w:t>
      </w:r>
      <w:r>
        <w:t xml:space="preserve">is where Randy’s technology belongs — and this is the correct framing umbrella going forward.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Phase I opportunity still expected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later in summer 2026</w:t>
      </w:r>
      <w:r>
        <w:rPr>
          <w:bCs/>
          <w:b/>
        </w:rPr>
        <w:t xml:space="preserve">”</w:t>
      </w:r>
      <w:r>
        <w:t xml:space="preserve"> </w:t>
      </w:r>
      <w:r>
        <w:t xml:space="preserve">but no FOA has dropped yet as of June 29. The August window in prior notes remains plausible but not confirmed.</w:t>
      </w:r>
    </w:p>
    <w:p>
      <w:pPr>
        <w:pStyle w:val="FirstParagraph"/>
      </w:pPr>
      <w:r>
        <w:rPr>
          <w:bCs/>
          <w:b/>
        </w:rPr>
        <w:t xml:space="preserve">DOE evaluates on three criteria:</w:t>
      </w:r>
      <w:r>
        <w:t xml:space="preserve"> </w:t>
      </w:r>
      <w:r>
        <w:t xml:space="preserve">1. Strength of scientific/technical approach (innovation claim must be clear in first 2 paragraphs)</w:t>
      </w:r>
      <w:r>
        <w:t xml:space="preserve"> </w:t>
      </w:r>
      <w:r>
        <w:t xml:space="preserve">2. Ability to carry out the project (team credentials, specific work plan with go/no-go milestones)</w:t>
      </w:r>
      <w:r>
        <w:t xml:space="preserve"> </w:t>
      </w:r>
      <w:r>
        <w:t xml:space="preserve">3. Impact (named potential customers, evidence of market demand — not just</w:t>
      </w:r>
      <w:r>
        <w:t xml:space="preserve"> </w:t>
      </w:r>
      <w:r>
        <w:t xml:space="preserve">“</w:t>
      </w:r>
      <w:r>
        <w:t xml:space="preserve">big market</w:t>
      </w:r>
      <w:r>
        <w:t xml:space="preserve">”</w:t>
      </w:r>
      <w:r>
        <w:t xml:space="preserve"> </w:t>
      </w:r>
      <w:r>
        <w:t xml:space="preserve">assertions)</w:t>
      </w:r>
    </w:p>
    <w:p>
      <w:pPr>
        <w:pStyle w:val="BodyText"/>
      </w:pPr>
      <w:r>
        <w:rPr>
          <w:bCs/>
          <w:b/>
        </w:rPr>
        <w:t xml:space="preserve">What reviewers actually care about (insider perspective):</w:t>
      </w:r>
      <w:r>
        <w:t xml:space="preserve"> </w:t>
      </w:r>
      <w:r>
        <w:t xml:space="preserve">- Topic responsiveness: must directly address the specific topic they published</w:t>
      </w:r>
      <w:r>
        <w:t xml:space="preserve"> </w:t>
      </w:r>
      <w:r>
        <w:t xml:space="preserve">- Clear innovation statement:</w:t>
      </w:r>
      <w:r>
        <w:t xml:space="preserve"> </w:t>
      </w:r>
      <w:r>
        <w:t xml:space="preserve">“</w:t>
      </w:r>
      <w:r>
        <w:t xml:space="preserve">existing systems do X, we do Y differently, Z is why it matters</w:t>
      </w:r>
      <w:r>
        <w:t xml:space="preserve">”</w:t>
      </w:r>
      <w:r>
        <w:t xml:space="preserve"> </w:t>
      </w:r>
      <w:r>
        <w:t xml:space="preserve">- PI track record: Randy’s 40+ years manufacturing is relevant; frame it as</w:t>
      </w:r>
      <w:r>
        <w:t xml:space="preserve"> </w:t>
      </w:r>
      <w:r>
        <w:t xml:space="preserve">“</w:t>
      </w:r>
      <w:r>
        <w:t xml:space="preserve">fabrication expertise directly reduces prototype risk</w:t>
      </w:r>
      <w:r>
        <w:t xml:space="preserve">”</w:t>
      </w:r>
      <w:r>
        <w:t xml:space="preserve"> </w:t>
      </w:r>
      <w:r>
        <w:t xml:space="preserve">- Realistic work plan: specific, testable milestones — not vague deliverables</w:t>
      </w:r>
      <w:r>
        <w:t xml:space="preserve"> </w:t>
      </w:r>
      <w:r>
        <w:t xml:space="preserve">- Commercialization credibility: any real customer conversations, LOIs, or named partners dramatically strengthen the application</w:t>
      </w:r>
      <w:r>
        <w:t xml:space="preserve"> </w:t>
      </w:r>
      <w:r>
        <w:t xml:space="preserve">- Post-SBIR pathway: clear path to Phase II and/or commercial licensing</w:t>
      </w:r>
    </w:p>
    <w:p>
      <w:pPr>
        <w:pStyle w:val="BodyText"/>
      </w:pPr>
      <w:r>
        <w:rPr>
          <w:bCs/>
          <w:b/>
        </w:rPr>
        <w:t xml:space="preserve">Current weak spots to fix before applying:</w:t>
      </w:r>
      <w:r>
        <w:t xml:space="preserve"> </w:t>
      </w:r>
      <w:r>
        <w:t xml:space="preserve">1. No market validation yet (no customer conversations, no LOIs) — even 10-15 informal conversations documented as a simple survey helps</w:t>
      </w:r>
      <w:r>
        <w:t xml:space="preserve"> </w:t>
      </w:r>
      <w:r>
        <w:t xml:space="preserve">2. Financial projections not grounded in unit economics — need BOM cost + target retail price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20-30% energy gain</w:t>
      </w:r>
      <w:r>
        <w:t xml:space="preserve">”</w:t>
      </w:r>
      <w:r>
        <w:t xml:space="preserve"> </w:t>
      </w:r>
      <w:r>
        <w:t xml:space="preserve">claim should be framed as</w:t>
      </w:r>
      <w:r>
        <w:t xml:space="preserve"> </w:t>
      </w:r>
      <w:r>
        <w:t xml:space="preserve">“</w:t>
      </w:r>
      <w:r>
        <w:t xml:space="preserve">hypothesis to validate in Phase I</w:t>
      </w:r>
      <w:r>
        <w:t xml:space="preserve">”</w:t>
      </w:r>
      <w:r>
        <w:t xml:space="preserve"> </w:t>
      </w:r>
      <w:r>
        <w:t xml:space="preserve">not established fact (original prototype used outdated components; new system not yet built)</w:t>
      </w:r>
      <w:r>
        <w:t xml:space="preserve"> </w:t>
      </w:r>
      <w:r>
        <w:t xml:space="preserve">4. Manufacturing partner still informal — get even a non-binding LOI from an Idaho shop</w:t>
      </w:r>
      <w:r>
        <w:t xml:space="preserve"> </w:t>
      </w:r>
      <w:r>
        <w:t xml:space="preserve">5. Randy’s full-time job at RMFI is a team capacity risk — address it head-on:</w:t>
      </w:r>
      <w:r>
        <w:t xml:space="preserve"> </w:t>
      </w:r>
      <w:r>
        <w:t xml:space="preserve">“</w:t>
      </w:r>
      <w:r>
        <w:t xml:space="preserve">Founder will transition to full-time upon Phase I award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Draft working title:</w:t>
      </w:r>
      <w:r>
        <w:t xml:space="preserve"> </w:t>
      </w:r>
      <w:r>
        <w:t xml:space="preserve">“</w:t>
      </w:r>
      <w:r>
        <w:t xml:space="preserve">Independently-Actuated Dual-Axis Solar Panel Tilt System with Automated Sun-Tracking for Mobile and Distributed Applications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Draft Phase I technical objectives (already written):</w:t>
      </w:r>
      <w:r>
        <w:t xml:space="preserve"> </w:t>
      </w:r>
      <w:r>
        <w:t xml:space="preserve">1. Build and instrument 1-2 panel prototype on representative mobile platform</w:t>
      </w:r>
      <w:r>
        <w:t xml:space="preserve"> </w:t>
      </w:r>
      <w:r>
        <w:t xml:space="preserve">2. Quantify real-world energy gains vs. fixed-mount baseline across multi-day/seasonal test</w:t>
      </w:r>
      <w:r>
        <w:t xml:space="preserve"> </w:t>
      </w:r>
      <w:r>
        <w:t xml:space="preserve">3. Develop and refine automated sun-tracking algorithm (GPS/astronomical primary + light-sensor trim)</w:t>
      </w:r>
      <w:r>
        <w:t xml:space="preserve"> </w:t>
      </w:r>
      <w:r>
        <w:t xml:space="preserve">4. Characterize actuator and electronics durability under vibration, weather, mobile-use conditions</w:t>
      </w:r>
    </w:p>
    <w:p>
      <w:pPr>
        <w:pStyle w:val="BodyText"/>
      </w:pPr>
      <w:r>
        <w:rPr>
          <w:bCs/>
          <w:b/>
        </w:rPr>
        <w:t xml:space="preserve">Early warning system — ACTIVE:</w:t>
      </w:r>
      <w:r>
        <w:t xml:space="preserve"> </w:t>
      </w:r>
      <w:r>
        <w:t xml:space="preserve">Randy subscribed to DOE SBIR/STTR mailing list at rlbsolarsolutionsllc@gmail.com on June 29, 2026.</w:t>
      </w:r>
      <w:r>
        <w:t xml:space="preserve"> </w:t>
      </w:r>
      <w:r>
        <w:t xml:space="preserve">Notifications selected:</w:t>
      </w:r>
      <w:r>
        <w:t xml:space="preserve"> </w:t>
      </w:r>
      <w:r>
        <w:t xml:space="preserve">- Just Announced Phase I and II Awards (competitive intelligence)</w:t>
      </w:r>
      <w:r>
        <w:t xml:space="preserve"> </w:t>
      </w:r>
      <w:r>
        <w:t xml:space="preserve">- Open Phase I Funding Opportunity Announcements ←</w:t>
      </w:r>
      <w:r>
        <w:t xml:space="preserve"> </w:t>
      </w:r>
      <w:r>
        <w:rPr>
          <w:bCs/>
          <w:b/>
        </w:rPr>
        <w:t xml:space="preserve">CRITICAL — will email the day the FOA drops</w:t>
      </w:r>
      <w:r>
        <w:t xml:space="preserve"> </w:t>
      </w:r>
      <w:r>
        <w:t xml:space="preserve">- Topics Release Notifications</w:t>
      </w:r>
      <w:r>
        <w:t xml:space="preserve"> </w:t>
      </w:r>
      <w:r>
        <w:t xml:space="preserve">- SBIR/STTR Workshops and Conferences</w:t>
      </w:r>
      <w:r>
        <w:t xml:space="preserve"> </w:t>
      </w:r>
      <w:r>
        <w:t xml:space="preserve">- Program area selected: Clean Energy: Energy Efficiency and Renewable Energy</w:t>
      </w:r>
    </w:p>
    <w:p>
      <w:r>
        <w:pict>
          <v:rect style="width:0;height:1.5pt" o:hralign="center" o:hrstd="t" o:hr="t"/>
        </w:pict>
      </w:r>
    </w:p>
    <w:bookmarkEnd w:id="27"/>
    <w:bookmarkStart w:id="28" w:name="Xd0c3732f125b89e113af45c706aa13d810619f0"/>
    <w:p>
      <w:pPr>
        <w:pStyle w:val="Heading3"/>
      </w:pPr>
      <w:r>
        <w:t xml:space="preserve">Grant 2 — USDA REAP (Rural Energy for America Program) — WORTH EXPLORING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USDA Rural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Reimbursement grants for renewable energy system installation — NOT competitive R&amp;D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it 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Randy’s Idaho location qualifies as rural; could fund prototype deployment on a real-world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less competitive than SBIR; no R&amp;D framing required; can be filed independently of LLC status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research — not yet explored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3f0c571a1cdfd97cd11bf220d8daeac816022f"/>
    <w:p>
      <w:pPr>
        <w:pStyle w:val="Heading3"/>
      </w:pPr>
      <w:r>
        <w:t xml:space="preserve">Grant 3 — NSF SBIR (Alternative/Backup to DOE)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Science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I: $305K (higher than DOE); Phase II: up to $2M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technology mandate; not dependent on SETO budget;</w:t>
            </w:r>
            <w:r>
              <w:t xml:space="preserve"> </w:t>
            </w:r>
            <w:r>
              <w:t xml:space="preserve">“</w:t>
            </w:r>
            <w:r>
              <w:t xml:space="preserve">technology innovation</w:t>
            </w:r>
            <w:r>
              <w:t xml:space="preserve">”</w:t>
            </w:r>
            <w:r>
              <w:t xml:space="preserve"> </w:t>
            </w:r>
            <w:r>
              <w:t xml:space="preserve">framing 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explored — viable backup if DOE SBIR solar topics don’t open in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db7e2bbe7213675bf8ca31da27c68066517494d"/>
    <w:p>
      <w:pPr>
        <w:pStyle w:val="Heading3"/>
      </w:pPr>
      <w:r>
        <w:t xml:space="preserve">Grant 4 — AFWERX Open Topic SBIR (Air Force) — On Hold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Force / AFWERX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afwerx.com/get-funded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afwerx.com/divisions/sbir-sttr/open-topic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dodsbirsttr.mil/submissions/login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 as near-term target — revisit after DOE win or commercial 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expeditionary power; forward operating base energy resilience; diesel reduction for force protection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recommended-budget-scenarios"/>
    <w:p>
      <w:pPr>
        <w:pStyle w:val="Heading2"/>
      </w:pPr>
      <w:r>
        <w:t xml:space="preserve">7. RECOMMENDED BUDGET SCENARIOS</w:t>
      </w:r>
    </w:p>
    <w:bookmarkStart w:id="32" w:name="Xd9b4db11944e77dc6a9aac223ef23eb58c181c0"/>
    <w:p>
      <w:pPr>
        <w:pStyle w:val="Heading3"/>
      </w:pPr>
      <w:r>
        <w:t xml:space="preserve">If $100,000 available for prototype modernization:</w:t>
      </w:r>
    </w:p>
    <w:p>
      <w:pPr>
        <w:numPr>
          <w:ilvl w:val="0"/>
          <w:numId w:val="1002"/>
        </w:numPr>
        <w:pStyle w:val="Compact"/>
      </w:pPr>
      <w:r>
        <w:t xml:space="preserve">Mechanical upgrades (tilt platform, azimuth prototype, locking mechanisms): ~$30K</w:t>
      </w:r>
    </w:p>
    <w:p>
      <w:pPr>
        <w:numPr>
          <w:ilvl w:val="0"/>
          <w:numId w:val="1002"/>
        </w:numPr>
        <w:pStyle w:val="Compact"/>
      </w:pPr>
      <w:r>
        <w:t xml:space="preserve">Electronics (GPS, IMU, microcontroller, motor drivers, encoders, telemetry, enclosures): ~$18K</w:t>
      </w:r>
    </w:p>
    <w:p>
      <w:pPr>
        <w:numPr>
          <w:ilvl w:val="0"/>
          <w:numId w:val="1002"/>
        </w:numPr>
        <w:pStyle w:val="Compact"/>
      </w:pPr>
      <w:r>
        <w:t xml:space="preserve">Software (astronomical tracking algorithm, hybrid control logic, stow mode, telemetry dashboard): ~$15K (mostly labor)</w:t>
      </w:r>
    </w:p>
    <w:p>
      <w:pPr>
        <w:numPr>
          <w:ilvl w:val="0"/>
          <w:numId w:val="1002"/>
        </w:numPr>
        <w:pStyle w:val="Compact"/>
      </w:pPr>
      <w:r>
        <w:t xml:space="preserve">Testing (highway road test, third-party vibration/shock testing, environmental/IP, locking cycle test): ~$25K</w:t>
      </w:r>
    </w:p>
    <w:p>
      <w:pPr>
        <w:numPr>
          <w:ilvl w:val="0"/>
          <w:numId w:val="1002"/>
        </w:numPr>
        <w:pStyle w:val="Compact"/>
      </w:pPr>
      <w:r>
        <w:t xml:space="preserve">Data collection (multi-season field deployment, instrumentation, cloud telemetry): ~$12K</w:t>
      </w:r>
    </w:p>
    <w:bookmarkEnd w:id="32"/>
    <w:bookmarkStart w:id="33" w:name="if-250000-available"/>
    <w:p>
      <w:pPr>
        <w:pStyle w:val="Heading3"/>
      </w:pPr>
      <w:r>
        <w:t xml:space="preserve">If $250,000 available:</w:t>
      </w:r>
    </w:p>
    <w:p>
      <w:pPr>
        <w:numPr>
          <w:ilvl w:val="0"/>
          <w:numId w:val="1003"/>
        </w:numPr>
        <w:pStyle w:val="Compact"/>
      </w:pPr>
      <w:r>
        <w:t xml:space="preserve">Stage 1 (prototype modernization): $15-20K</w:t>
      </w:r>
    </w:p>
    <w:p>
      <w:pPr>
        <w:numPr>
          <w:ilvl w:val="0"/>
          <w:numId w:val="1003"/>
        </w:numPr>
        <w:pStyle w:val="Compact"/>
      </w:pPr>
      <w:r>
        <w:t xml:space="preserve">Remaining ~$230K: runway while pursuing SBIR Phase I application (~$45-55K/6mo survival) with rest in reserve</w:t>
      </w:r>
    </w:p>
    <w:bookmarkEnd w:id="33"/>
    <w:bookmarkStart w:id="34" w:name="if-500000-available"/>
    <w:p>
      <w:pPr>
        <w:pStyle w:val="Heading3"/>
      </w:pPr>
      <w:r>
        <w:t xml:space="preserve">If $500,000 available:</w:t>
      </w:r>
    </w:p>
    <w:p>
      <w:pPr>
        <w:numPr>
          <w:ilvl w:val="0"/>
          <w:numId w:val="1004"/>
        </w:numPr>
        <w:pStyle w:val="Compact"/>
      </w:pPr>
      <w:r>
        <w:t xml:space="preserve">Stage 1: $15-20K</w:t>
      </w:r>
    </w:p>
    <w:p>
      <w:pPr>
        <w:numPr>
          <w:ilvl w:val="0"/>
          <w:numId w:val="1004"/>
        </w:numPr>
        <w:pStyle w:val="Compact"/>
      </w:pPr>
      <w:r>
        <w:t xml:space="preserve">Stage 2 (self-fund Phase-I-equivalent R&amp;D): ~$200-225K</w:t>
      </w:r>
    </w:p>
    <w:p>
      <w:pPr>
        <w:numPr>
          <w:ilvl w:val="0"/>
          <w:numId w:val="1004"/>
        </w:numPr>
        <w:pStyle w:val="Compact"/>
      </w:pPr>
      <w:r>
        <w:t xml:space="preserve">Stage 3 (6-month commercialization at realistic tier): ~$150-195K</w:t>
      </w:r>
    </w:p>
    <w:p>
      <w:pPr>
        <w:numPr>
          <w:ilvl w:val="0"/>
          <w:numId w:val="1004"/>
        </w:numPr>
        <w:pStyle w:val="Compact"/>
      </w:pPr>
      <w:r>
        <w:t xml:space="preserve">Reduced founder comp + one additional hire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immediate-action-items-in-order"/>
    <w:p>
      <w:pPr>
        <w:pStyle w:val="Heading2"/>
      </w:pPr>
      <w:r>
        <w:t xml:space="preserve">8. IMMEDIATE ACTION ITEMS (IN ORDER)</w:t>
      </w:r>
    </w:p>
    <w:bookmarkStart w:id="36" w:name="this-week-week-of-june-29-2026"/>
    <w:p>
      <w:pPr>
        <w:pStyle w:val="Heading3"/>
      </w:pPr>
      <w:r>
        <w:t xml:space="preserve">THIS WEEK (week of June 29, 2026):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 Idaho single-member LLC</w:t>
      </w:r>
      <w:r>
        <w:t xml:space="preserve"> </w:t>
      </w:r>
      <w:r>
        <w:t xml:space="preserve">— sos.idaho.gov, ~$100-150, takes 1-3 days. This is blocking everything else.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Get EIN</w:t>
      </w:r>
      <w:r>
        <w:t xml:space="preserve"> </w:t>
      </w:r>
      <w:r>
        <w:t xml:space="preserve">— irs.gov, free, 10 minutes. Do this same day as LLC approval.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Register SAM.gov</w:t>
      </w:r>
      <w:r>
        <w:t xml:space="preserve"> </w:t>
      </w:r>
      <w:r>
        <w:t xml:space="preserve">under new LLC EIN — allow 1-2 weeks processing; required for any federal award.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Confirm patent assignment recorded</w:t>
      </w:r>
      <w:r>
        <w:t xml:space="preserve"> </w:t>
      </w:r>
      <w:r>
        <w:t xml:space="preserve">— search Patent Center (assignment.uspto.gov) for Patent 11,677,350; if Sam’s assignment to Randy not recorded, file it now (~$25-40).</w:t>
      </w:r>
    </w:p>
    <w:bookmarkEnd w:id="36"/>
    <w:bookmarkStart w:id="37" w:name="next-30-60-days"/>
    <w:p>
      <w:pPr>
        <w:pStyle w:val="Heading3"/>
      </w:pPr>
      <w:r>
        <w:t xml:space="preserve">NEXT 30-60 DAYS: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Formally assign patent from Randy Barclay (individual) to RLB Solar Solutions LLC</w:t>
      </w:r>
      <w:r>
        <w:t xml:space="preserve"> </w:t>
      </w:r>
      <w:r>
        <w:t xml:space="preserve">— simple one-page assignment + USPTO recording.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 basic BOM cost model</w:t>
      </w:r>
      <w:r>
        <w:t xml:space="preserve"> </w:t>
      </w:r>
      <w:r>
        <w:t xml:space="preserve">— what does one unit cost in materials? What’s the target retail price?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Begin 10-15 informal customer conversations</w:t>
      </w:r>
      <w:r>
        <w:t xml:space="preserve"> </w:t>
      </w:r>
      <w:r>
        <w:t xml:space="preserve">— document them; even email exchanges count. Target: fleet operators, SAR coordinators, construction trailer rental companies, oil/gas field managers.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Identify Idaho manufacturing partner</w:t>
      </w:r>
      <w:r>
        <w:t xml:space="preserve"> </w:t>
      </w:r>
      <w:r>
        <w:t xml:space="preserve">— even an informal LOI from a local machine shop strengthens both the SBIR proposal and economic development claims.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Commission preliminary FTO review</w:t>
      </w:r>
      <w:r>
        <w:t xml:space="preserve"> </w:t>
      </w:r>
      <w:r>
        <w:t xml:space="preserve">with patent counsel.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Research USDA REAP eligibility</w:t>
      </w:r>
      <w:r>
        <w:t xml:space="preserve"> </w:t>
      </w:r>
      <w:r>
        <w:t xml:space="preserve">for Idaho location — could fund prototype deployment independently of SBIR timeline.</w:t>
      </w:r>
    </w:p>
    <w:bookmarkEnd w:id="37"/>
    <w:bookmarkStart w:id="38" w:name="X2400cf740058e857f93407eb8c8b26e9c8bc76e"/>
    <w:p>
      <w:pPr>
        <w:pStyle w:val="Heading3"/>
      </w:pPr>
      <w:r>
        <w:t xml:space="preserve">WHEN THE FOA DROPS (watch rlbsolarsolutionsllc@gmail.com):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Submit Letter of Intent</w:t>
      </w:r>
      <w:r>
        <w:t xml:space="preserve"> </w:t>
      </w:r>
      <w:r>
        <w:t xml:space="preserve">within 3 weeks of FOA release.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Submit full Phase I proposal</w:t>
      </w:r>
      <w:r>
        <w:t xml:space="preserve"> </w:t>
      </w:r>
      <w:r>
        <w:t xml:space="preserve">incorporating prototype progress and any field data.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6e1858e0d33978e7d2fe52fc4500c8a833aad7b"/>
    <w:p>
      <w:pPr>
        <w:pStyle w:val="Heading2"/>
      </w:pPr>
      <w:r>
        <w:t xml:space="preserve">9. CONTEXT ON THE SEPARATE RMFI BUSINESS (Randy’s employer)</w:t>
      </w:r>
    </w:p>
    <w:p>
      <w:pPr>
        <w:pStyle w:val="FirstParagraph"/>
      </w:pPr>
      <w:r>
        <w:t xml:space="preserve">RMFI (Sunnyvale, CA) is a separate machine shop where Randy works as manager. There is a parallel set of initiatives being pursued there: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SAM.gov / defense subcontracting</w:t>
      </w:r>
      <w:r>
        <w:t xml:space="preserve">: Register RMFI for DLA DIBBS, APEX Accelerators, to capture more government machining work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SBA 504</w:t>
      </w:r>
      <w:r>
        <w:t xml:space="preserve">: Equipment financing for machine shop capital equipment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ETP (Employment Training Panel)</w:t>
      </w:r>
      <w:r>
        <w:t xml:space="preserve">: California workforce training grants — relevant once new equipment is in place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Makerspace / trade education</w:t>
      </w:r>
      <w:r>
        <w:t xml:space="preserve">: Partner with local community colleges on skilled trades pipeline; NSF ATE grants and Haas HTEC are potential funding sources; pitch to Peter (RMFI leadership)</w:t>
      </w:r>
    </w:p>
    <w:p>
      <w:pPr>
        <w:pStyle w:val="FirstParagraph"/>
      </w:pPr>
      <w:r>
        <w:t xml:space="preserve">These are tracked separately from RLB Solar Solutions. Do not confuse the two entities.</w:t>
      </w:r>
    </w:p>
    <w:p>
      <w:r>
        <w:pict>
          <v:rect style="width:0;height:1.5pt" o:hralign="center" o:hrstd="t" o:hr="t"/>
        </w:pict>
      </w:r>
    </w:p>
    <w:bookmarkEnd w:id="40"/>
    <w:bookmarkStart w:id="41" w:name="X849bd33fb095c56f8fc216bca42a20cb684119c"/>
    <w:p>
      <w:pPr>
        <w:pStyle w:val="Heading2"/>
      </w:pPr>
      <w:r>
        <w:t xml:space="preserve">10. KEY RESEARCH COMPLETED (don’t repeat these searches)</w:t>
      </w:r>
    </w:p>
    <w:p>
      <w:pPr>
        <w:numPr>
          <w:ilvl w:val="0"/>
          <w:numId w:val="1009"/>
        </w:numPr>
        <w:pStyle w:val="Compact"/>
      </w:pPr>
      <w:r>
        <w:t xml:space="preserve">Solar tracker technology comparison: light-sensor vs GPS/astronomical vs hybrid — hybrid with GPS primary wins for transportable/unattended platforms</w:t>
      </w:r>
    </w:p>
    <w:p>
      <w:pPr>
        <w:numPr>
          <w:ilvl w:val="0"/>
          <w:numId w:val="1009"/>
        </w:numPr>
        <w:pStyle w:val="Compact"/>
      </w:pPr>
      <w:r>
        <w:t xml:space="preserve">Single-axis vs dual-axis energy yield: single captures ~65-75% of total gain; second axis adds 25-35% (more at higher latitudes like Idaho); start with single-axis</w:t>
      </w:r>
    </w:p>
    <w:p>
      <w:pPr>
        <w:numPr>
          <w:ilvl w:val="0"/>
          <w:numId w:val="1009"/>
        </w:numPr>
        <w:pStyle w:val="Compact"/>
      </w:pPr>
      <w:r>
        <w:t xml:space="preserve">Top 10 commercial applications ranked by market size, pain, ability to pay, grant fit, pilot ease, licensing potential</w:t>
      </w:r>
    </w:p>
    <w:p>
      <w:pPr>
        <w:numPr>
          <w:ilvl w:val="0"/>
          <w:numId w:val="1009"/>
        </w:numPr>
        <w:pStyle w:val="Compact"/>
      </w:pPr>
      <w:r>
        <w:t xml:space="preserve">DOE SBIR review criteria and insider reviewer perspective (Robert Berger, former DOE SBIR Program Manager, wrote the book)</w:t>
      </w:r>
    </w:p>
    <w:p>
      <w:pPr>
        <w:numPr>
          <w:ilvl w:val="0"/>
          <w:numId w:val="1009"/>
        </w:numPr>
        <w:pStyle w:val="Compact"/>
      </w:pPr>
      <w:r>
        <w:t xml:space="preserve">AFWERX Open Topic SBIR: confirmed open, three-step filing process documented above</w:t>
      </w:r>
    </w:p>
    <w:p>
      <w:pPr>
        <w:numPr>
          <w:ilvl w:val="0"/>
          <w:numId w:val="1009"/>
        </w:numPr>
        <w:pStyle w:val="Compact"/>
      </w:pPr>
      <w:r>
        <w:t xml:space="preserve">Market sizes: Telecom diesel generator market ~$1.5-2.5B; Disaster relief mobile solar ~$1.3B→$3.9B</w:t>
      </w:r>
    </w:p>
    <w:p>
      <w:pPr>
        <w:numPr>
          <w:ilvl w:val="0"/>
          <w:numId w:val="1009"/>
        </w:numPr>
        <w:pStyle w:val="Compact"/>
      </w:pPr>
      <w:r>
        <w:t xml:space="preserve">Books recommended:</w:t>
      </w:r>
      <w:r>
        <w:t xml:space="preserve"> </w:t>
      </w:r>
      <w:r>
        <w:t xml:space="preserve">“</w:t>
      </w:r>
      <w:r>
        <w:t xml:space="preserve">How to Prepare Winning Proposals for SBIR and STTR</w:t>
      </w:r>
      <w:r>
        <w:t xml:space="preserve">”</w:t>
      </w:r>
      <w:r>
        <w:t xml:space="preserve"> </w:t>
      </w:r>
      <w:r>
        <w:t xml:space="preserve">by Robert Berger (DOE SBIR insider);</w:t>
      </w:r>
      <w:r>
        <w:t xml:space="preserve"> </w:t>
      </w:r>
      <w:r>
        <w:t xml:space="preserve">“</w:t>
      </w:r>
      <w:r>
        <w:t xml:space="preserve">How the NIH Can Help You Get Funded</w:t>
      </w:r>
      <w:r>
        <w:t xml:space="preserve">”</w:t>
      </w:r>
      <w:r>
        <w:t xml:space="preserve"> </w:t>
      </w:r>
      <w:r>
        <w:t xml:space="preserve">by Jeremy Berg (NIH director);</w:t>
      </w:r>
      <w:r>
        <w:t xml:space="preserve"> </w:t>
      </w:r>
      <w:r>
        <w:t xml:space="preserve">“</w:t>
      </w:r>
      <w:r>
        <w:t xml:space="preserve">Having Success with NSF</w:t>
      </w:r>
      <w:r>
        <w:t xml:space="preserve">”</w:t>
      </w:r>
      <w:r>
        <w:t xml:space="preserve"> </w:t>
      </w:r>
      <w:r>
        <w:t xml:space="preserve">by Ping Li &amp; Karen Marrongelle (NSF program directors)</w:t>
      </w:r>
    </w:p>
    <w:p>
      <w:pPr>
        <w:numPr>
          <w:ilvl w:val="0"/>
          <w:numId w:val="1009"/>
        </w:numPr>
        <w:pStyle w:val="Compact"/>
      </w:pPr>
      <w:r>
        <w:t xml:space="preserve">Golden Dome / DARPA MANNUS contract (True Zero Technologies, June 26, 2026) — defense expeditionary manufacturing context — validates DOD interest in expeditionary autonomous energy systems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DOE SBIR FY2026 status (researched June 29, 2026):</w:t>
      </w:r>
      <w:r>
        <w:t xml:space="preserve"> </w:t>
      </w:r>
      <w:r>
        <w:t xml:space="preserve">EERE budget cut 74%; DOE SBIR management moved to OTC; FY2026 Release 1 indefinitely postponed; summer 2026 Phase I FOA still expected; priority areas shifted to AI/quantum/semiconductors/energy systems/critical materials; framing should be</w:t>
      </w:r>
      <w:r>
        <w:t xml:space="preserve"> </w:t>
      </w:r>
      <w:r>
        <w:t xml:space="preserve">“</w:t>
      </w:r>
      <w:r>
        <w:t xml:space="preserve">energy systems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solar technology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DOE mailing list subscription confirmed June 29, 2026</w:t>
      </w:r>
      <w:r>
        <w:t xml:space="preserve"> </w:t>
      </w:r>
      <w:r>
        <w:t xml:space="preserve">at rlbsolarsolutionsllc@gmail.com — all relevant notification types selected</w:t>
      </w:r>
    </w:p>
    <w:p>
      <w:r>
        <w:pict>
          <v:rect style="width:0;height:1.5pt" o:hralign="center" o:hrstd="t" o:hr="t"/>
        </w:pict>
      </w:r>
    </w:p>
    <w:bookmarkEnd w:id="41"/>
    <w:bookmarkStart w:id="45" w:name="Xae6a371945c11892e31847d92fe5eeda942d0c5"/>
    <w:p>
      <w:pPr>
        <w:pStyle w:val="Heading2"/>
      </w:pPr>
      <w:r>
        <w:t xml:space="preserve">11. WHAT WE HAVEN’T DONE YET (pick up here on Wednesday)</w:t>
      </w:r>
    </w:p>
    <w:bookmarkStart w:id="42" w:name="highest-priority-proposal-writing"/>
    <w:p>
      <w:pPr>
        <w:pStyle w:val="Heading3"/>
      </w:pPr>
      <w:r>
        <w:t xml:space="preserve">Highest priority — proposal writing:</w:t>
      </w:r>
    </w:p>
    <w:p>
      <w:pPr>
        <w:numPr>
          <w:ilvl w:val="0"/>
          <w:numId w:val="1010"/>
        </w:numPr>
        <w:pStyle w:val="Compact"/>
      </w:pPr>
      <w:r>
        <w:t xml:space="preserve">☐ Write full DOE SBIR Phase I proposal narrative — draft title and objectives already exist (see Section 6); needs full narrative written against OTC’s commercialization-first criteria</w:t>
      </w:r>
    </w:p>
    <w:p>
      <w:pPr>
        <w:numPr>
          <w:ilvl w:val="0"/>
          <w:numId w:val="1010"/>
        </w:numPr>
        <w:pStyle w:val="Compact"/>
      </w:pPr>
      <w:r>
        <w:t xml:space="preserve">☐ Reframe proposal language from</w:t>
      </w:r>
      <w:r>
        <w:t xml:space="preserve"> </w:t>
      </w:r>
      <w:r>
        <w:t xml:space="preserve">“</w:t>
      </w:r>
      <w:r>
        <w:t xml:space="preserve">solar energy technology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distributed resilient energy systems</w:t>
      </w:r>
      <w:r>
        <w:t xml:space="preserve">”</w:t>
      </w:r>
      <w:r>
        <w:t xml:space="preserve"> </w:t>
      </w:r>
      <w:r>
        <w:t xml:space="preserve">to align with 2026 DOE priorities</w:t>
      </w:r>
    </w:p>
    <w:p>
      <w:pPr>
        <w:numPr>
          <w:ilvl w:val="0"/>
          <w:numId w:val="1010"/>
        </w:numPr>
        <w:pStyle w:val="Compact"/>
      </w:pPr>
      <w:r>
        <w:t xml:space="preserve">☐ Draft LOI text for DOE SBIR (due ~3 weeks after FOA release — needs to be ready to file fast)</w:t>
      </w:r>
    </w:p>
    <w:bookmarkEnd w:id="42"/>
    <w:bookmarkStart w:id="43" w:name="research-still-needed"/>
    <w:p>
      <w:pPr>
        <w:pStyle w:val="Heading3"/>
      </w:pPr>
      <w:r>
        <w:t xml:space="preserve">Research still needed:</w:t>
      </w:r>
    </w:p>
    <w:p>
      <w:pPr>
        <w:numPr>
          <w:ilvl w:val="0"/>
          <w:numId w:val="1011"/>
        </w:numPr>
        <w:pStyle w:val="Compact"/>
      </w:pPr>
      <w:r>
        <w:t xml:space="preserve">☐ Research Idaho Department of Commerce specific programs (state-level grants, Idaho SBDC resources)</w:t>
      </w:r>
    </w:p>
    <w:p>
      <w:pPr>
        <w:numPr>
          <w:ilvl w:val="0"/>
          <w:numId w:val="1011"/>
        </w:numPr>
        <w:pStyle w:val="Compact"/>
      </w:pPr>
      <w:r>
        <w:t xml:space="preserve">☐ Research USDA REAP eligibility for Randy’s Idaho location</w:t>
      </w:r>
    </w:p>
    <w:p>
      <w:pPr>
        <w:numPr>
          <w:ilvl w:val="0"/>
          <w:numId w:val="1011"/>
        </w:numPr>
        <w:pStyle w:val="Compact"/>
      </w:pPr>
      <w:r>
        <w:t xml:space="preserve">☐ Research NSF SBIR as a fallback if DOE solar topics don’t materialize in 2026</w:t>
      </w:r>
    </w:p>
    <w:p>
      <w:pPr>
        <w:numPr>
          <w:ilvl w:val="0"/>
          <w:numId w:val="1011"/>
        </w:numPr>
        <w:pStyle w:val="Compact"/>
      </w:pPr>
      <w:r>
        <w:t xml:space="preserve">☐ Identify specific AFWERX topics or challenges that match (expeditionary power, Indo-Pacific ops) — for future cycle</w:t>
      </w:r>
    </w:p>
    <w:bookmarkEnd w:id="43"/>
    <w:bookmarkStart w:id="44" w:name="Xb38b8128396e33aeb6876ca80f388eec9430f36"/>
    <w:p>
      <w:pPr>
        <w:pStyle w:val="Heading3"/>
      </w:pPr>
      <w:r>
        <w:t xml:space="preserve">Foundation work (blocking grant applications):</w:t>
      </w:r>
    </w:p>
    <w:p>
      <w:pPr>
        <w:numPr>
          <w:ilvl w:val="0"/>
          <w:numId w:val="1012"/>
        </w:numPr>
        <w:pStyle w:val="Compact"/>
      </w:pPr>
      <w:r>
        <w:t xml:space="preserve">☐ LLC formation (blocking item — must be done first)</w:t>
      </w:r>
    </w:p>
    <w:p>
      <w:pPr>
        <w:numPr>
          <w:ilvl w:val="0"/>
          <w:numId w:val="1012"/>
        </w:numPr>
        <w:pStyle w:val="Compact"/>
      </w:pPr>
      <w:r>
        <w:t xml:space="preserve">☐ EIN (same day as LLC)</w:t>
      </w:r>
    </w:p>
    <w:p>
      <w:pPr>
        <w:numPr>
          <w:ilvl w:val="0"/>
          <w:numId w:val="1012"/>
        </w:numPr>
        <w:pStyle w:val="Compact"/>
      </w:pPr>
      <w:r>
        <w:t xml:space="preserve">☐ SAM.gov registration (takes 1-2 weeks after EIN)</w:t>
      </w:r>
    </w:p>
    <w:p>
      <w:pPr>
        <w:numPr>
          <w:ilvl w:val="0"/>
          <w:numId w:val="1012"/>
        </w:numPr>
        <w:pStyle w:val="Compact"/>
      </w:pPr>
      <w:r>
        <w:t xml:space="preserve">☐ Patent assignment to LLC</w:t>
      </w:r>
    </w:p>
    <w:p>
      <w:pPr>
        <w:numPr>
          <w:ilvl w:val="0"/>
          <w:numId w:val="1012"/>
        </w:numPr>
        <w:pStyle w:val="Compact"/>
      </w:pPr>
      <w:r>
        <w:t xml:space="preserve">☐ BOM cost model</w:t>
      </w:r>
    </w:p>
    <w:p>
      <w:pPr>
        <w:numPr>
          <w:ilvl w:val="0"/>
          <w:numId w:val="1012"/>
        </w:numPr>
        <w:pStyle w:val="Compact"/>
      </w:pPr>
      <w:r>
        <w:t xml:space="preserve">☐ Customer conversation log (10-15 contacts minimum)</w:t>
      </w:r>
    </w:p>
    <w:p>
      <w:pPr>
        <w:numPr>
          <w:ilvl w:val="0"/>
          <w:numId w:val="1012"/>
        </w:numPr>
        <w:pStyle w:val="Compact"/>
      </w:pPr>
      <w:r>
        <w:t xml:space="preserve">☐ Idaho manufacturing partner LOI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key-contacts-resources"/>
    <w:p>
      <w:pPr>
        <w:pStyle w:val="Heading2"/>
      </w:pPr>
      <w:r>
        <w:t xml:space="preserve">12. KEY CONTACTS &amp; RESOURCES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3576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 SBIR mailing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Subscribed at rlbsolarsolutionsllc@gmail.com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alert when FOA drops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 SBIR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energy.gov/technologycommercialization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OTC took over management in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Idaho SOS (LLC 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sos.idaho.gov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~$100-150, 1-3 day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irs.gov/businesses/small-businesses-self-employed/apply-for-an-employer-identification-number-ein-online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instant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under LLC EIN; allow 1-2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USPTO Assignment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assignment.uspto.gov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Patent 11,677,350 to confirm Sam’s assignment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 SBIR email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solar.sbir@ee.doe.gov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ask program officer questions pre-FOA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briefing document. Version: June 29, 2026 — fully updated with session intelligence.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2026-06-29T22:34:46Z</dcterms:created>
  <dcterms:modified xsi:type="dcterms:W3CDTF">2026-06-29T22:34:46Z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