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Nursing Note</w:t>
      </w:r>
    </w:p>
    <w:p>
      <w:pPr>
        <w:pStyle w:val="Heading1"/>
      </w:pPr>
      <w:r>
        <w:t>Vitals</w:t>
      </w:r>
    </w:p>
    <w:p>
      <w:r>
        <w:t>Vital signs are within normal limits</w:t>
      </w:r>
    </w:p>
    <w:p>
      <w:r>
        <w:t>Head to toe assessment conducted</w:t>
      </w:r>
    </w:p>
    <w:p>
      <w:r>
        <w:t>Heart tones clear and capillary refill less than three seconds</w:t>
      </w:r>
    </w:p>
    <w:p>
      <w:pPr>
        <w:pStyle w:val="Heading1"/>
      </w:pPr>
      <w:r>
        <w:t>Respiratory</w:t>
      </w:r>
    </w:p>
    <w:p>
      <w:r>
        <w:t>☑  patient is awake and alert, ambulating in the room with respirations that are even and unlabored</w:t>
      </w:r>
    </w:p>
    <w:p>
      <w:r>
        <w:t>☑ Breath sounds are clear in all lung fields, with no cough present</w:t>
      </w:r>
    </w:p>
    <w:p>
      <w:pPr>
        <w:pStyle w:val="Heading1"/>
      </w:pPr>
      <w:r>
        <w:t>Neuro</w:t>
      </w:r>
    </w:p>
    <w:p>
      <w:r>
        <w:t>Nau-adema or cyanosis noted</w:t>
      </w:r>
    </w:p>
    <w:p>
      <w:pPr>
        <w:pStyle w:val="Heading1"/>
      </w:pPr>
      <w:r>
        <w:t>Gastrointestinal</w:t>
      </w:r>
    </w:p>
    <w:p>
      <w:r>
        <w:t>Bowel sounds are present in all four quadrants.</w:t>
      </w:r>
    </w:p>
    <w:p>
      <w:pPr>
        <w:pStyle w:val="Heading1"/>
      </w:pPr>
      <w:r>
        <w:t>Summary</w:t>
      </w:r>
    </w:p>
    <w:p>
      <w:r>
        <w:t>Emergency equipment has been checked and is available</w:t>
      </w:r>
    </w:p>
    <w:p>
      <w:r>
        <w:t>Heat symmetrical, with moist mucus membranes, elastic skin turgor, and midline trachea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