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7A29C" w14:textId="77777777" w:rsidR="000159DD" w:rsidRDefault="00000000" w:rsidP="006402E2">
      <w:pPr>
        <w:pStyle w:val="Heading1"/>
        <w:spacing w:after="200"/>
        <w:jc w:val="both"/>
      </w:pPr>
      <w:r>
        <w:t>Response to Reviewer Comments</w:t>
      </w:r>
    </w:p>
    <w:p w14:paraId="228F5E10" w14:textId="3CCC7A6D" w:rsidR="000159DD" w:rsidRDefault="00000000" w:rsidP="006402E2">
      <w:pPr>
        <w:spacing w:after="120"/>
        <w:jc w:val="both"/>
      </w:pPr>
      <w:r>
        <w:t xml:space="preserve">We thank both reviewers for their thorough and constructive evaluation. We have substantially revised the manuscript to address each concern. All modifications are marked in blue for ease of identification. The following provides our point-by-point responses. </w:t>
      </w:r>
    </w:p>
    <w:p w14:paraId="71184787" w14:textId="77777777" w:rsidR="000159DD" w:rsidRDefault="000159DD" w:rsidP="006402E2">
      <w:pPr>
        <w:pBdr>
          <w:bottom w:val="single" w:sz="6" w:space="1" w:color="auto"/>
        </w:pBdr>
        <w:spacing w:after="120"/>
        <w:jc w:val="both"/>
      </w:pPr>
    </w:p>
    <w:p w14:paraId="4B7CFD54" w14:textId="77777777" w:rsidR="000159DD" w:rsidRDefault="00000000" w:rsidP="006402E2">
      <w:pPr>
        <w:spacing w:after="200"/>
        <w:jc w:val="both"/>
      </w:pPr>
      <w:r>
        <w:t xml:space="preserve"> </w:t>
      </w:r>
    </w:p>
    <w:p w14:paraId="150F5FF4" w14:textId="77777777" w:rsidR="000159DD" w:rsidRDefault="00000000" w:rsidP="006402E2">
      <w:pPr>
        <w:pStyle w:val="Heading2"/>
        <w:spacing w:after="200"/>
        <w:jc w:val="both"/>
      </w:pPr>
      <w:r>
        <w:t>Reviewer 1</w:t>
      </w:r>
    </w:p>
    <w:p w14:paraId="09E0BE5A" w14:textId="77777777" w:rsidR="000159DD" w:rsidRDefault="00000000" w:rsidP="006402E2">
      <w:pPr>
        <w:pStyle w:val="Heading3"/>
        <w:spacing w:after="200"/>
        <w:jc w:val="both"/>
      </w:pPr>
      <w:r>
        <w:t>R1-A: Novelty is primarily architectural rather than algorithmically novel</w:t>
      </w:r>
    </w:p>
    <w:p w14:paraId="0DF34AB4" w14:textId="265E713A" w:rsidR="000159DD" w:rsidRDefault="00000000" w:rsidP="006402E2">
      <w:pPr>
        <w:spacing w:after="120"/>
        <w:jc w:val="both"/>
      </w:pPr>
      <w:r>
        <w:t>We acknowledge that the individual components (</w:t>
      </w:r>
      <w:proofErr w:type="spellStart"/>
      <w:r>
        <w:t>MedCPT</w:t>
      </w:r>
      <w:proofErr w:type="spellEnd"/>
      <w:r>
        <w:t xml:space="preserve"> embeddings, vector retrieval, hybrid scoring, knowledge graph traversal) are established techniques. However, we respectfully submit that in safety-critical biomedical AI, architectural orchestration and constraint enforcement constitute first-order contributions. To substantiate this claim, we have expanded the evaluation from a single GPT-4o baseline to an 8-arm factorial design spanning 4 frontier models (GPT-4.1, GPT-5.2, Claude Sonnet 4.5, Claude Opus 4.6) in both pipeline and web-search configurations, yielding 400 total experiments. Bonferroni-corrected paired Wilcoxon tests confirm 10 statistically significant contrasts out of 28 pairwise comparisons, demonstrating that the deterministic D-T-P </w:t>
      </w:r>
      <w:proofErr w:type="gramStart"/>
      <w:r>
        <w:t xml:space="preserve">constraint </w:t>
      </w:r>
      <w:r w:rsidR="006402E2">
        <w:t xml:space="preserve"> -</w:t>
      </w:r>
      <w:proofErr w:type="gramEnd"/>
      <w:r w:rsidR="006402E2">
        <w:t xml:space="preserve"> </w:t>
      </w:r>
      <w:r>
        <w:t xml:space="preserve"> not model </w:t>
      </w:r>
      <w:proofErr w:type="gramStart"/>
      <w:r>
        <w:t xml:space="preserve">selection </w:t>
      </w:r>
      <w:r w:rsidR="006402E2">
        <w:t xml:space="preserve"> -</w:t>
      </w:r>
      <w:proofErr w:type="gramEnd"/>
      <w:r w:rsidR="006402E2">
        <w:t xml:space="preserve"> </w:t>
      </w:r>
      <w:r>
        <w:t xml:space="preserve"> drives the observed performance gains. Furthermore, pipeline arms achieve 95.5</w:t>
      </w:r>
      <w:r w:rsidR="006402E2">
        <w:t xml:space="preserve"> - </w:t>
      </w:r>
      <w:r>
        <w:t>96.0% citation validity versus 23.9</w:t>
      </w:r>
      <w:r w:rsidR="006402E2">
        <w:t xml:space="preserve"> - </w:t>
      </w:r>
      <w:r>
        <w:t xml:space="preserve">100% for </w:t>
      </w:r>
      <w:proofErr w:type="spellStart"/>
      <w:r>
        <w:t>websearch</w:t>
      </w:r>
      <w:proofErr w:type="spellEnd"/>
      <w:r>
        <w:t xml:space="preserve"> baselines, with websearch-GPT-5.2 exhibiting only 23.9% citation validity and 14.9% verifiability. We have added an introductory paragraph framing the architectural contribution, a Discussion section (Section 7) defending systems-level innovation, and a complete description of the 8-arm factorial design in Comparative Methods (Section 4.3).</w:t>
      </w:r>
    </w:p>
    <w:p w14:paraId="4985A438" w14:textId="77777777" w:rsidR="000159DD" w:rsidRDefault="00000000" w:rsidP="006402E2">
      <w:pPr>
        <w:spacing w:after="200"/>
        <w:jc w:val="both"/>
      </w:pPr>
      <w:r>
        <w:t xml:space="preserve"> </w:t>
      </w:r>
    </w:p>
    <w:p w14:paraId="26F9E777" w14:textId="77777777" w:rsidR="000159DD" w:rsidRDefault="00000000" w:rsidP="006402E2">
      <w:pPr>
        <w:pStyle w:val="Heading3"/>
        <w:spacing w:after="200"/>
        <w:jc w:val="both"/>
      </w:pPr>
      <w:r>
        <w:t>R1-B: Scoring weights (0.8/0.2) and threshold (0.52) lack sensitivity analysis</w:t>
      </w:r>
    </w:p>
    <w:p w14:paraId="5C318204" w14:textId="52CBF543" w:rsidR="000159DD" w:rsidRDefault="00000000" w:rsidP="006402E2">
      <w:pPr>
        <w:spacing w:after="120"/>
        <w:jc w:val="both"/>
      </w:pPr>
      <w:r>
        <w:t xml:space="preserve">We have conducted a comprehensive post-hoc sensitivity </w:t>
      </w:r>
      <w:proofErr w:type="gramStart"/>
      <w:r>
        <w:t>analysis</w:t>
      </w:r>
      <w:proofErr w:type="gramEnd"/>
      <w:r>
        <w:t xml:space="preserve"> over 273 hyperparameter configurations: retrieval weights from 0.0 to 1.0 in increments of 0.05 (21 values), and acceptance thresholds from 0.30 to 0.90 in increments of 0.05 (13 values). The results, presented in Section 6.1 with an accompanying heatmap (Figure 5a), reveal that P@10 is largely invariant to the retrieval weight across the range [0.0, 0.65], with peak performance concentrated in a narrow band where the threshold lies in [0.30, 0.50] and the retrieval weight in [0.40, 0.65]. Our chosen configuration (</w:t>
      </w:r>
      <w:proofErr w:type="spellStart"/>
      <w:r>
        <w:t>w_ret</w:t>
      </w:r>
      <w:proofErr w:type="spellEnd"/>
      <w:r>
        <w:t xml:space="preserve">=0.8, tau=0.52) sits at the conservative edge of this </w:t>
      </w:r>
      <w:proofErr w:type="gramStart"/>
      <w:r>
        <w:t>plateau</w:t>
      </w:r>
      <w:r w:rsidR="006402E2">
        <w:t>;</w:t>
      </w:r>
      <w:proofErr w:type="gramEnd"/>
      <w:r w:rsidR="006402E2">
        <w:t xml:space="preserve"> </w:t>
      </w:r>
      <w:r>
        <w:t>slightly beyond the peak band</w:t>
      </w:r>
      <w:r w:rsidR="006402E2">
        <w:t xml:space="preserve"> and </w:t>
      </w:r>
      <w:r>
        <w:t>deliberately prioritizing precision over recall via stronger vector weighting and a stricter threshold. P@10 degrades by only 0.03 relative to the optimum, confirming that performance is driven by the graph constraint itself rather than by hyperparameter tuning.</w:t>
      </w:r>
    </w:p>
    <w:p w14:paraId="7255BFB9" w14:textId="77777777" w:rsidR="000159DD" w:rsidRDefault="00000000" w:rsidP="006402E2">
      <w:pPr>
        <w:spacing w:after="200"/>
        <w:jc w:val="both"/>
      </w:pPr>
      <w:r>
        <w:t xml:space="preserve"> </w:t>
      </w:r>
    </w:p>
    <w:p w14:paraId="5EA9081A" w14:textId="77777777" w:rsidR="000159DD" w:rsidRDefault="00000000" w:rsidP="006402E2">
      <w:pPr>
        <w:pStyle w:val="Heading3"/>
        <w:spacing w:after="200"/>
        <w:jc w:val="both"/>
      </w:pPr>
      <w:r>
        <w:lastRenderedPageBreak/>
        <w:t>R1-C: Comparison restricted to a single GPT-4o baseline is insufficient</w:t>
      </w:r>
    </w:p>
    <w:p w14:paraId="056247F3" w14:textId="404544FF" w:rsidR="000159DD" w:rsidRDefault="00000000" w:rsidP="006402E2">
      <w:pPr>
        <w:spacing w:after="120"/>
        <w:jc w:val="both"/>
      </w:pPr>
      <w:r>
        <w:t xml:space="preserve">We have expanded </w:t>
      </w:r>
      <w:proofErr w:type="gramStart"/>
      <w:r>
        <w:t>to</w:t>
      </w:r>
      <w:proofErr w:type="gramEnd"/>
      <w:r>
        <w:t xml:space="preserve"> 4 state-of-the-art models, each tested in both pipeline and web-search configurations:</w:t>
      </w:r>
    </w:p>
    <w:p w14:paraId="266EEAB4" w14:textId="77777777" w:rsidR="000159DD" w:rsidRDefault="00000000" w:rsidP="006402E2">
      <w:pPr>
        <w:pStyle w:val="ListParagraph"/>
        <w:numPr>
          <w:ilvl w:val="0"/>
          <w:numId w:val="1"/>
        </w:numPr>
        <w:spacing w:after="100"/>
        <w:ind w:left="240"/>
        <w:jc w:val="both"/>
      </w:pPr>
      <w:r>
        <w:t>GPT-4.1 (OpenAI, April 2025)</w:t>
      </w:r>
    </w:p>
    <w:p w14:paraId="082EC26D" w14:textId="77777777" w:rsidR="000159DD" w:rsidRDefault="00000000" w:rsidP="006402E2">
      <w:pPr>
        <w:pStyle w:val="ListParagraph"/>
        <w:numPr>
          <w:ilvl w:val="0"/>
          <w:numId w:val="1"/>
        </w:numPr>
        <w:spacing w:after="100"/>
        <w:ind w:left="240"/>
        <w:jc w:val="both"/>
      </w:pPr>
      <w:r>
        <w:t>GPT-5.2 (OpenAI, December 2025)</w:t>
      </w:r>
    </w:p>
    <w:p w14:paraId="04E58A92" w14:textId="77777777" w:rsidR="000159DD" w:rsidRDefault="00000000" w:rsidP="006402E2">
      <w:pPr>
        <w:pStyle w:val="ListParagraph"/>
        <w:numPr>
          <w:ilvl w:val="0"/>
          <w:numId w:val="1"/>
        </w:numPr>
        <w:spacing w:after="100"/>
        <w:ind w:left="240"/>
        <w:jc w:val="both"/>
      </w:pPr>
      <w:r>
        <w:t>Claude Sonnet 4.5 (Anthropic, September 2025)</w:t>
      </w:r>
    </w:p>
    <w:p w14:paraId="5D7BDADB" w14:textId="311E9591" w:rsidR="000159DD" w:rsidRDefault="00000000" w:rsidP="006402E2">
      <w:pPr>
        <w:pStyle w:val="ListParagraph"/>
        <w:numPr>
          <w:ilvl w:val="0"/>
          <w:numId w:val="1"/>
        </w:numPr>
        <w:spacing w:after="100"/>
        <w:ind w:left="240"/>
        <w:jc w:val="both"/>
      </w:pPr>
      <w:r>
        <w:t>Claude Opus 4.6 (Anthropic, February 2026)</w:t>
      </w:r>
    </w:p>
    <w:p w14:paraId="7387F752" w14:textId="12B8EEBE" w:rsidR="000159DD" w:rsidRDefault="00000000" w:rsidP="006402E2">
      <w:pPr>
        <w:spacing w:after="120"/>
        <w:jc w:val="both"/>
      </w:pPr>
      <w:r>
        <w:t xml:space="preserve">Each </w:t>
      </w:r>
      <w:proofErr w:type="spellStart"/>
      <w:r>
        <w:t>websearch</w:t>
      </w:r>
      <w:proofErr w:type="spellEnd"/>
      <w:r>
        <w:t xml:space="preserve"> baseline receives up to 5 tool calls via the </w:t>
      </w:r>
      <w:proofErr w:type="spellStart"/>
      <w:r>
        <w:t>Tavily</w:t>
      </w:r>
      <w:proofErr w:type="spellEnd"/>
      <w:r>
        <w:t xml:space="preserve"> API with access to PubMed, Wikipedia, and biomedical databases. Every pipeline arm outperforms the corresponding </w:t>
      </w:r>
      <w:proofErr w:type="spellStart"/>
      <w:r>
        <w:t>websearch</w:t>
      </w:r>
      <w:proofErr w:type="spellEnd"/>
      <w:r>
        <w:t xml:space="preserve"> arm on P@1 (0.760</w:t>
      </w:r>
      <w:r w:rsidR="006402E2">
        <w:t xml:space="preserve"> - </w:t>
      </w:r>
      <w:r>
        <w:t>0.841 vs. 0.540</w:t>
      </w:r>
      <w:r w:rsidR="006402E2">
        <w:t xml:space="preserve"> - </w:t>
      </w:r>
      <w:r>
        <w:t>0.620). Pipeline-GPT-5.2 achieves P@10 of 0.525 versus 0.307 for websearch-GPT-5.2 (+71% relative improvement). Ten contrasts are statistically significant at Bonferroni-corrected alpha = 0.0018. These results are presented in the revised Abstract, Table 1 (expanded to 8 rows), and Section 4.3.</w:t>
      </w:r>
    </w:p>
    <w:p w14:paraId="4227F6FB" w14:textId="77777777" w:rsidR="000159DD" w:rsidRDefault="00000000" w:rsidP="006402E2">
      <w:pPr>
        <w:spacing w:after="200"/>
        <w:jc w:val="both"/>
      </w:pPr>
      <w:r>
        <w:t xml:space="preserve"> </w:t>
      </w:r>
    </w:p>
    <w:p w14:paraId="123ACE22" w14:textId="77777777" w:rsidR="000159DD" w:rsidRDefault="00000000" w:rsidP="006402E2">
      <w:pPr>
        <w:pStyle w:val="Heading3"/>
        <w:spacing w:after="200"/>
        <w:jc w:val="both"/>
      </w:pPr>
      <w:r>
        <w:t>R1-D: No execution time, throughput, or cost analysis</w:t>
      </w:r>
    </w:p>
    <w:p w14:paraId="7502A4BF" w14:textId="099D306B" w:rsidR="000159DD" w:rsidRDefault="00000000" w:rsidP="006402E2">
      <w:pPr>
        <w:spacing w:after="120"/>
        <w:jc w:val="both"/>
      </w:pPr>
      <w:r>
        <w:t>We now provide a detailed computational cost analysis in Section 6.2. The 400-experiment run completed in 532.8 seconds (1.3s per drug-arm pair). Pipeline arms consume 5.3M</w:t>
      </w:r>
      <w:r w:rsidR="006402E2">
        <w:t xml:space="preserve"> - </w:t>
      </w:r>
      <w:r>
        <w:t xml:space="preserve">18.5M tokens due to exhaustive graph traversal (tool call limit = 25), with pipeline-Sonnet-4.5 reaching 18.5M tokens. </w:t>
      </w:r>
      <w:proofErr w:type="spellStart"/>
      <w:r>
        <w:t>Websearch</w:t>
      </w:r>
      <w:proofErr w:type="spellEnd"/>
      <w:r>
        <w:t xml:space="preserve"> arms use 0.2M</w:t>
      </w:r>
      <w:r w:rsidR="006402E2">
        <w:t xml:space="preserve"> - </w:t>
      </w:r>
      <w:r>
        <w:t>1.6M tokens (tool call limit = 5), representing a 5</w:t>
      </w:r>
      <w:r w:rsidR="006402E2">
        <w:t xml:space="preserve"> - </w:t>
      </w:r>
      <w:r>
        <w:t xml:space="preserve">18x reduction in token cost. Estimated API costs per 50 drugs range from USD 13.25 (pipeline-GPT-5.2 at USD 0.27/drug) to USD 152.50 (pipeline-Opus-4.6 at USD 3.05/drug). </w:t>
      </w:r>
      <w:proofErr w:type="spellStart"/>
      <w:r>
        <w:t>Websearch</w:t>
      </w:r>
      <w:proofErr w:type="spellEnd"/>
      <w:r>
        <w:t xml:space="preserve"> arms cost USD 0.50</w:t>
      </w:r>
      <w:r w:rsidR="006402E2">
        <w:t xml:space="preserve"> - </w:t>
      </w:r>
      <w:r>
        <w:t>4.00 total. For large-scale deployment, vector caching reduces marginal costs to below USD 0.10/drug. Token usage is visualized in Figure 6.</w:t>
      </w:r>
    </w:p>
    <w:p w14:paraId="01772EA6" w14:textId="77777777" w:rsidR="000159DD" w:rsidRDefault="00000000" w:rsidP="006402E2">
      <w:pPr>
        <w:spacing w:after="200"/>
        <w:jc w:val="both"/>
      </w:pPr>
      <w:r>
        <w:t xml:space="preserve"> </w:t>
      </w:r>
    </w:p>
    <w:p w14:paraId="54454223" w14:textId="77777777" w:rsidR="000159DD" w:rsidRDefault="00000000" w:rsidP="006402E2">
      <w:pPr>
        <w:pStyle w:val="Heading3"/>
        <w:spacing w:after="200"/>
        <w:jc w:val="both"/>
      </w:pPr>
      <w:r>
        <w:t>R1-S4: False negative analysis to justify the precision-recall trade-off</w:t>
      </w:r>
    </w:p>
    <w:p w14:paraId="00071C86" w14:textId="5CD59736" w:rsidR="000159DD" w:rsidRDefault="00000000" w:rsidP="006402E2">
      <w:pPr>
        <w:spacing w:after="120"/>
        <w:jc w:val="both"/>
      </w:pPr>
      <w:r>
        <w:t xml:space="preserve">We have categorized all false negatives across 8 arms into 6 failure modes, presented in Section 6.3 with an accompanying distribution plot (Figure 7). The dominant category is "Not </w:t>
      </w:r>
      <w:proofErr w:type="gramStart"/>
      <w:r>
        <w:t>In</w:t>
      </w:r>
      <w:proofErr w:type="gramEnd"/>
      <w:r>
        <w:t xml:space="preserve"> Candidates" (89</w:t>
      </w:r>
      <w:r w:rsidR="006402E2">
        <w:t xml:space="preserve"> - </w:t>
      </w:r>
      <w:r>
        <w:t>91%), indicating that the LLM did not generate the disease as a candidate prediction regardless of evidence availability. The remaining categories are: No Evidence Found (5</w:t>
      </w:r>
      <w:r w:rsidR="006402E2">
        <w:t xml:space="preserve"> - </w:t>
      </w:r>
      <w:r>
        <w:t>8%), Name Mismatch (2</w:t>
      </w:r>
      <w:r w:rsidR="006402E2">
        <w:t xml:space="preserve"> - </w:t>
      </w:r>
      <w:r>
        <w:t>4%), and Low Retrieval Score / Low LLM Confidence / Below Threshold (each below 1%). Models predict only 3</w:t>
      </w:r>
      <w:r w:rsidR="006402E2">
        <w:t xml:space="preserve"> - </w:t>
      </w:r>
      <w:r>
        <w:t>15 diseases per drug (median: 7), while CTD ground truth contains 10</w:t>
      </w:r>
      <w:r w:rsidR="006402E2">
        <w:t xml:space="preserve"> - </w:t>
      </w:r>
      <w:r>
        <w:t>22 associations (median: 14), establishing a recall ceiling of approximately R@10 = 0.45 even with perfect retrieval. This confirms that the bottleneck is candidate generation, not evidence retrieval or scoring, and justifies our architecture's prioritization of precision over recall: emitted candidates are high-confidence and auditable, with lower total recall accepted as the necessary cost of mechanistic traceability.</w:t>
      </w:r>
    </w:p>
    <w:p w14:paraId="2BDDFD86" w14:textId="77777777" w:rsidR="000159DD" w:rsidRDefault="00000000" w:rsidP="006402E2">
      <w:pPr>
        <w:spacing w:after="200"/>
        <w:jc w:val="both"/>
      </w:pPr>
      <w:r>
        <w:t xml:space="preserve"> </w:t>
      </w:r>
    </w:p>
    <w:p w14:paraId="7E53C409" w14:textId="77777777" w:rsidR="000159DD" w:rsidRDefault="000159DD" w:rsidP="006402E2">
      <w:pPr>
        <w:pBdr>
          <w:bottom w:val="single" w:sz="6" w:space="1" w:color="auto"/>
        </w:pBdr>
        <w:spacing w:after="120"/>
        <w:jc w:val="both"/>
      </w:pPr>
    </w:p>
    <w:p w14:paraId="6E948A3F" w14:textId="77777777" w:rsidR="000159DD" w:rsidRDefault="00000000" w:rsidP="006402E2">
      <w:pPr>
        <w:spacing w:after="200"/>
        <w:jc w:val="both"/>
      </w:pPr>
      <w:r>
        <w:lastRenderedPageBreak/>
        <w:t xml:space="preserve"> </w:t>
      </w:r>
    </w:p>
    <w:p w14:paraId="53889230" w14:textId="77777777" w:rsidR="000159DD" w:rsidRDefault="00000000" w:rsidP="006402E2">
      <w:pPr>
        <w:pStyle w:val="Heading2"/>
        <w:spacing w:after="200"/>
        <w:jc w:val="both"/>
      </w:pPr>
      <w:r>
        <w:t>Reviewer 2</w:t>
      </w:r>
    </w:p>
    <w:p w14:paraId="395D2CA8" w14:textId="77777777" w:rsidR="000159DD" w:rsidRDefault="00000000" w:rsidP="006402E2">
      <w:pPr>
        <w:pStyle w:val="Heading3"/>
        <w:spacing w:after="200"/>
        <w:jc w:val="both"/>
      </w:pPr>
      <w:r>
        <w:t>R2-Main: Contribution is architectural and integrative rather than methodological</w:t>
      </w:r>
    </w:p>
    <w:p w14:paraId="4686EE1D" w14:textId="77777777" w:rsidR="000159DD" w:rsidRDefault="00000000" w:rsidP="006402E2">
      <w:pPr>
        <w:spacing w:after="120"/>
        <w:jc w:val="both"/>
      </w:pPr>
      <w:r>
        <w:t>We agree with this characterization and have reframed our contribution accordingly. Section 7 (Discussion) now explicitly acknowledges the architectural nature of the work while arguing that in safety-critical biomedical AI, system design and constraint enforcement are first-order contributions. The empirical evidence supporting this position includes: (</w:t>
      </w:r>
      <w:proofErr w:type="spellStart"/>
      <w:r>
        <w:t>i</w:t>
      </w:r>
      <w:proofErr w:type="spellEnd"/>
      <w:r>
        <w:t>) consistent performance gains across 4 frontier models and 400 experiments with statistical significance; (ii) a citation validity gap of 96% (pipeline) versus 24% (websearch-GPT-5.2); and (iii) the sensitivity analysis finding that P@10 is invariant to scoring weights, suggesting that the graph constraint itself, not hyperparameter tuning, drives performance.</w:t>
      </w:r>
    </w:p>
    <w:p w14:paraId="4169BA82" w14:textId="77777777" w:rsidR="000159DD" w:rsidRDefault="00000000" w:rsidP="006402E2">
      <w:pPr>
        <w:spacing w:after="200"/>
        <w:jc w:val="both"/>
      </w:pPr>
      <w:r>
        <w:t xml:space="preserve"> </w:t>
      </w:r>
    </w:p>
    <w:p w14:paraId="1024DD41" w14:textId="77777777" w:rsidR="000159DD" w:rsidRDefault="00000000" w:rsidP="006402E2">
      <w:pPr>
        <w:pStyle w:val="Heading3"/>
        <w:spacing w:after="200"/>
        <w:jc w:val="both"/>
      </w:pPr>
      <w:r>
        <w:t>R2: Evaluation scope limited to 50 drugs</w:t>
      </w:r>
    </w:p>
    <w:p w14:paraId="7148B9C9" w14:textId="5308DF87" w:rsidR="000159DD" w:rsidRDefault="00000000" w:rsidP="006402E2">
      <w:pPr>
        <w:spacing w:after="120"/>
        <w:jc w:val="both"/>
      </w:pPr>
      <w:r>
        <w:t xml:space="preserve">We provide statistical justification for the sample size. </w:t>
      </w:r>
      <w:r w:rsidR="006402E2">
        <w:t xml:space="preserve">While this is a choice due to cost constraints, we do offer the required analysis on this sample set. </w:t>
      </w:r>
      <w:r>
        <w:t>For the paired Wilcoxon signed-rank test, N=50 provides 80% power to detect effect sizes of Cohen's d &gt;= 0.40 at alpha = 0.05. The observed effect sizes are substantially larger: the difference in P@10 between pipeline-GPT-5.2 and websearch-GPT-5.2 (0.218) corresponds to d approximately equal to 0.85, well above the detectable threshold. With 8 arms yielding 28 pairwise comparisons under Bonferroni correction (alpha = 0.0018), 10 contrasts remain statistically significant, confirming adequate statistical power. We note that the total number of experiments is 400 (50 drugs x 8 arms), not 50. This justification is included in the revised Experimental Setup (Section 4.1).</w:t>
      </w:r>
    </w:p>
    <w:p w14:paraId="0E0C568C" w14:textId="77777777" w:rsidR="000159DD" w:rsidRDefault="00000000" w:rsidP="006402E2">
      <w:pPr>
        <w:spacing w:after="200"/>
        <w:jc w:val="both"/>
      </w:pPr>
      <w:r>
        <w:t xml:space="preserve"> </w:t>
      </w:r>
    </w:p>
    <w:p w14:paraId="0A60FC86" w14:textId="77777777" w:rsidR="000159DD" w:rsidRDefault="00000000" w:rsidP="006402E2">
      <w:pPr>
        <w:pStyle w:val="Heading3"/>
        <w:spacing w:after="200"/>
        <w:jc w:val="both"/>
      </w:pPr>
      <w:r>
        <w:t>R2: Scoring parameters set heuristically without sensitivity analysis</w:t>
      </w:r>
    </w:p>
    <w:p w14:paraId="45C454FB" w14:textId="77777777" w:rsidR="000159DD" w:rsidRDefault="00000000" w:rsidP="006402E2">
      <w:pPr>
        <w:spacing w:after="120"/>
        <w:jc w:val="both"/>
      </w:pPr>
      <w:r>
        <w:t>This concern is addressed identically to R1-B above. The 273-configuration grid search and accompanying heatmap demonstrate that the chosen parameters lie at the conservative edge of a robust performance plateau, with P@10 degrading by only 0.03 relative to the optimum.</w:t>
      </w:r>
    </w:p>
    <w:p w14:paraId="589003E3" w14:textId="1674224D" w:rsidR="000159DD" w:rsidRDefault="00000000" w:rsidP="006402E2">
      <w:pPr>
        <w:spacing w:after="200"/>
        <w:jc w:val="both"/>
      </w:pPr>
      <w:r>
        <w:t xml:space="preserve"> </w:t>
      </w:r>
    </w:p>
    <w:sectPr w:rsidR="000159D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F5E23"/>
    <w:multiLevelType w:val="hybridMultilevel"/>
    <w:tmpl w:val="85D6F55C"/>
    <w:lvl w:ilvl="0" w:tplc="8EEC83D0">
      <w:start w:val="1"/>
      <w:numFmt w:val="bullet"/>
      <w:lvlText w:val="●"/>
      <w:lvlJc w:val="left"/>
      <w:pPr>
        <w:ind w:left="1200" w:hanging="360"/>
      </w:pPr>
    </w:lvl>
    <w:lvl w:ilvl="1" w:tplc="6B8EBBD4">
      <w:start w:val="1"/>
      <w:numFmt w:val="bullet"/>
      <w:lvlText w:val="○"/>
      <w:lvlJc w:val="left"/>
      <w:pPr>
        <w:ind w:left="1920" w:hanging="360"/>
      </w:pPr>
    </w:lvl>
    <w:lvl w:ilvl="2" w:tplc="3F4E04EE">
      <w:start w:val="1"/>
      <w:numFmt w:val="bullet"/>
      <w:lvlText w:val="■"/>
      <w:lvlJc w:val="left"/>
      <w:pPr>
        <w:ind w:left="2640" w:hanging="360"/>
      </w:pPr>
    </w:lvl>
    <w:lvl w:ilvl="3" w:tplc="995829F6">
      <w:start w:val="1"/>
      <w:numFmt w:val="bullet"/>
      <w:lvlText w:val="●"/>
      <w:lvlJc w:val="left"/>
      <w:pPr>
        <w:ind w:left="3360" w:hanging="360"/>
      </w:pPr>
    </w:lvl>
    <w:lvl w:ilvl="4" w:tplc="20628FBE">
      <w:start w:val="1"/>
      <w:numFmt w:val="bullet"/>
      <w:lvlText w:val="○"/>
      <w:lvlJc w:val="left"/>
      <w:pPr>
        <w:ind w:left="4080" w:hanging="360"/>
      </w:pPr>
    </w:lvl>
    <w:lvl w:ilvl="5" w:tplc="04160014">
      <w:start w:val="1"/>
      <w:numFmt w:val="bullet"/>
      <w:lvlText w:val="■"/>
      <w:lvlJc w:val="left"/>
      <w:pPr>
        <w:ind w:left="4800" w:hanging="360"/>
      </w:pPr>
    </w:lvl>
    <w:lvl w:ilvl="6" w:tplc="791A41CE">
      <w:start w:val="1"/>
      <w:numFmt w:val="bullet"/>
      <w:lvlText w:val="●"/>
      <w:lvlJc w:val="left"/>
      <w:pPr>
        <w:ind w:left="5520" w:hanging="360"/>
      </w:pPr>
    </w:lvl>
    <w:lvl w:ilvl="7" w:tplc="E8CC8438">
      <w:start w:val="1"/>
      <w:numFmt w:val="bullet"/>
      <w:lvlText w:val="●"/>
      <w:lvlJc w:val="left"/>
      <w:pPr>
        <w:ind w:left="6240" w:hanging="360"/>
      </w:pPr>
    </w:lvl>
    <w:lvl w:ilvl="8" w:tplc="C34E0026">
      <w:start w:val="1"/>
      <w:numFmt w:val="bullet"/>
      <w:lvlText w:val="●"/>
      <w:lvlJc w:val="left"/>
      <w:pPr>
        <w:ind w:left="6960" w:hanging="360"/>
      </w:pPr>
    </w:lvl>
  </w:abstractNum>
  <w:num w:numId="1" w16cid:durableId="7839610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59DD"/>
    <w:rsid w:val="00001F82"/>
    <w:rsid w:val="000159DD"/>
    <w:rsid w:val="006402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640AB"/>
  <w15:docId w15:val="{2A705150-13D4-4473-954E-D5BAAE3B6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semiHidden/>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1111</Words>
  <Characters>6339</Characters>
  <Application>Microsoft Office Word</Application>
  <DocSecurity>0</DocSecurity>
  <Lines>52</Lines>
  <Paragraphs>14</Paragraphs>
  <ScaleCrop>false</ScaleCrop>
  <Company/>
  <LinksUpToDate>false</LinksUpToDate>
  <CharactersWithSpaces>7436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Rangan Das</cp:lastModifiedBy>
  <cp:revision>2</cp:revision>
  <dcterms:created xsi:type="dcterms:W3CDTF">2026-02-16T02:58:00Z</dcterms:created>
  <dcterms:modified xsi:type="dcterms:W3CDTF">2026-02-16T03:01:00Z</dcterms:modified>
</cp:coreProperties>
</file>