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b/>
          <w:bCs/>
          <w:color w:val="1B2A4A"/>
          <w:sz w:val="56"/>
          <w:szCs w:val="56"/>
        </w:rPr>
        <w:t xml:space="preserve">RANGE MEDICAL</w:t>
      </w:r>
    </w:p>
    <w:p>
      <w:pPr>
        <w:spacing w:after="560" w:before="0"/>
        <w:jc w:val="center"/>
      </w:pPr>
      <w:r>
        <w:rPr>
          <w:rFonts w:ascii="Arial" w:cs="Arial" w:eastAsia="Arial" w:hAnsi="Arial"/>
          <w:color w:val="555555"/>
          <w:sz w:val="20"/>
          <w:szCs w:val="20"/>
        </w:rPr>
        <w:t xml:space="preserve">Newport Beach, CA  •  range-medical.com  •  (949) 997-3988</w:t>
      </w:r>
    </w:p>
    <w:p>
      <w:pPr>
        <w:spacing w:after="160" w:before="0"/>
        <w:jc w:val="center"/>
      </w:pPr>
      <w:r>
        <w:rPr>
          <w:rFonts w:ascii="Arial" w:cs="Arial" w:eastAsia="Arial" w:hAnsi="Arial"/>
          <w:b/>
          <w:bCs/>
          <w:color w:val="2B6E72"/>
          <w:sz w:val="48"/>
          <w:szCs w:val="48"/>
        </w:rPr>
        <w:t xml:space="preserve">Range Outcomes Membership</w:t>
      </w:r>
    </w:p>
    <w:p>
      <w:pPr>
        <w:spacing w:after="560" w:before="0"/>
        <w:jc w:val="center"/>
      </w:pPr>
      <w:r>
        <w:rPr>
          <w:rFonts w:ascii="Arial" w:cs="Arial" w:eastAsia="Arial" w:hAnsi="Arial"/>
          <w:i/>
          <w:iCs/>
          <w:color w:val="555555"/>
          <w:sz w:val="26"/>
          <w:szCs w:val="26"/>
        </w:rPr>
        <w:t xml:space="preserve">Three-Tier Offer Architecture  —  Lite / Core / Elite</w:t>
      </w:r>
    </w:p>
    <w:p>
      <w:pPr>
        <w:pBdr>
          <w:bottom w:val="single" w:color="1B2A4A" w:sz="8"/>
        </w:pBdr>
        <w:spacing w:after="200" w:before="0"/>
      </w:pPr>
    </w:p>
    <w:p>
      <w:pPr>
        <w:jc w:val="center"/>
      </w:pPr>
      <w:r>
        <w:rPr>
          <w:rFonts w:ascii="Arial" w:cs="Arial" w:eastAsia="Arial" w:hAnsi="Arial"/>
          <w:i/>
          <w:iCs/>
          <w:color w:val="555555"/>
          <w:sz w:val="20"/>
          <w:szCs w:val="20"/>
        </w:rPr>
        <w:t xml:space="preserve">Internal review • Investor briefing • Confidential  —  March 2026</w:t>
      </w:r>
    </w:p>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1. ASSUMPTIONS &amp; FRAMEWORK</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Core Framework</w:t>
      </w:r>
    </w:p>
    <w:p>
      <w:pPr>
        <w:pStyle w:val="ListParagraph"/>
        <w:numPr>
          <w:ilvl w:val="0"/>
          <w:numId w:val="2"/>
        </w:numPr>
        <w:spacing w:after="40" w:before="40"/>
      </w:pPr>
      <w:r>
        <w:rPr>
          <w:rFonts w:ascii="Arial" w:cs="Arial" w:eastAsia="Arial" w:hAnsi="Arial"/>
          <w:b w:val="false"/>
          <w:bCs w:val="false"/>
          <w:color w:val="1A1A1A"/>
          <w:sz w:val="20"/>
          <w:szCs w:val="20"/>
        </w:rPr>
        <w:t xml:space="preserve">One chassis: Range Outcomes Membership. Two tracks (Recovery &amp; Performance / Energy &amp; Optimization). Three intensity tiers (Lite / Core / Elite).</w:t>
      </w:r>
    </w:p>
    <w:p>
      <w:pPr>
        <w:pStyle w:val="ListParagraph"/>
        <w:numPr>
          <w:ilvl w:val="0"/>
          <w:numId w:val="2"/>
        </w:numPr>
        <w:spacing w:after="40" w:before="40"/>
      </w:pPr>
      <w:r>
        <w:rPr>
          <w:rFonts w:ascii="Arial" w:cs="Arial" w:eastAsia="Arial" w:hAnsi="Arial"/>
          <w:b w:val="false"/>
          <w:bCs w:val="false"/>
          <w:color w:val="1A1A1A"/>
          <w:sz w:val="20"/>
          <w:szCs w:val="20"/>
        </w:rPr>
        <w:t xml:space="preserve">All tiers and tracks share the same underlying structure. Tier controls volume of sessions and visits. Track controls which clinical protocol is layered on top.</w:t>
      </w:r>
    </w:p>
    <w:p>
      <w:pPr>
        <w:pStyle w:val="ListParagraph"/>
        <w:numPr>
          <w:ilvl w:val="0"/>
          <w:numId w:val="2"/>
        </w:numPr>
        <w:spacing w:after="40" w:before="40"/>
      </w:pPr>
      <w:r>
        <w:rPr>
          <w:rFonts w:ascii="Arial" w:cs="Arial" w:eastAsia="Arial" w:hAnsi="Arial"/>
          <w:b w:val="false"/>
          <w:bCs w:val="false"/>
          <w:color w:val="1A1A1A"/>
          <w:sz w:val="20"/>
          <w:szCs w:val="20"/>
        </w:rPr>
        <w:t xml:space="preserve">All tiers billed every 4 weeks (rolling month). 30-day written cancellation notice.</w:t>
      </w:r>
    </w:p>
    <w:p>
      <w:pPr>
        <w:pStyle w:val="ListParagraph"/>
        <w:numPr>
          <w:ilvl w:val="0"/>
          <w:numId w:val="2"/>
        </w:numPr>
        <w:spacing w:after="40" w:before="40"/>
      </w:pPr>
      <w:r>
        <w:rPr>
          <w:rFonts w:ascii="Arial" w:cs="Arial" w:eastAsia="Arial" w:hAnsi="Arial"/>
          <w:b w:val="false"/>
          <w:bCs w:val="false"/>
          <w:color w:val="1A1A1A"/>
          <w:sz w:val="20"/>
          <w:szCs w:val="20"/>
        </w:rPr>
        <w:t xml:space="preserve">Core ($1,299) is the flagship — the tier all pricing, scripting, and operations are designed around.</w:t>
      </w:r>
    </w:p>
    <w:p>
      <w:pPr>
        <w:pStyle w:val="ListParagraph"/>
        <w:numPr>
          <w:ilvl w:val="0"/>
          <w:numId w:val="2"/>
        </w:numPr>
        <w:spacing w:after="40" w:before="40"/>
      </w:pPr>
      <w:r>
        <w:rPr>
          <w:rFonts w:ascii="Arial" w:cs="Arial" w:eastAsia="Arial" w:hAnsi="Arial"/>
          <w:b w:val="false"/>
          <w:bCs w:val="false"/>
          <w:color w:val="1A1A1A"/>
          <w:sz w:val="20"/>
          <w:szCs w:val="20"/>
        </w:rPr>
        <w:t xml:space="preserve">Elite ($2,499) is the anchor — exists to make Core feel reasonable and capture ultra-premium patients.</w:t>
      </w:r>
    </w:p>
    <w:p>
      <w:pPr>
        <w:pStyle w:val="ListParagraph"/>
        <w:numPr>
          <w:ilvl w:val="0"/>
          <w:numId w:val="2"/>
        </w:numPr>
        <w:spacing w:after="40" w:before="40"/>
      </w:pPr>
      <w:r>
        <w:rPr>
          <w:rFonts w:ascii="Arial" w:cs="Arial" w:eastAsia="Arial" w:hAnsi="Arial"/>
          <w:b w:val="false"/>
          <w:bCs w:val="false"/>
          <w:color w:val="1A1A1A"/>
          <w:sz w:val="20"/>
          <w:szCs w:val="20"/>
        </w:rPr>
        <w:t xml:space="preserve">Lite ($799) is the step-down — for price-sensitive or maintenance-phase patients, not for de-novo acquisition.</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NAD &amp; GLP-1 — Separate Programs (All Tiers)</w:t>
      </w:r>
    </w:p>
    <w:p>
      <w:pPr>
        <w:pStyle w:val="ListParagraph"/>
        <w:numPr>
          <w:ilvl w:val="0"/>
          <w:numId w:val="2"/>
        </w:numPr>
        <w:spacing w:after="40" w:before="40"/>
      </w:pPr>
      <w:r>
        <w:rPr>
          <w:rFonts w:ascii="Arial" w:cs="Arial" w:eastAsia="Arial" w:hAnsi="Arial"/>
          <w:b w:val="false"/>
          <w:bCs w:val="false"/>
          <w:color w:val="1A1A1A"/>
          <w:sz w:val="20"/>
          <w:szCs w:val="20"/>
        </w:rPr>
        <w:t xml:space="preserve">NAD+ is never bundled into any tier. It only works clinically at 3 injections/week for 12 weeks (36 total). Offered as a standalone 12-Week NAD Upgrade program priced at $2,499.</w:t>
      </w:r>
    </w:p>
    <w:p>
      <w:pPr>
        <w:pStyle w:val="ListParagraph"/>
        <w:numPr>
          <w:ilvl w:val="0"/>
          <w:numId w:val="2"/>
        </w:numPr>
        <w:spacing w:after="40" w:before="40"/>
      </w:pPr>
      <w:r>
        <w:rPr>
          <w:rFonts w:ascii="Arial" w:cs="Arial" w:eastAsia="Arial" w:hAnsi="Arial"/>
          <w:b w:val="false"/>
          <w:bCs w:val="false"/>
          <w:color w:val="1A1A1A"/>
          <w:sz w:val="20"/>
          <w:szCs w:val="20"/>
        </w:rPr>
        <w:t xml:space="preserve">GLP-1 drugs (Tirzepatide, Retatrutide, Semaglutide) are carved out of all tiers. Billed at drug cost + $99/4-week GLP-1 clinical management fee regardless of tier.</w:t>
      </w:r>
    </w:p>
    <w:p>
      <w:pPr>
        <w:pStyle w:val="ListParagraph"/>
        <w:numPr>
          <w:ilvl w:val="0"/>
          <w:numId w:val="2"/>
        </w:numPr>
        <w:spacing w:after="40" w:before="40"/>
      </w:pPr>
      <w:r>
        <w:rPr>
          <w:rFonts w:ascii="Arial" w:cs="Arial" w:eastAsia="Arial" w:hAnsi="Arial"/>
          <w:b w:val="false"/>
          <w:bCs w:val="false"/>
          <w:color w:val="1A1A1A"/>
          <w:sz w:val="20"/>
          <w:szCs w:val="20"/>
        </w:rPr>
        <w:t xml:space="preserve">NAD IV drips are separate à la carte services and not part of the injection upgrade program.</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COGS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Modality</w:t>
            </w:r>
          </w:p>
        </w:tc>
        <w:tc>
          <w:tcPr>
            <w:tcW w:type="dxa" w:w="1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COGS</w:t>
            </w:r>
          </w:p>
        </w:tc>
        <w:tc>
          <w:tcPr>
            <w:tcW w:type="dxa" w:w="4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Source / Notes</w:t>
            </w:r>
          </w:p>
        </w:tc>
      </w:tr>
      <w:tr>
        <w:tc>
          <w:tcPr>
            <w:tcW w:type="dxa" w:w="28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HBOT + RLT Combo (60+20 min)</w:t>
            </w:r>
          </w:p>
        </w:tc>
        <w:tc>
          <w:tcPr>
            <w:tcW w:type="dxa" w:w="1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$33/session</w:t>
            </w:r>
          </w:p>
        </w:tc>
        <w:tc>
          <w:tcPr>
            <w:tcW w:type="dxa" w:w="4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Modeled at $25/hr rate. Equipment depreciation TBD.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Range IV (500mL)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$37.53/session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Confirmed from two March 2026 infusion notes.</w:t>
            </w:r>
          </w:p>
        </w:tc>
      </w:tr>
      <w:tr>
        <w:tc>
          <w:tcPr>
            <w:tcW w:type="dxa" w:w="28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Provider Check-In</w:t>
            </w:r>
          </w:p>
        </w:tc>
        <w:tc>
          <w:tcPr>
            <w:tcW w:type="dxa" w:w="1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$25/visit</w:t>
            </w:r>
          </w:p>
        </w:tc>
        <w:tc>
          <w:tcPr>
            <w:tcW w:type="dxa" w:w="4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Physician time allocation estimate. Verify with Dr. Burgess.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Essential Lab Panel (avg)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$160/panel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Men’s $149.03, Women’s $171.03. Avg used.</w:t>
            </w:r>
          </w:p>
        </w:tc>
      </w:tr>
      <w:tr>
        <w:tc>
          <w:tcPr>
            <w:tcW w:type="dxa" w:w="28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Testosterone Cypionate</w:t>
            </w:r>
          </w:p>
        </w:tc>
        <w:tc>
          <w:tcPr>
            <w:tcW w:type="dxa" w:w="1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$3.94/4-week period</w:t>
            </w:r>
          </w:p>
        </w:tc>
        <w:tc>
          <w:tcPr>
            <w:tcW w:type="dxa" w:w="4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Anazao 200mg/mL 10mL MDV @ $39.42. ≈1 vial/month.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NAD+ Injection (100mg)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$10.17/injection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$7.70 drug (Pyxis 1000mg vial @ $77) + $2.47 hardware.</w:t>
            </w:r>
          </w:p>
        </w:tc>
      </w:tr>
      <w:tr>
        <w:tc>
          <w:tcPr>
            <w:tcW w:type="dxa" w:w="28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Peptide drug cap (Elite)</w:t>
            </w:r>
          </w:p>
        </w:tc>
        <w:tc>
          <w:tcPr>
            <w:tcW w:type="dxa" w:w="1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$145 COGS/period</w:t>
            </w:r>
          </w:p>
        </w:tc>
        <w:tc>
          <w:tcPr>
            <w:tcW w:type="dxa" w:w="4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BPC-157/TB-4 or 4X Blend 30-day kit at confirmed Pyxis cost.</w:t>
            </w:r>
          </w:p>
        </w:tc>
      </w:tr>
    </w:tbl>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2. ECONOMICS BY TIER</w:t>
      </w:r>
    </w:p>
    <w:p>
      <w:pPr>
        <w:spacing w:after="80" w:before="0"/>
      </w:pPr>
    </w:p>
    <w:p>
      <w:pPr>
        <w:spacing w:after="120" w:before="0"/>
      </w:pPr>
      <w:r>
        <w:rPr>
          <w:rFonts w:ascii="Arial" w:cs="Arial" w:eastAsia="Arial" w:hAnsi="Arial"/>
          <w:color w:val="1A1A1A"/>
          <w:sz w:val="20"/>
          <w:szCs w:val="20"/>
        </w:rPr>
        <w:t xml:space="preserve">All margins calculated per 4-week period. Labs amortized over 13 four-week periods/year. Drug costs for Lite track are billed separately (COGS+20% for HRT and peptides) so they do not appear in the clinic-side COGS. Elite tier includes one peptide protocol’s drugs up to a $145 COGS cap.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Tier</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Price</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Base COGS</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Recov. COGS</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Energy COGS</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Margin Range</w:t>
            </w:r>
          </w:p>
        </w:tc>
        <w:tc>
          <w:tcPr>
            <w:tcW w:type="dxa" w:w="1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Note</w:t>
            </w:r>
          </w:p>
        </w:tc>
      </w:tr>
      <w:tr>
        <w:tc>
          <w:tcPr>
            <w:tcW w:type="dxa" w:w="1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Lite</w:t>
            </w:r>
          </w:p>
        </w:tc>
        <w:tc>
          <w:tcPr>
            <w:tcW w:type="dxa" w:w="12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$799</w:t>
            </w:r>
          </w:p>
        </w:tc>
        <w:tc>
          <w:tcPr>
            <w:tcW w:type="dxa" w:w="12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$121.88</w:t>
            </w:r>
          </w:p>
        </w:tc>
        <w:tc>
          <w:tcPr>
            <w:tcW w:type="dxa" w:w="12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$121.88</w:t>
            </w:r>
          </w:p>
        </w:tc>
        <w:tc>
          <w:tcPr>
            <w:tcW w:type="dxa" w:w="12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$121.88</w:t>
            </w:r>
          </w:p>
        </w:tc>
        <w:tc>
          <w:tcPr>
            <w:tcW w:type="dxa" w:w="12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84.7%</w:t>
            </w:r>
          </w:p>
        </w:tc>
        <w:tc>
          <w:tcPr>
            <w:tcW w:type="dxa" w:w="1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Drugs billed separately — not in clinic COGS</w:t>
            </w:r>
          </w:p>
        </w:tc>
      </w:tr>
      <w:tr>
        <w:tc>
          <w:tcPr>
            <w:tcW w:type="dxa" w:w="14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1A1A1A"/>
                <w:sz w:val="18"/>
                <w:szCs w:val="18"/>
              </w:rPr>
              <w:t xml:space="preserve">Core ★</w:t>
            </w:r>
          </w:p>
        </w:tc>
        <w:tc>
          <w:tcPr>
            <w:tcW w:type="dxa" w:w="12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$1,299</w:t>
            </w:r>
          </w:p>
        </w:tc>
        <w:tc>
          <w:tcPr>
            <w:tcW w:type="dxa" w:w="12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$231.45</w:t>
            </w:r>
          </w:p>
        </w:tc>
        <w:tc>
          <w:tcPr>
            <w:tcW w:type="dxa" w:w="12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$231.45</w:t>
            </w:r>
          </w:p>
        </w:tc>
        <w:tc>
          <w:tcPr>
            <w:tcW w:type="dxa" w:w="12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$235.39</w:t>
            </w:r>
          </w:p>
        </w:tc>
        <w:tc>
          <w:tcPr>
            <w:tcW w:type="dxa" w:w="12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81.9–82.2%</w:t>
            </w:r>
          </w:p>
        </w:tc>
        <w:tc>
          <w:tcPr>
            <w:tcW w:type="dxa" w:w="196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Flagship. Energy includes testosterone drug.</w:t>
            </w:r>
          </w:p>
        </w:tc>
      </w:tr>
      <w:tr>
        <w:tc>
          <w:tcPr>
            <w:tcW w:type="dxa" w:w="140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left"/>
            </w:pPr>
            <w:r>
              <w:rPr>
                <w:rFonts w:ascii="Arial" w:cs="Arial" w:eastAsia="Arial" w:hAnsi="Arial"/>
                <w:b/>
                <w:bCs/>
                <w:color w:val="1A1A1A"/>
                <w:sz w:val="18"/>
                <w:szCs w:val="18"/>
              </w:rPr>
              <w:t xml:space="preserve">Elite</w:t>
            </w:r>
          </w:p>
        </w:tc>
        <w:tc>
          <w:tcPr>
            <w:tcW w:type="dxa" w:w="120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$2,499</w:t>
            </w:r>
          </w:p>
        </w:tc>
        <w:tc>
          <w:tcPr>
            <w:tcW w:type="dxa" w:w="120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$438.29</w:t>
            </w:r>
          </w:p>
        </w:tc>
        <w:tc>
          <w:tcPr>
            <w:tcW w:type="dxa" w:w="120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$583.29</w:t>
            </w:r>
          </w:p>
        </w:tc>
        <w:tc>
          <w:tcPr>
            <w:tcW w:type="dxa" w:w="120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$587.23</w:t>
            </w:r>
          </w:p>
        </w:tc>
        <w:tc>
          <w:tcPr>
            <w:tcW w:type="dxa" w:w="120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76.5–76.7%</w:t>
            </w:r>
          </w:p>
        </w:tc>
        <w:tc>
          <w:tcPr>
            <w:tcW w:type="dxa" w:w="196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One peptide protocol’s drug cost included up to $145 COGS cap.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Cost Component</w:t>
            </w:r>
          </w:p>
        </w:tc>
        <w:tc>
          <w:tcPr>
            <w:tcW w:type="dxa" w:w="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Lite
Recov.</w:t>
            </w:r>
          </w:p>
        </w:tc>
        <w:tc>
          <w:tcPr>
            <w:tcW w:type="dxa" w:w="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Lite
Energy</w:t>
            </w:r>
          </w:p>
        </w:tc>
        <w:tc>
          <w:tcPr>
            <w:tcW w:type="dxa" w:w="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Core
Recov.</w:t>
            </w:r>
          </w:p>
        </w:tc>
        <w:tc>
          <w:tcPr>
            <w:tcW w:type="dxa" w:w="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Core
Energy</w:t>
            </w:r>
          </w:p>
        </w:tc>
        <w:tc>
          <w:tcPr>
            <w:tcW w:type="dxa" w:w="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Elite
Recov.</w:t>
            </w:r>
          </w:p>
        </w:tc>
        <w:tc>
          <w:tcPr>
            <w:tcW w:type="dxa" w:w="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Elite
Energy</w:t>
            </w:r>
          </w:p>
        </w:tc>
        <w:tc>
          <w:tcPr>
            <w:tcW w:type="dxa" w:w="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sessions</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$66</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$66</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$132</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$132</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$264</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$264</w:t>
            </w:r>
          </w:p>
        </w:tc>
        <w:tc>
          <w:tcPr>
            <w:tcW w:type="dxa" w:w="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2 / 4 / 8 sessions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Range IV</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$18.77</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$18.77</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$37.53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$37.53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$75.06</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$75.06</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0.5 / 1 / 2 sessions</w:t>
            </w:r>
          </w:p>
        </w:tc>
      </w:tr>
      <w:tr>
        <w:tc>
          <w:tcPr>
            <w:tcW w:type="dxa" w:w="20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Provider check-in</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$12.50</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$12.50</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$25.00</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$25.00</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$50.00</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$50.00</w:t>
            </w:r>
          </w:p>
        </w:tc>
        <w:tc>
          <w:tcPr>
            <w:tcW w:type="dxa" w:w="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0.5 / 1 / 2 visits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Labs (amortized)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$24.62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$24.62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$36.92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$36.92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$49.23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$49.23</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2 / 3 / 4 per year</w:t>
            </w:r>
          </w:p>
        </w:tc>
      </w:tr>
      <w:tr>
        <w:tc>
          <w:tcPr>
            <w:tcW w:type="dxa" w:w="20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Testosterone drug</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$3.94</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$3.94</w:t>
            </w:r>
          </w:p>
        </w:tc>
        <w:tc>
          <w:tcPr>
            <w:tcW w:type="dxa" w:w="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Lite: at COGS+20%. Core Recov: 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Peptide drug cap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$145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$145</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Elite only. Up to $145 COGS cap.</w:t>
            </w:r>
          </w:p>
        </w:tc>
      </w:tr>
      <w:tr>
        <w:tc>
          <w:tcPr>
            <w:tcW w:type="dxa" w:w="20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1A1A1A"/>
                <w:sz w:val="18"/>
                <w:szCs w:val="18"/>
              </w:rPr>
              <w:t xml:space="preserve">TOTAL COGS</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$121.88</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$121.88</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$231.45</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$235.39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$583.29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$587.23</w:t>
            </w:r>
          </w:p>
        </w:tc>
        <w:tc>
          <w:tcPr>
            <w:tcW w:type="dxa" w:w="96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1A1A1A"/>
                <w:sz w:val="18"/>
                <w:szCs w:val="18"/>
              </w:rPr>
              <w:t xml:space="preserve"/>
            </w:r>
          </w:p>
        </w:tc>
      </w:tr>
      <w:tr>
        <w:tc>
          <w:tcPr>
            <w:tcW w:type="dxa" w:w="20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1A1A1A"/>
                <w:sz w:val="18"/>
                <w:szCs w:val="18"/>
              </w:rPr>
              <w:t xml:space="preserve">Revenue</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$799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$799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$1,299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$1,299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$2,499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$2,499</w:t>
            </w:r>
          </w:p>
        </w:tc>
        <w:tc>
          <w:tcPr>
            <w:tcW w:type="dxa" w:w="96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1A1A1A"/>
                <w:sz w:val="18"/>
                <w:szCs w:val="18"/>
              </w:rPr>
              <w:t xml:space="preserve"/>
            </w:r>
          </w:p>
        </w:tc>
      </w:tr>
      <w:tr>
        <w:tc>
          <w:tcPr>
            <w:tcW w:type="dxa" w:w="20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2E6B35"/>
                <w:sz w:val="18"/>
                <w:szCs w:val="18"/>
              </w:rPr>
              <w:t xml:space="preserve">Gross Margin</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84.7%</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84.7%</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82.2%</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81.9%</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76.7%</w:t>
            </w:r>
          </w:p>
        </w:tc>
        <w:tc>
          <w:tcPr>
            <w:tcW w:type="dxa" w:w="90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bCs/>
                <w:color w:val="2E6B35"/>
                <w:sz w:val="18"/>
                <w:szCs w:val="18"/>
              </w:rPr>
              <w:t xml:space="preserve">76.5%</w:t>
            </w:r>
          </w:p>
        </w:tc>
        <w:tc>
          <w:tcPr>
            <w:tcW w:type="dxa" w:w="96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left"/>
            </w:pPr>
            <w:r>
              <w:rPr>
                <w:rFonts w:ascii="Arial" w:cs="Arial" w:eastAsia="Arial" w:hAnsi="Arial"/>
                <w:b/>
                <w:bCs/>
                <w:color w:val="2E6B35"/>
                <w:sz w:val="18"/>
                <w:szCs w:val="18"/>
              </w:rPr>
              <w:t xml:space="preserve">All exceed 65% floor</w:t>
            </w:r>
          </w:p>
        </w:tc>
      </w:tr>
    </w:tbl>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NAD 12-Week Upgrade — Separate Program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Component</w:t>
            </w:r>
          </w:p>
        </w:tc>
        <w:tc>
          <w:tcPr>
            <w:tcW w:type="dxa" w:w="1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COGS</w:t>
            </w:r>
          </w:p>
        </w:tc>
        <w:tc>
          <w:tcPr>
            <w:tcW w:type="dxa" w:w="1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Price</w:t>
            </w:r>
          </w:p>
        </w:tc>
        <w:tc>
          <w:tcPr>
            <w:tcW w:type="dxa" w:w="3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Notes</w:t>
            </w:r>
          </w:p>
        </w:tc>
      </w:tr>
      <w:tr>
        <w:tc>
          <w:tcPr>
            <w:tcW w:type="dxa" w:w="30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36 NAD+ injections (100mg × 3×/week × 12 weeks)</w:t>
            </w:r>
          </w:p>
        </w:tc>
        <w:tc>
          <w:tcPr>
            <w:tcW w:type="dxa" w:w="168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$366.12</w:t>
            </w:r>
          </w:p>
        </w:tc>
        <w:tc>
          <w:tcPr>
            <w:tcW w:type="dxa" w:w="168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bCs/>
                <w:color w:val="1A1A1A"/>
                <w:sz w:val="18"/>
                <w:szCs w:val="18"/>
              </w:rPr>
              <w:t xml:space="preserve">$1,800 standard  |  $1,500 upfront</w:t>
            </w:r>
          </w:p>
        </w:tc>
        <w:tc>
          <w:tcPr>
            <w:tcW w:type="dxa" w:w="30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Standard: 79.7% margin ($1,434 GP). Upfront: 75.6% margin ($1,134 GP). Source: Pyxis 1000mg @ $77. $1,800 = exact à la carte rate. $1,500 rewards upfront commitment (17% off). Both above 65% floor.</w:t>
            </w:r>
          </w:p>
        </w:tc>
      </w:tr>
    </w:tbl>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3. RANGE OUTCOMES MEMBERSHIP — FULL SPEC</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Tier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Inclusion</w:t>
            </w:r>
          </w:p>
        </w:tc>
        <w:tc>
          <w:tcPr>
            <w:tcW w:type="dxa" w:w="23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 Lite  |  $799 / 4 wks</w:t>
            </w:r>
          </w:p>
        </w:tc>
        <w:tc>
          <w:tcPr>
            <w:tcW w:type="dxa" w:w="23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 Core  |  $1,299 / 4 wks</w:t>
            </w:r>
          </w:p>
        </w:tc>
        <w:tc>
          <w:tcPr>
            <w:tcW w:type="dxa" w:w="23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 Elite  |  $2,499 / 4 wks</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HBOT + RLT Combo Sessions</w:t>
            </w:r>
          </w:p>
        </w:tc>
        <w:tc>
          <w:tcPr>
            <w:tcW w:type="dxa" w:w="23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 / period</w:t>
            </w:r>
          </w:p>
        </w:tc>
        <w:tc>
          <w:tcPr>
            <w:tcW w:type="dxa" w:w="232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4 / period (1×/wk)</w:t>
            </w:r>
          </w:p>
        </w:tc>
        <w:tc>
          <w:tcPr>
            <w:tcW w:type="dxa" w:w="2320"/>
            <w:tcBorders>
              <w:top w:val="single" w:color="CCCCCC" w:sz="1"/>
              <w:left w:val="single" w:color="CCCCCC" w:sz="1"/>
              <w:bottom w:val="single" w:color="CCCCCC" w:sz="1"/>
              <w:right w:val="single" w:color="CCCCCC" w:sz="1"/>
            </w:tcBorders>
            <w:shd w:fill="F0E0B0"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8 / period (2×/wk)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Range IV Infusions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0.5 / period (1 every 8 wks)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 / period</w:t>
            </w:r>
          </w:p>
        </w:tc>
        <w:tc>
          <w:tcPr>
            <w:tcW w:type="dxa" w:w="232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 / period</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Provider Touchpoints</w:t>
            </w:r>
          </w:p>
        </w:tc>
        <w:tc>
          <w:tcPr>
            <w:tcW w:type="dxa" w:w="23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0.5 / period (1 every 8 wks)</w:t>
            </w:r>
          </w:p>
        </w:tc>
        <w:tc>
          <w:tcPr>
            <w:tcW w:type="dxa" w:w="232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1 visit / period</w:t>
            </w:r>
          </w:p>
        </w:tc>
        <w:tc>
          <w:tcPr>
            <w:tcW w:type="dxa" w:w="2320"/>
            <w:tcBorders>
              <w:top w:val="single" w:color="CCCCCC" w:sz="1"/>
              <w:left w:val="single" w:color="CCCCCC" w:sz="1"/>
              <w:bottom w:val="single" w:color="CCCCCC" w:sz="1"/>
              <w:right w:val="single" w:color="CCCCCC" w:sz="1"/>
            </w:tcBorders>
            <w:shd w:fill="F0E0B0"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 / period (1 visit + 1 telehealth)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Essential Lab Panels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2 / year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3 / year</w:t>
            </w:r>
          </w:p>
        </w:tc>
        <w:tc>
          <w:tcPr>
            <w:tcW w:type="dxa" w:w="232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4 / year (quarterly)</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Member Rate on à la carte</w:t>
            </w:r>
          </w:p>
        </w:tc>
        <w:tc>
          <w:tcPr>
            <w:tcW w:type="dxa" w:w="23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0E0B0"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Priority / Concierge Sched.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Recovery: Peptide Mgmt</w:t>
            </w:r>
          </w:p>
        </w:tc>
        <w:tc>
          <w:tcPr>
            <w:tcW w:type="dxa" w:w="23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 clinical mgmt
Drugs at COGS+20%</w:t>
            </w:r>
          </w:p>
        </w:tc>
        <w:tc>
          <w:tcPr>
            <w:tcW w:type="dxa" w:w="2320"/>
            <w:tcBorders>
              <w:top w:val="single" w:color="CCCCCC" w:sz="1"/>
              <w:left w:val="single" w:color="CCCCCC" w:sz="1"/>
              <w:bottom w:val="single" w:color="CCCCCC" w:sz="1"/>
              <w:right w:val="single" w:color="CCCCCC" w:sz="1"/>
            </w:tcBorders>
            <w:shd w:fill="D9E4EC"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 clinical mgmt
Drugs at COGS+20%</w:t>
            </w:r>
          </w:p>
        </w:tc>
        <w:tc>
          <w:tcPr>
            <w:tcW w:type="dxa" w:w="2320"/>
            <w:tcBorders>
              <w:top w:val="single" w:color="CCCCCC" w:sz="1"/>
              <w:left w:val="single" w:color="CCCCCC" w:sz="1"/>
              <w:bottom w:val="single" w:color="CCCCCC" w:sz="1"/>
              <w:right w:val="single" w:color="CCCCCC" w:sz="1"/>
            </w:tcBorders>
            <w:shd w:fill="F0E0B0"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 clinical mgmt
Drugs included up to $145 COGS cap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Energy: HRT Mgmt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 clinical mgmt
Testosterone at COGS+20%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 clinical mgmt
Testosterone included</w:t>
            </w:r>
          </w:p>
        </w:tc>
        <w:tc>
          <w:tcPr>
            <w:tcW w:type="dxa" w:w="2320"/>
            <w:tcBorders>
              <w:top w:val="single" w:color="CCCCCC" w:sz="1"/>
              <w:left w:val="single" w:color="CCCCCC" w:sz="1"/>
              <w:bottom w:val="single" w:color="CCCCCC" w:sz="1"/>
              <w:right w:val="single" w:color="CCCCCC" w:sz="1"/>
            </w:tcBorders>
            <w:shd w:fill="FBF5E6"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 clinical mgmt
Testosterone + peptide cap included</w:t>
            </w:r>
          </w:p>
        </w:tc>
      </w:tr>
    </w:tbl>
    <w:p>
      <w:pPr>
        <w:spacing w:after="120" w:before="0"/>
      </w:pPr>
    </w:p>
    <w:p>
      <w:pPr>
        <w:spacing w:after="60" w:before="60"/>
      </w:pPr>
      <w:r>
        <w:rPr>
          <w:rFonts w:ascii="Arial" w:cs="Arial" w:eastAsia="Arial" w:hAnsi="Arial"/>
          <w:i/>
          <w:iCs/>
          <w:color w:val="555555"/>
          <w:sz w:val="18"/>
          <w:szCs w:val="18"/>
        </w:rPr>
        <w:t xml:space="preserve">Core is the flagship. All scripting, marketing, and ops are built around Core. Lite is a step-down only. Elite is an anchor and premium capture.</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Universal Terms (All Tiers)</w:t>
      </w:r>
    </w:p>
    <w:p>
      <w:pPr>
        <w:pStyle w:val="ListParagraph"/>
        <w:numPr>
          <w:ilvl w:val="0"/>
          <w:numId w:val="2"/>
        </w:numPr>
        <w:spacing w:after="40" w:before="40"/>
      </w:pPr>
      <w:r>
        <w:rPr>
          <w:rFonts w:ascii="Arial" w:cs="Arial" w:eastAsia="Arial" w:hAnsi="Arial"/>
          <w:b w:val="false"/>
          <w:bCs w:val="false"/>
          <w:color w:val="1A1A1A"/>
          <w:sz w:val="20"/>
          <w:szCs w:val="20"/>
        </w:rPr>
        <w:t xml:space="preserve">Billed every 4 weeks. Auto-renewal. 30-day written notice to cancel.</w:t>
      </w:r>
    </w:p>
    <w:p>
      <w:pPr>
        <w:pStyle w:val="ListParagraph"/>
        <w:numPr>
          <w:ilvl w:val="0"/>
          <w:numId w:val="2"/>
        </w:numPr>
        <w:spacing w:after="40" w:before="40"/>
      </w:pPr>
      <w:r>
        <w:rPr>
          <w:rFonts w:ascii="Arial" w:cs="Arial" w:eastAsia="Arial" w:hAnsi="Arial"/>
          <w:b w:val="false"/>
          <w:bCs w:val="false"/>
          <w:color w:val="1A1A1A"/>
          <w:sz w:val="20"/>
          <w:szCs w:val="20"/>
        </w:rPr>
        <w:t xml:space="preserve">Both tracks (Recovery &amp; Performance / Energy &amp; Optimization) available at every tier.</w:t>
      </w:r>
    </w:p>
    <w:p>
      <w:pPr>
        <w:pStyle w:val="ListParagraph"/>
        <w:numPr>
          <w:ilvl w:val="0"/>
          <w:numId w:val="2"/>
        </w:numPr>
        <w:spacing w:after="40" w:before="40"/>
      </w:pPr>
      <w:r>
        <w:rPr>
          <w:rFonts w:ascii="Arial" w:cs="Arial" w:eastAsia="Arial" w:hAnsi="Arial"/>
          <w:b w:val="false"/>
          <w:bCs w:val="false"/>
          <w:color w:val="1A1A1A"/>
          <w:sz w:val="20"/>
          <w:szCs w:val="20"/>
        </w:rPr>
        <w:t xml:space="preserve">NAD+ is never included. Available as a standalone 12-Week NAD Upgrade ($2,499 for 36 injections, 3×/week).</w:t>
      </w:r>
    </w:p>
    <w:p>
      <w:pPr>
        <w:pStyle w:val="ListParagraph"/>
        <w:numPr>
          <w:ilvl w:val="0"/>
          <w:numId w:val="2"/>
        </w:numPr>
        <w:spacing w:after="40" w:before="40"/>
      </w:pPr>
      <w:r>
        <w:rPr>
          <w:rFonts w:ascii="Arial" w:cs="Arial" w:eastAsia="Arial" w:hAnsi="Arial"/>
          <w:b w:val="false"/>
          <w:bCs w:val="false"/>
          <w:color w:val="1A1A1A"/>
          <w:sz w:val="20"/>
          <w:szCs w:val="20"/>
        </w:rPr>
        <w:t xml:space="preserve">GLP-1 drugs carved out at all tiers. Billed at drug cost + $99/4-week clinical management fee.</w:t>
      </w:r>
    </w:p>
    <w:p>
      <w:pPr>
        <w:pStyle w:val="ListParagraph"/>
        <w:numPr>
          <w:ilvl w:val="0"/>
          <w:numId w:val="2"/>
        </w:numPr>
        <w:spacing w:after="40" w:before="40"/>
      </w:pPr>
      <w:r>
        <w:rPr>
          <w:rFonts w:ascii="Arial" w:cs="Arial" w:eastAsia="Arial" w:hAnsi="Arial"/>
          <w:b w:val="false"/>
          <w:bCs w:val="false"/>
          <w:color w:val="1A1A1A"/>
          <w:sz w:val="20"/>
          <w:szCs w:val="20"/>
        </w:rPr>
        <w:t xml:space="preserve">HRT adjunct medications (HCG, anastrozole, gonadorelin) always billed at COGS+20%, never included.</w:t>
      </w:r>
    </w:p>
    <w:p>
      <w:pPr>
        <w:pStyle w:val="ListParagraph"/>
        <w:numPr>
          <w:ilvl w:val="0"/>
          <w:numId w:val="2"/>
        </w:numPr>
        <w:spacing w:after="40" w:before="40"/>
      </w:pPr>
      <w:r>
        <w:rPr>
          <w:rFonts w:ascii="Arial" w:cs="Arial" w:eastAsia="Arial" w:hAnsi="Arial"/>
          <w:b w:val="false"/>
          <w:bCs w:val="false"/>
          <w:color w:val="1A1A1A"/>
          <w:sz w:val="20"/>
          <w:szCs w:val="20"/>
        </w:rPr>
        <w:t xml:space="preserve">Elite peptide drug cap: one concurrent protocol’s drug cost included up to $145 COGS/period. Overages at COGS+20%.</w:t>
      </w:r>
    </w:p>
    <w:p>
      <w:pPr>
        <w:pStyle w:val="ListParagraph"/>
        <w:numPr>
          <w:ilvl w:val="0"/>
          <w:numId w:val="2"/>
        </w:numPr>
        <w:spacing w:after="40" w:before="40"/>
      </w:pPr>
      <w:r>
        <w:rPr>
          <w:rFonts w:ascii="Arial" w:cs="Arial" w:eastAsia="Arial" w:hAnsi="Arial"/>
          <w:b w:val="false"/>
          <w:bCs w:val="false"/>
          <w:color w:val="1A1A1A"/>
          <w:sz w:val="20"/>
          <w:szCs w:val="20"/>
        </w:rPr>
        <w:t xml:space="preserve">Extra HBOT/RLT sessions beyond tier allotment available at $150/session member rate.</w:t>
      </w:r>
    </w:p>
    <w:p>
      <w:pPr>
        <w:pStyle w:val="ListParagraph"/>
        <w:numPr>
          <w:ilvl w:val="0"/>
          <w:numId w:val="2"/>
        </w:numPr>
        <w:spacing w:after="40" w:before="40"/>
      </w:pPr>
      <w:r>
        <w:rPr>
          <w:rFonts w:ascii="Arial" w:cs="Arial" w:eastAsia="Arial" w:hAnsi="Arial"/>
          <w:b w:val="false"/>
          <w:bCs w:val="false"/>
          <w:color w:val="1A1A1A"/>
          <w:sz w:val="20"/>
          <w:szCs w:val="20"/>
        </w:rPr>
        <w:t xml:space="preserve">Elite panels and panels beyond tier allotment billed à la carte at standard rate.</w:t>
      </w:r>
    </w:p>
    <w:p>
      <w:pPr>
        <w:pStyle w:val="ListParagraph"/>
        <w:numPr>
          <w:ilvl w:val="0"/>
          <w:numId w:val="2"/>
        </w:numPr>
        <w:spacing w:after="40" w:before="40"/>
      </w:pPr>
      <w:r>
        <w:rPr>
          <w:rFonts w:ascii="Arial" w:cs="Arial" w:eastAsia="Arial" w:hAnsi="Arial"/>
          <w:b w:val="false"/>
          <w:bCs w:val="false"/>
          <w:color w:val="1A1A1A"/>
          <w:sz w:val="20"/>
          <w:szCs w:val="20"/>
        </w:rPr>
        <w:t xml:space="preserve">Free onboarding assessment for all new members regardless of tier.</w:t>
      </w:r>
    </w:p>
    <w:p>
      <w:pPr>
        <w:pStyle w:val="ListParagraph"/>
        <w:numPr>
          <w:ilvl w:val="0"/>
          <w:numId w:val="2"/>
        </w:numPr>
        <w:spacing w:after="40" w:before="40"/>
      </w:pPr>
      <w:r>
        <w:rPr>
          <w:rFonts w:ascii="Arial" w:cs="Arial" w:eastAsia="Arial" w:hAnsi="Arial"/>
          <w:b w:val="false"/>
          <w:bCs w:val="false"/>
          <w:color w:val="1A1A1A"/>
          <w:sz w:val="20"/>
          <w:szCs w:val="20"/>
        </w:rPr>
        <w:t xml:space="preserve">Existing HRT members ($250/month): 60-day transition window. Credit toward Core or Lite enrollment. Strategy TBD.</w:t>
      </w:r>
    </w:p>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4. RECOVERY &amp; PERFORMANCE PATH — 90-DAY JOURNEY</w:t>
      </w:r>
    </w:p>
    <w:p>
      <w:pPr>
        <w:spacing w:after="80" w:before="0"/>
      </w:pPr>
    </w:p>
    <w:p>
      <w:pPr>
        <w:spacing w:after="120" w:before="0"/>
      </w:pPr>
      <w:r>
        <w:rPr>
          <w:rFonts w:ascii="Arial" w:cs="Arial" w:eastAsia="Arial" w:hAnsi="Arial"/>
          <w:color w:val="1A1A1A"/>
          <w:sz w:val="20"/>
          <w:szCs w:val="20"/>
        </w:rPr>
        <w:t xml:space="preserve">Designed for injury recovery, surgical rehab, chronic inflammation, or athletic performance. Peptide protocol is layered on top of the tier’s included modalities. Drug cost billed separately at COGS+20% (Lite/Core) or included up to cap (Elite).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520"/>
        <w:gridCol w:w="3600"/>
        <w:gridCol w:w="2360"/>
        <w:gridCol w:w="760"/>
      </w:tblGrid>
      <w:tr>
        <w:trPr>
          <w:tblHeader/>
        </w:trPr>
        <w:tc>
          <w:tcPr>
            <w:tcW w:type="dxa" w:w="11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Phase</w:t>
            </w:r>
          </w:p>
        </w:tc>
        <w:tc>
          <w:tcPr>
            <w:tcW w:type="dxa" w:w="15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Timing</w:t>
            </w:r>
          </w:p>
        </w:tc>
        <w:tc>
          <w:tcPr>
            <w:tcW w:type="dxa" w:w="3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Clinical Actions</w:t>
            </w:r>
          </w:p>
        </w:tc>
        <w:tc>
          <w:tcPr>
            <w:tcW w:type="dxa" w:w="2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Active Modalities</w:t>
            </w:r>
          </w:p>
        </w:tc>
        <w:tc>
          <w:tcPr>
            <w:tcW w:type="dxa" w:w="7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Tier Note</w:t>
            </w:r>
          </w:p>
        </w:tc>
      </w:tr>
      <w:tr>
        <w:tc>
          <w:tcPr>
            <w:tcW w:type="dxa" w:w="11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1
Onboarding</w:t>
            </w:r>
          </w:p>
        </w:tc>
        <w:tc>
          <w:tcPr>
            <w:tcW w:type="dxa" w:w="15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 1</w:t>
            </w:r>
          </w:p>
        </w:tc>
        <w:tc>
          <w:tcPr>
            <w:tcW w:type="dxa" w:w="3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Free assessment. Essential Lab Panel drawn. Injury/performance intake. Peptide protocol selected (BPC-157/TB-4, 2X/3X/4X Blend, or GHK-Cu). Membership tier enrolled.</w:t>
            </w:r>
          </w:p>
        </w:tc>
        <w:tc>
          <w:tcPr>
            <w:tcW w:type="dxa" w:w="23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Assessment + lab draw. Chamber and RLT scheduled.</w:t>
            </w:r>
          </w:p>
        </w:tc>
        <w:tc>
          <w:tcPr>
            <w:tcW w:type="dxa" w:w="7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All tiers</w:t>
            </w:r>
          </w:p>
        </w:tc>
      </w:tr>
      <w:tr>
        <w:tc>
          <w:tcPr>
            <w:tcW w:type="dxa" w:w="1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2
Intensive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Weeks 2–6</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Peptide protocol initiated. HBOT+RLT per tier cadence. Range IV at Week 2. Provider check-in at Week 4. Pain and function scored at baseline.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Range IV ×1
Peptide SubQ daily
Provider check-in</w:t>
            </w:r>
          </w:p>
        </w:tc>
        <w:tc>
          <w:tcPr>
            <w:tcW w:type="dxa" w:w="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Lite: 2 sessions, IV at wk 4. Core: 4 sessions, IV wk 2. Elite: 8 sessions, 2 IVs.</w:t>
            </w:r>
          </w:p>
        </w:tc>
      </w:tr>
      <w:tr>
        <w:tc>
          <w:tcPr>
            <w:tcW w:type="dxa" w:w="11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3
Mid-Check</w:t>
            </w:r>
          </w:p>
        </w:tc>
        <w:tc>
          <w:tcPr>
            <w:tcW w:type="dxa" w:w="15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Weeks 7–8</w:t>
            </w:r>
          </w:p>
        </w:tc>
        <w:tc>
          <w:tcPr>
            <w:tcW w:type="dxa" w:w="3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Provider reviews progress. Peptide adjusted — continue, dose-change, or layer second compound. Pain and ROM re-scored.</w:t>
            </w:r>
          </w:p>
        </w:tc>
        <w:tc>
          <w:tcPr>
            <w:tcW w:type="dxa" w:w="23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Provider check-in</w:t>
            </w:r>
          </w:p>
        </w:tc>
        <w:tc>
          <w:tcPr>
            <w:tcW w:type="dxa" w:w="7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Lite check-in at week 9. Core/Elite at week 8.</w:t>
            </w:r>
          </w:p>
        </w:tc>
      </w:tr>
      <w:tr>
        <w:tc>
          <w:tcPr>
            <w:tcW w:type="dxa" w:w="1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4
90-Day Review</w:t>
            </w:r>
          </w:p>
        </w:tc>
        <w:tc>
          <w:tcPr>
            <w:tcW w:type="dxa" w:w="1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Weeks 9–12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90-day lab panel drawn (included at all tiers). Inflammatory markers, CBC, CMP reviewed. Protocol adjusted. Second IV. Consider layering Energy path.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Range IV
Lab draw</w:t>
            </w:r>
          </w:p>
        </w:tc>
        <w:tc>
          <w:tcPr>
            <w:tcW w:type="dxa" w:w="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Lab count: Lite uses 1 of 2/yr. Core 1 of 3/yr. Elite 1 of 4/yr.</w:t>
            </w:r>
          </w:p>
        </w:tc>
      </w:tr>
      <w:tr>
        <w:tc>
          <w:tcPr>
            <w:tcW w:type="dxa" w:w="11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5
Ongoing</w:t>
            </w:r>
          </w:p>
        </w:tc>
        <w:tc>
          <w:tcPr>
            <w:tcW w:type="dxa" w:w="15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 13+</w:t>
            </w:r>
          </w:p>
        </w:tc>
        <w:tc>
          <w:tcPr>
            <w:tcW w:type="dxa" w:w="3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Steady-state. Monthly/bimonthly check-ins per tier. Annual peptide cycle planning. Introduce maintenance compounds (GHK-Cu, MOTS-C). Offer upgrade to Core/Elite if on Lite.</w:t>
            </w:r>
          </w:p>
        </w:tc>
        <w:tc>
          <w:tcPr>
            <w:tcW w:type="dxa" w:w="23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IV + check-in per tier</w:t>
            </w:r>
          </w:p>
        </w:tc>
        <w:tc>
          <w:tcPr>
            <w:tcW w:type="dxa" w:w="7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Upgrade conversation at 90-day review.</w:t>
            </w:r>
          </w:p>
        </w:tc>
      </w:tr>
    </w:tbl>
    <w:p>
      <w:pPr>
        <w:spacing w:after="120" w:before="0"/>
      </w:pPr>
    </w:p>
    <w:p>
      <w:pPr>
        <w:pStyle w:val="Heading2"/>
        <w:pBdr>
          <w:bottom w:val="single" w:color="2B6E72" w:sz="4" w:space="4"/>
        </w:pBdr>
        <w:spacing w:after="80" w:before="280"/>
      </w:pPr>
      <w:r>
        <w:rPr>
          <w:rFonts w:ascii="Arial" w:cs="Arial" w:eastAsia="Arial" w:hAnsi="Arial"/>
          <w:b/>
          <w:bCs/>
          <w:color w:val="1B2A4A"/>
          <w:sz w:val="22"/>
          <w:szCs w:val="22"/>
        </w:rPr>
        <w:t xml:space="preserve">Expected Outcomes</w:t>
      </w:r>
    </w:p>
    <w:p>
      <w:pPr>
        <w:pStyle w:val="ListParagraph"/>
        <w:numPr>
          <w:ilvl w:val="0"/>
          <w:numId w:val="2"/>
        </w:numPr>
        <w:spacing w:after="40" w:before="40"/>
      </w:pPr>
      <w:r>
        <w:rPr>
          <w:rFonts w:ascii="Arial" w:cs="Arial" w:eastAsia="Arial" w:hAnsi="Arial"/>
          <w:b w:val="false"/>
          <w:bCs w:val="false"/>
          <w:color w:val="1A1A1A"/>
          <w:sz w:val="20"/>
          <w:szCs w:val="20"/>
        </w:rPr>
        <w:t xml:space="preserve">Measurable inflammation reduction by Day 45.</w:t>
      </w:r>
    </w:p>
    <w:p>
      <w:pPr>
        <w:pStyle w:val="ListParagraph"/>
        <w:numPr>
          <w:ilvl w:val="0"/>
          <w:numId w:val="2"/>
        </w:numPr>
        <w:spacing w:after="40" w:before="40"/>
      </w:pPr>
      <w:r>
        <w:rPr>
          <w:rFonts w:ascii="Arial" w:cs="Arial" w:eastAsia="Arial" w:hAnsi="Arial"/>
          <w:b w:val="false"/>
          <w:bCs w:val="false"/>
          <w:color w:val="1A1A1A"/>
          <w:sz w:val="20"/>
          <w:szCs w:val="20"/>
        </w:rPr>
        <w:t xml:space="preserve">Improved ROM and functional performance by Day 60.</w:t>
      </w:r>
    </w:p>
    <w:p>
      <w:pPr>
        <w:pStyle w:val="ListParagraph"/>
        <w:numPr>
          <w:ilvl w:val="0"/>
          <w:numId w:val="2"/>
        </w:numPr>
        <w:spacing w:after="40" w:before="40"/>
      </w:pPr>
      <w:r>
        <w:rPr>
          <w:rFonts w:ascii="Arial" w:cs="Arial" w:eastAsia="Arial" w:hAnsi="Arial"/>
          <w:b w:val="false"/>
          <w:bCs w:val="false"/>
          <w:color w:val="1A1A1A"/>
          <w:sz w:val="20"/>
          <w:szCs w:val="20"/>
        </w:rPr>
        <w:t xml:space="preserve">Accelerated tissue repair — soft tissue, joint cartilage, post-surgical.</w:t>
      </w:r>
    </w:p>
    <w:p>
      <w:pPr>
        <w:pStyle w:val="ListParagraph"/>
        <w:numPr>
          <w:ilvl w:val="0"/>
          <w:numId w:val="2"/>
        </w:numPr>
        <w:spacing w:after="40" w:before="40"/>
      </w:pPr>
      <w:r>
        <w:rPr>
          <w:rFonts w:ascii="Arial" w:cs="Arial" w:eastAsia="Arial" w:hAnsi="Arial"/>
          <w:b w:val="false"/>
          <w:bCs w:val="false"/>
          <w:color w:val="1A1A1A"/>
          <w:sz w:val="20"/>
          <w:szCs w:val="20"/>
        </w:rPr>
        <w:t xml:space="preserve">Improved sleep and energy as systemic inflammation clears.</w:t>
      </w:r>
    </w:p>
    <w:p>
      <w:pPr>
        <w:pStyle w:val="ListParagraph"/>
        <w:numPr>
          <w:ilvl w:val="0"/>
          <w:numId w:val="2"/>
        </w:numPr>
        <w:spacing w:after="40" w:before="40"/>
      </w:pPr>
      <w:r>
        <w:rPr>
          <w:rFonts w:ascii="Arial" w:cs="Arial" w:eastAsia="Arial" w:hAnsi="Arial"/>
          <w:b w:val="false"/>
          <w:bCs w:val="false"/>
          <w:color w:val="1A1A1A"/>
          <w:sz w:val="20"/>
          <w:szCs w:val="20"/>
        </w:rPr>
        <w:t xml:space="preserve">Clear milestone: 90-day lab review with provider readout.</w:t>
      </w:r>
    </w:p>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5. ENERGY &amp; OPTIMIZATION PATH — 90-DAY JOURNEY</w:t>
      </w:r>
    </w:p>
    <w:p>
      <w:pPr>
        <w:spacing w:after="80" w:before="0"/>
      </w:pPr>
    </w:p>
    <w:p>
      <w:pPr>
        <w:spacing w:after="120" w:before="0"/>
      </w:pPr>
      <w:r>
        <w:rPr>
          <w:rFonts w:ascii="Arial" w:cs="Arial" w:eastAsia="Arial" w:hAnsi="Arial"/>
          <w:color w:val="1A1A1A"/>
          <w:sz w:val="20"/>
          <w:szCs w:val="20"/>
        </w:rPr>
        <w:t xml:space="preserve">Targets hormonal decline, fatigue, cognitive fog, and metabolic sluggishness. Primary tools: testosterone optimization (HRT), NAD+ if elected (separate program), and HBOT+RLT for mitochondrial enhancement. At Core and Elite, testosterone drug is included. At Lite, testosterone is billed at COGS+20%.</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520"/>
        <w:gridCol w:w="3600"/>
        <w:gridCol w:w="2360"/>
        <w:gridCol w:w="760"/>
      </w:tblGrid>
      <w:tr>
        <w:trPr>
          <w:tblHeader/>
        </w:trPr>
        <w:tc>
          <w:tcPr>
            <w:tcW w:type="dxa" w:w="11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Phase</w:t>
            </w:r>
          </w:p>
        </w:tc>
        <w:tc>
          <w:tcPr>
            <w:tcW w:type="dxa" w:w="152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Timing</w:t>
            </w:r>
          </w:p>
        </w:tc>
        <w:tc>
          <w:tcPr>
            <w:tcW w:type="dxa" w:w="3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Clinical Actions</w:t>
            </w:r>
          </w:p>
        </w:tc>
        <w:tc>
          <w:tcPr>
            <w:tcW w:type="dxa" w:w="2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Active Modalities</w:t>
            </w:r>
          </w:p>
        </w:tc>
        <w:tc>
          <w:tcPr>
            <w:tcW w:type="dxa" w:w="7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Tier Note</w:t>
            </w:r>
          </w:p>
        </w:tc>
      </w:tr>
      <w:tr>
        <w:tc>
          <w:tcPr>
            <w:tcW w:type="dxa" w:w="11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1
Onboarding</w:t>
            </w:r>
          </w:p>
        </w:tc>
        <w:tc>
          <w:tcPr>
            <w:tcW w:type="dxa" w:w="15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 1</w:t>
            </w:r>
          </w:p>
        </w:tc>
        <w:tc>
          <w:tcPr>
            <w:tcW w:type="dxa" w:w="3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Free assessment. Essential Lab Panel drawn (testosterone, SHBG, estradiol, CBC, CMP, PSA). HRT protocol designed (IM 2×/week or SubQ daily). NAD upgrade offered as separate program. Membership tier enrolled.</w:t>
            </w:r>
          </w:p>
        </w:tc>
        <w:tc>
          <w:tcPr>
            <w:tcW w:type="dxa" w:w="23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Assessment + lab draw.</w:t>
            </w:r>
          </w:p>
        </w:tc>
        <w:tc>
          <w:tcPr>
            <w:tcW w:type="dxa" w:w="7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All tiers</w:t>
            </w:r>
          </w:p>
        </w:tc>
      </w:tr>
      <w:tr>
        <w:tc>
          <w:tcPr>
            <w:tcW w:type="dxa" w:w="1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2
Initiation</w:t>
            </w:r>
          </w:p>
        </w:tc>
        <w:tc>
          <w:tcPr>
            <w:tcW w:type="dxa" w:w="1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Weeks 2–4</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Testosterone Cypionate initiated. HBOT+RLT per tier cadence. Range IV at Week 2 (Core/Elite) or Week 4 (Lite). Provider check-in at Week 4.</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Range IV
HRT injections
Provider check-in</w:t>
            </w:r>
          </w:p>
        </w:tc>
        <w:tc>
          <w:tcPr>
            <w:tcW w:type="dxa" w:w="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Lite: testosterone at COGS+20%. Core/Elite: testosterone included.</w:t>
            </w:r>
          </w:p>
        </w:tc>
      </w:tr>
      <w:tr>
        <w:tc>
          <w:tcPr>
            <w:tcW w:type="dxa" w:w="11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3
Dose Calibration</w:t>
            </w:r>
          </w:p>
        </w:tc>
        <w:tc>
          <w:tcPr>
            <w:tcW w:type="dxa" w:w="15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Weeks 5–8</w:t>
            </w:r>
          </w:p>
        </w:tc>
        <w:tc>
          <w:tcPr>
            <w:tcW w:type="dxa" w:w="3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Post-initiation labs at Week 6 (counts toward annual allotment). Testosterone, hematocrit, estradiol, PSA reviewed. Dose adjusted if needed. Offer NAD upgrade at this visit if not already enrolled.</w:t>
            </w:r>
          </w:p>
        </w:tc>
        <w:tc>
          <w:tcPr>
            <w:tcW w:type="dxa" w:w="23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HRT ongoing
Lab draw Week 6</w:t>
            </w:r>
          </w:p>
        </w:tc>
        <w:tc>
          <w:tcPr>
            <w:tcW w:type="dxa" w:w="7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Elite: 4 labs/yr — plenty of headroom. Core: 1 of 3 used. Lite: 1 of 2 used.</w:t>
            </w:r>
          </w:p>
        </w:tc>
      </w:tr>
      <w:tr>
        <w:tc>
          <w:tcPr>
            <w:tcW w:type="dxa" w:w="1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4
90-Day Review</w:t>
            </w:r>
          </w:p>
        </w:tc>
        <w:tc>
          <w:tcPr>
            <w:tcW w:type="dxa" w:w="1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Weeks 9–12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90-day lab panel. Full hormonal, metabolic, and energy marker review. Protocol locked. Second IV. Discuss adding peptide overlay (Recovery path elements) if body composition or performance is also a goal. Consider GLP-1 add-on.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Range IV
Lab draw</w:t>
            </w:r>
          </w:p>
        </w:tc>
        <w:tc>
          <w:tcPr>
            <w:tcW w:type="dxa" w:w="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Upgrade conversation: Lite → Core, or add NAD upgrade.</w:t>
            </w:r>
          </w:p>
        </w:tc>
      </w:tr>
      <w:tr>
        <w:tc>
          <w:tcPr>
            <w:tcW w:type="dxa" w:w="11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Phase 5
Optimized State</w:t>
            </w:r>
          </w:p>
        </w:tc>
        <w:tc>
          <w:tcPr>
            <w:tcW w:type="dxa" w:w="152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center"/>
            </w:pPr>
            <w:r>
              <w:rPr>
                <w:rFonts w:ascii="Arial" w:cs="Arial" w:eastAsia="Arial" w:hAnsi="Arial"/>
                <w:b w:val="false"/>
                <w:bCs w:val="false"/>
                <w:color w:val="555555"/>
                <w:sz w:val="18"/>
                <w:szCs w:val="18"/>
              </w:rPr>
              <w:t xml:space="preserve">Week 13+</w:t>
            </w:r>
          </w:p>
        </w:tc>
        <w:tc>
          <w:tcPr>
            <w:tcW w:type="dxa" w:w="36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Steady-state. Quarterly labs (Elite) or biannual (Core/Lite). Annual HRT protocol review. Layer peptides if desired. GLP-1 as body composition program if relevant.</w:t>
            </w:r>
          </w:p>
        </w:tc>
        <w:tc>
          <w:tcPr>
            <w:tcW w:type="dxa" w:w="23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HBOT+RLT per tier
Monthly IV per tier
HRT ongoing</w:t>
            </w:r>
          </w:p>
        </w:tc>
        <w:tc>
          <w:tcPr>
            <w:tcW w:type="dxa" w:w="7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Core/Elite long-term retention target.</w:t>
            </w:r>
          </w:p>
        </w:tc>
      </w:tr>
    </w:tbl>
    <w:p>
      <w:pPr>
        <w:spacing w:after="120" w:before="0"/>
      </w:pPr>
    </w:p>
    <w:p>
      <w:pPr>
        <w:pStyle w:val="Heading2"/>
        <w:pBdr>
          <w:bottom w:val="single" w:color="2B6E72" w:sz="4" w:space="4"/>
        </w:pBdr>
        <w:spacing w:after="80" w:before="280"/>
      </w:pPr>
      <w:r>
        <w:rPr>
          <w:rFonts w:ascii="Arial" w:cs="Arial" w:eastAsia="Arial" w:hAnsi="Arial"/>
          <w:b/>
          <w:bCs/>
          <w:color w:val="1B2A4A"/>
          <w:sz w:val="22"/>
          <w:szCs w:val="22"/>
        </w:rPr>
        <w:t xml:space="preserve">Expected Outcomes</w:t>
      </w:r>
    </w:p>
    <w:p>
      <w:pPr>
        <w:pStyle w:val="ListParagraph"/>
        <w:numPr>
          <w:ilvl w:val="0"/>
          <w:numId w:val="2"/>
        </w:numPr>
        <w:spacing w:after="40" w:before="40"/>
      </w:pPr>
      <w:r>
        <w:rPr>
          <w:rFonts w:ascii="Arial" w:cs="Arial" w:eastAsia="Arial" w:hAnsi="Arial"/>
          <w:b w:val="false"/>
          <w:bCs w:val="false"/>
          <w:color w:val="1A1A1A"/>
          <w:sz w:val="20"/>
          <w:szCs w:val="20"/>
        </w:rPr>
        <w:t xml:space="preserve">Testosterone to optimal range (700–1,000 ng/dL men) within 6–8 weeks.</w:t>
      </w:r>
    </w:p>
    <w:p>
      <w:pPr>
        <w:pStyle w:val="ListParagraph"/>
        <w:numPr>
          <w:ilvl w:val="0"/>
          <w:numId w:val="2"/>
        </w:numPr>
        <w:spacing w:after="40" w:before="40"/>
      </w:pPr>
      <w:r>
        <w:rPr>
          <w:rFonts w:ascii="Arial" w:cs="Arial" w:eastAsia="Arial" w:hAnsi="Arial"/>
          <w:b w:val="false"/>
          <w:bCs w:val="false"/>
          <w:color w:val="1A1A1A"/>
          <w:sz w:val="20"/>
          <w:szCs w:val="20"/>
        </w:rPr>
        <w:t xml:space="preserve">Improved sleep, libido, and mood within 4 weeks of initiation.</w:t>
      </w:r>
    </w:p>
    <w:p>
      <w:pPr>
        <w:pStyle w:val="ListParagraph"/>
        <w:numPr>
          <w:ilvl w:val="0"/>
          <w:numId w:val="2"/>
        </w:numPr>
        <w:spacing w:after="40" w:before="40"/>
      </w:pPr>
      <w:r>
        <w:rPr>
          <w:rFonts w:ascii="Arial" w:cs="Arial" w:eastAsia="Arial" w:hAnsi="Arial"/>
          <w:b w:val="false"/>
          <w:bCs w:val="false"/>
          <w:color w:val="1A1A1A"/>
          <w:sz w:val="20"/>
          <w:szCs w:val="20"/>
        </w:rPr>
        <w:t xml:space="preserve">Cognitive clarity and sustained energy from NAD+ by Week 4 (if upgrade enrolled).</w:t>
      </w:r>
    </w:p>
    <w:p>
      <w:pPr>
        <w:pStyle w:val="ListParagraph"/>
        <w:numPr>
          <w:ilvl w:val="0"/>
          <w:numId w:val="2"/>
        </w:numPr>
        <w:spacing w:after="40" w:before="40"/>
      </w:pPr>
      <w:r>
        <w:rPr>
          <w:rFonts w:ascii="Arial" w:cs="Arial" w:eastAsia="Arial" w:hAnsi="Arial"/>
          <w:b w:val="false"/>
          <w:bCs w:val="false"/>
          <w:color w:val="1A1A1A"/>
          <w:sz w:val="20"/>
          <w:szCs w:val="20"/>
        </w:rPr>
        <w:t xml:space="preserve">Enhanced mitochondrial function from HBOT+RLT.</w:t>
      </w:r>
    </w:p>
    <w:p>
      <w:pPr>
        <w:pStyle w:val="ListParagraph"/>
        <w:numPr>
          <w:ilvl w:val="0"/>
          <w:numId w:val="2"/>
        </w:numPr>
        <w:spacing w:after="40" w:before="40"/>
      </w:pPr>
      <w:r>
        <w:rPr>
          <w:rFonts w:ascii="Arial" w:cs="Arial" w:eastAsia="Arial" w:hAnsi="Arial"/>
          <w:b w:val="false"/>
          <w:bCs w:val="false"/>
          <w:color w:val="1A1A1A"/>
          <w:sz w:val="20"/>
          <w:szCs w:val="20"/>
        </w:rPr>
        <w:t xml:space="preserve">90-day lab panel confirming improved hormonal and metabolic baseline.</w:t>
      </w:r>
    </w:p>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6. ENROLLMENT SCRIPTS</w:t>
      </w:r>
    </w:p>
    <w:p>
      <w:pPr>
        <w:spacing w:after="80" w:before="0"/>
      </w:pPr>
    </w:p>
    <w:p>
      <w:pPr>
        <w:spacing w:after="60" w:before="60"/>
      </w:pPr>
      <w:r>
        <w:rPr>
          <w:rFonts w:ascii="Arial" w:cs="Arial" w:eastAsia="Arial" w:hAnsi="Arial"/>
          <w:i/>
          <w:iCs/>
          <w:color w:val="555555"/>
          <w:sz w:val="18"/>
          <w:szCs w:val="18"/>
        </w:rPr>
        <w:t xml:space="preserve">Written at a 4th-grade reading level. Practice until it feels completely natural. The scripts are the same structure whether the patient is Recovery or Energy track.</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Provider Script (Dr. Burgess)</w:t>
      </w:r>
    </w:p>
    <w:p>
      <w:pPr>
        <w:spacing w:after="80" w:before="80"/>
      </w:pPr>
      <w:r>
        <w:rPr>
          <w:rFonts w:ascii="Arial" w:cs="Arial" w:eastAsia="Arial" w:hAnsi="Arial"/>
          <w:b/>
          <w:bCs/>
          <w:sz w:val="20"/>
          <w:szCs w:val="20"/>
        </w:rPr>
        <w:t xml:space="preserve">"Based on your labs and goals, I want you on the </w:t>
      </w:r>
      <w:r>
        <w:rPr>
          <w:rFonts w:ascii="Arial" w:cs="Arial" w:eastAsia="Arial" w:hAnsi="Arial"/>
          <w:b/>
          <w:bCs/>
          <w:i/>
          <w:iCs/>
          <w:sz w:val="20"/>
          <w:szCs w:val="20"/>
        </w:rPr>
        <w:t xml:space="preserve">[Recovery / Energy]</w:t>
      </w:r>
      <w:r>
        <w:rPr>
          <w:rFonts w:ascii="Arial" w:cs="Arial" w:eastAsia="Arial" w:hAnsi="Arial"/>
          <w:b/>
          <w:bCs/>
          <w:sz w:val="20"/>
          <w:szCs w:val="20"/>
        </w:rPr>
        <w:t xml:space="preserve"> path.</w:t>
      </w:r>
    </w:p>
    <w:p>
      <w:pPr>
        <w:spacing w:after="120" w:before="0"/>
      </w:pPr>
      <w:r>
        <w:rPr>
          <w:rFonts w:ascii="Arial" w:cs="Arial" w:eastAsia="Arial" w:hAnsi="Arial"/>
          <w:color w:val="1A1A1A"/>
          <w:sz w:val="20"/>
          <w:szCs w:val="20"/>
        </w:rPr>
        <w:t xml:space="preserve">Most people start on our Core Outcomes Membership at $1,299 every four weeks. That gets you one HBOT and red light session per week, an IV every month, and a check-in with me every month. We handle all your labs.</w:t>
      </w:r>
    </w:p>
    <w:p>
      <w:pPr>
        <w:spacing w:after="120" w:before="0"/>
      </w:pPr>
      <w:r>
        <w:rPr>
          <w:rFonts w:ascii="Arial" w:cs="Arial" w:eastAsia="Arial" w:hAnsi="Arial"/>
          <w:color w:val="1A1A1A"/>
          <w:sz w:val="20"/>
          <w:szCs w:val="20"/>
        </w:rPr>
        <w:t xml:space="preserve">If you want something a bit lighter while you’re getting started, we have a Lite tier at $799 — two sessions a month instead of four, and check-ins every other month. If you want the most intensive support — twice-weekly sessions, two IVs, two check-ins a month, and quarterly labs — that’s our Elite tier at $2,499.</w:t>
      </w:r>
    </w:p>
    <w:p>
      <w:pPr>
        <w:spacing w:after="120" w:before="0"/>
      </w:pPr>
      <w:r>
        <w:rPr>
          <w:rFonts w:ascii="Arial" w:cs="Arial" w:eastAsia="Arial" w:hAnsi="Arial"/>
          <w:color w:val="1A1A1A"/>
          <w:sz w:val="20"/>
          <w:szCs w:val="20"/>
        </w:rPr>
        <w:t xml:space="preserve">"For NAD, I’ll be upfront: it only works at the right dosing schedule. Three injections a week for twelve weeks. That’s thirty-six injections and the science is clear that’s what gets you the result. So we offer that as a separate twelve-week program, not bundled in. If you want to add it on top of your membership, we can set that up today."</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Front-Desk Script</w:t>
      </w:r>
    </w:p>
    <w:p>
      <w:pPr>
        <w:spacing w:after="120" w:before="0"/>
      </w:pPr>
      <w:r>
        <w:rPr>
          <w:rFonts w:ascii="Arial" w:cs="Arial" w:eastAsia="Arial" w:hAnsi="Arial"/>
          <w:color w:val="1A1A1A"/>
          <w:sz w:val="20"/>
          <w:szCs w:val="20"/>
        </w:rPr>
        <w:t xml:space="preserve">"Doctor has you on the [Recovery / Energy] track."</w:t>
      </w:r>
    </w:p>
    <w:p>
      <w:pPr>
        <w:spacing w:after="40" w:before="0"/>
      </w:pPr>
    </w:p>
    <w:p>
      <w:pPr>
        <w:spacing w:after="120" w:before="0"/>
      </w:pPr>
      <w:r>
        <w:rPr>
          <w:rFonts w:ascii="Arial" w:cs="Arial" w:eastAsia="Arial" w:hAnsi="Arial"/>
          <w:color w:val="1A1A1A"/>
          <w:sz w:val="20"/>
          <w:szCs w:val="20"/>
        </w:rPr>
        <w:t xml:space="preserve">"The plan he recommended is our Core Outcomes Membership — that’s $1,299 every four weeks. You get one HBOT and red light session per week, an IV every month, a check-in with Dr. Burgess every month, and your labs three times a year. Everything in one flat rate."</w:t>
      </w:r>
    </w:p>
    <w:p>
      <w:pPr>
        <w:spacing w:after="40" w:before="0"/>
      </w:pPr>
    </w:p>
    <w:p>
      <w:pPr>
        <w:spacing w:after="120" w:before="0"/>
      </w:pPr>
      <w:r>
        <w:rPr>
          <w:rFonts w:ascii="Arial" w:cs="Arial" w:eastAsia="Arial" w:hAnsi="Arial"/>
          <w:color w:val="1A1A1A"/>
          <w:sz w:val="20"/>
          <w:szCs w:val="20"/>
        </w:rPr>
        <w:t xml:space="preserve">"If you’d prefer something lighter, we have the Lite version at $799 — two sessions a month and check-ins every other month. Or if you want the full-intensity version with eight sessions a month and two check-ins, that’s our Elite tier at $2,499."</w:t>
      </w:r>
    </w:p>
    <w:p>
      <w:pPr>
        <w:spacing w:after="40" w:before="0"/>
      </w:pPr>
    </w:p>
    <w:p>
      <w:pPr>
        <w:spacing w:after="120" w:before="0"/>
      </w:pPr>
      <w:r>
        <w:rPr>
          <w:rFonts w:ascii="Arial" w:cs="Arial" w:eastAsia="Arial" w:hAnsi="Arial"/>
          <w:color w:val="1A1A1A"/>
          <w:sz w:val="20"/>
          <w:szCs w:val="20"/>
        </w:rPr>
        <w:t xml:space="preserve">"If Dr. Burgess also talked to you about NAD, that’s a separate twelve-week program — three shots a week for twelve weeks. The price for the full program is $2,499. Would you like to add that today or come back for it?"</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If they say…</w:t>
            </w:r>
          </w:p>
        </w:tc>
        <w:tc>
          <w:tcPr>
            <w:tcW w:type="dxa" w:w="6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You say…</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"That’s a lot of money."</w:t>
            </w:r>
          </w:p>
        </w:tc>
        <w:tc>
          <w:tcPr>
            <w:tcW w:type="dxa" w:w="6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"I get it. If you’re already doing two or three sessions a month you’re spending close to that anyway, and the membership locks in a better rate. And the Lite option at $799 is a good way to start if you want to ease 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"I need to think about it."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"Totally fair. Can I send you a one-pager? And the free assessment doesn’t go anywhere — whenever you’re ready, the offer is the same."</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"What if I don’t use all my sessions?"</w:t>
            </w:r>
          </w:p>
        </w:tc>
        <w:tc>
          <w:tcPr>
            <w:tcW w:type="dxa" w:w="6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"Sessions don’t roll over, but most people use everything once they’re in a rhythm. That’s actually the goal — building a consistent habit, not just buying sessions."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"Which tier should I pick?"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"Start with Core. It’s what Dr. Burgess designs everything around. If you love it and want more, we upgrade you to Elite. If budget is tight right now, we put you on Lite and revisit in 60 days."</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"Do I have to sign a contract?"</w:t>
            </w:r>
          </w:p>
        </w:tc>
        <w:tc>
          <w:tcPr>
            <w:tcW w:type="dxa" w:w="6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"No. Month to month. Thirty days notice if you want to cancel. That’s 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"What’s the difference between the tracks?"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"Recovery is for healing — if you have an injury, surgery, inflammation, or performance goals. Energy is for optimization — hormones, energy, brain clarity. Sometimes people end up doing both as they progress."</w:t>
            </w:r>
          </w:p>
        </w:tc>
      </w:tr>
    </w:tbl>
    <w:p>
      <w:r>
        <w:br w:type="page"/>
      </w:r>
    </w:p>
    <w:p>
      <w:pPr>
        <w:pStyle w:val="Heading1"/>
        <w:shd w:fill="1B2A4A" w:val="clear"/>
        <w:spacing w:after="160" w:before="400"/>
        <w:ind w:left="120" w:right="120"/>
      </w:pPr>
      <w:r>
        <w:rPr>
          <w:rFonts w:ascii="Arial" w:cs="Arial" w:eastAsia="Arial" w:hAnsi="Arial"/>
          <w:b/>
          <w:bCs/>
          <w:color w:val="FFFFFF"/>
          <w:sz w:val="24"/>
          <w:szCs w:val="24"/>
        </w:rPr>
        <w:t xml:space="preserve">7. RISKS &amp; OPEN QUESTIONS BEFORE LAUNCH</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Compliance &amp; Regulatory</w:t>
      </w:r>
    </w:p>
    <w:p>
      <w:pPr>
        <w:pStyle w:val="ListParagraph"/>
        <w:numPr>
          <w:ilvl w:val="0"/>
          <w:numId w:val="2"/>
        </w:numPr>
        <w:spacing w:after="40" w:before="40"/>
      </w:pPr>
      <w:r>
        <w:rPr>
          <w:rFonts w:ascii="Arial" w:cs="Arial" w:eastAsia="Arial" w:hAnsi="Arial"/>
          <w:b w:val="false"/>
          <w:bCs w:val="false"/>
          <w:color w:val="1A1A1A"/>
          <w:sz w:val="20"/>
          <w:szCs w:val="20"/>
        </w:rPr>
        <w:t xml:space="preserve">California requires a documented patient-physician relationship before prescribing. The free assessment must be a recorded clinical encounter before any HRT or peptide script is issued.</w:t>
      </w:r>
    </w:p>
    <w:p>
      <w:pPr>
        <w:pStyle w:val="ListParagraph"/>
        <w:numPr>
          <w:ilvl w:val="0"/>
          <w:numId w:val="2"/>
        </w:numPr>
        <w:spacing w:after="40" w:before="40"/>
      </w:pPr>
      <w:r>
        <w:rPr>
          <w:rFonts w:ascii="Arial" w:cs="Arial" w:eastAsia="Arial" w:hAnsi="Arial"/>
          <w:b w:val="false"/>
          <w:bCs w:val="false"/>
          <w:color w:val="1A1A1A"/>
          <w:sz w:val="20"/>
          <w:szCs w:val="20"/>
        </w:rPr>
        <w:t xml:space="preserve">Bundled physician services in a flat-rate membership may require MSO structure review in California. Get healthcare counsel to sign off before public launch.</w:t>
      </w:r>
    </w:p>
    <w:p>
      <w:pPr>
        <w:pStyle w:val="ListParagraph"/>
        <w:numPr>
          <w:ilvl w:val="0"/>
          <w:numId w:val="2"/>
        </w:numPr>
        <w:spacing w:after="40" w:before="40"/>
      </w:pPr>
      <w:r>
        <w:rPr>
          <w:rFonts w:ascii="Arial" w:cs="Arial" w:eastAsia="Arial" w:hAnsi="Arial"/>
          <w:b w:val="false"/>
          <w:bCs w:val="false"/>
          <w:color w:val="1A1A1A"/>
          <w:sz w:val="20"/>
          <w:szCs w:val="20"/>
        </w:rPr>
        <w:t xml:space="preserve">HBOT marketing must stay modality-focused, not disease-treatment language. Especially for off-label use cases (longevity, performance, recovery).</w:t>
      </w:r>
    </w:p>
    <w:p>
      <w:pPr>
        <w:pStyle w:val="ListParagraph"/>
        <w:numPr>
          <w:ilvl w:val="0"/>
          <w:numId w:val="2"/>
        </w:numPr>
        <w:spacing w:after="40" w:before="40"/>
      </w:pPr>
      <w:r>
        <w:rPr>
          <w:rFonts w:ascii="Arial" w:cs="Arial" w:eastAsia="Arial" w:hAnsi="Arial"/>
          <w:b w:val="false"/>
          <w:bCs w:val="false"/>
          <w:color w:val="1A1A1A"/>
          <w:sz w:val="20"/>
          <w:szCs w:val="20"/>
        </w:rPr>
        <w:t xml:space="preserve">Compounded GLP-1s (Tirzepatide, Retatrutide): ensure compounding pharmacy holds current 503B status and supply chain is documented on file.</w:t>
      </w:r>
    </w:p>
    <w:p>
      <w:pPr>
        <w:pStyle w:val="ListParagraph"/>
        <w:numPr>
          <w:ilvl w:val="0"/>
          <w:numId w:val="2"/>
        </w:numPr>
        <w:spacing w:after="40" w:before="40"/>
      </w:pPr>
      <w:r>
        <w:rPr>
          <w:rFonts w:ascii="Arial" w:cs="Arial" w:eastAsia="Arial" w:hAnsi="Arial"/>
          <w:b w:val="false"/>
          <w:bCs w:val="false"/>
          <w:color w:val="1A1A1A"/>
          <w:sz w:val="20"/>
          <w:szCs w:val="20"/>
        </w:rPr>
        <w:t xml:space="preserve">HRT bundled in Core/Elite: confirm this is permissible under California medical membership law and does not constitute a prepaid health plan requiring licensure.</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Operational</w:t>
      </w:r>
    </w:p>
    <w:p>
      <w:pPr>
        <w:pStyle w:val="ListParagraph"/>
        <w:numPr>
          <w:ilvl w:val="0"/>
          <w:numId w:val="2"/>
        </w:numPr>
        <w:spacing w:after="40" w:before="40"/>
      </w:pPr>
      <w:r>
        <w:rPr>
          <w:rFonts w:ascii="Arial" w:cs="Arial" w:eastAsia="Arial" w:hAnsi="Arial"/>
          <w:b w:val="false"/>
          <w:bCs w:val="false"/>
          <w:color w:val="1A1A1A"/>
          <w:sz w:val="20"/>
          <w:szCs w:val="20"/>
        </w:rPr>
        <w:t xml:space="preserve">Chamber capacity: 8 sessions/member/month at Elite × projected member count must fit available HBOT slots. Model capacity ceiling before selling past it.</w:t>
      </w:r>
    </w:p>
    <w:p>
      <w:pPr>
        <w:pStyle w:val="ListParagraph"/>
        <w:numPr>
          <w:ilvl w:val="0"/>
          <w:numId w:val="2"/>
        </w:numPr>
        <w:spacing w:after="40" w:before="40"/>
      </w:pPr>
      <w:r>
        <w:rPr>
          <w:rFonts w:ascii="Arial" w:cs="Arial" w:eastAsia="Arial" w:hAnsi="Arial"/>
          <w:b w:val="false"/>
          <w:bCs w:val="false"/>
          <w:color w:val="1A1A1A"/>
          <w:sz w:val="20"/>
          <w:szCs w:val="20"/>
        </w:rPr>
        <w:t xml:space="preserve">Three-tier pricing requires three different billing flows in the CRM. Auto-renewal, failed payment handling, and cancellation logic for each tier must be built before launch.</w:t>
      </w:r>
    </w:p>
    <w:p>
      <w:pPr>
        <w:pStyle w:val="ListParagraph"/>
        <w:numPr>
          <w:ilvl w:val="0"/>
          <w:numId w:val="2"/>
        </w:numPr>
        <w:spacing w:after="40" w:before="40"/>
      </w:pPr>
      <w:r>
        <w:rPr>
          <w:rFonts w:ascii="Arial" w:cs="Arial" w:eastAsia="Arial" w:hAnsi="Arial"/>
          <w:b w:val="false"/>
          <w:bCs w:val="false"/>
          <w:color w:val="1A1A1A"/>
          <w:sz w:val="20"/>
          <w:szCs w:val="20"/>
        </w:rPr>
        <w:t xml:space="preserve">Existing HRT members ($250/month): define transition offer before announcing. Recommended: honor existing rate for 60 days, then credit $250 toward first month of Lite or Core.</w:t>
      </w:r>
    </w:p>
    <w:p>
      <w:pPr>
        <w:pStyle w:val="ListParagraph"/>
        <w:numPr>
          <w:ilvl w:val="0"/>
          <w:numId w:val="2"/>
        </w:numPr>
        <w:spacing w:after="40" w:before="40"/>
      </w:pPr>
      <w:r>
        <w:rPr>
          <w:rFonts w:ascii="Arial" w:cs="Arial" w:eastAsia="Arial" w:hAnsi="Arial"/>
          <w:b w:val="false"/>
          <w:bCs w:val="false"/>
          <w:color w:val="1A1A1A"/>
          <w:sz w:val="20"/>
          <w:szCs w:val="20"/>
        </w:rPr>
        <w:t xml:space="preserve">COGS model uses $25/hr HBOT/RLT placeholder. Get actual equipment capex and O2 cost before finalizing Elite margin.</w:t>
      </w:r>
    </w:p>
    <w:p>
      <w:pPr>
        <w:pStyle w:val="ListParagraph"/>
        <w:numPr>
          <w:ilvl w:val="0"/>
          <w:numId w:val="2"/>
        </w:numPr>
        <w:spacing w:after="40" w:before="40"/>
      </w:pPr>
      <w:r>
        <w:rPr>
          <w:rFonts w:ascii="Arial" w:cs="Arial" w:eastAsia="Arial" w:hAnsi="Arial"/>
          <w:b w:val="false"/>
          <w:bCs w:val="false"/>
          <w:color w:val="1A1A1A"/>
          <w:sz w:val="20"/>
          <w:szCs w:val="20"/>
        </w:rPr>
        <w:t xml:space="preserve">Front-desk staff need to confidently explain three tiers, two tracks, two add-on programs (NAD upgrade + GLP-1), and the carve-outs. Training required before any patient-facing communication.</w:t>
      </w:r>
    </w:p>
    <w:p>
      <w:pPr>
        <w:spacing w:after="80" w:before="0"/>
      </w:pPr>
    </w:p>
    <w:p>
      <w:pPr>
        <w:pStyle w:val="Heading2"/>
        <w:pBdr>
          <w:bottom w:val="single" w:color="2B6E72" w:sz="4" w:space="4"/>
        </w:pBdr>
        <w:spacing w:after="80" w:before="280"/>
      </w:pPr>
      <w:r>
        <w:rPr>
          <w:rFonts w:ascii="Arial" w:cs="Arial" w:eastAsia="Arial" w:hAnsi="Arial"/>
          <w:b/>
          <w:bCs/>
          <w:color w:val="1B2A4A"/>
          <w:sz w:val="22"/>
          <w:szCs w:val="22"/>
        </w:rPr>
        <w:t xml:space="preserve">Open Questions to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Question</w:t>
            </w:r>
          </w:p>
        </w:tc>
        <w:tc>
          <w:tcPr>
            <w:tcW w:type="dxa" w:w="6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jc w:val="center"/>
            </w:pPr>
            <w:r>
              <w:rPr>
                <w:rFonts w:ascii="Arial" w:cs="Arial" w:eastAsia="Arial" w:hAnsi="Arial"/>
                <w:b/>
                <w:bCs/>
                <w:color w:val="FFFFFF"/>
                <w:sz w:val="17"/>
                <w:szCs w:val="17"/>
              </w:rPr>
              <w:t xml:space="preserve">Detail / Resolution</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HBOT/RLT actual COGS</w:t>
            </w:r>
          </w:p>
        </w:tc>
        <w:tc>
          <w:tcPr>
            <w:tcW w:type="dxa" w:w="6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Provide chamber purchase price and O2 delivery method (concentrator vs. tanks). Required to finalize Elite margin.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Elite peptide COGS cap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$145 is modeled on BPC-157/TB-4 30-day kit. If patient is on a more expensive protocol (4X Blend ≈ $145), the cap holds. Confirm with Dr. Burgess whether cap should be $145 or $175.</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Legal review</w:t>
            </w:r>
          </w:p>
        </w:tc>
        <w:tc>
          <w:tcPr>
            <w:tcW w:type="dxa" w:w="6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Healthcare counsel to review: physician services bundling, HRT inclusion in flat-rate membership, California MSO structure.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CRM billing integration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Three-tier billing in GHL or Stripe. Auto-renewal, failed payment, cancellation, and upgrade/downgrade flows must be built.</w:t>
            </w:r>
          </w:p>
        </w:tc>
      </w:tr>
      <w:tr>
        <w:tc>
          <w:tcPr>
            <w:tcW w:type="dxa" w:w="240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bCs/>
                <w:color w:val="1A1A1A"/>
                <w:sz w:val="18"/>
                <w:szCs w:val="18"/>
              </w:rPr>
              <w:t xml:space="preserve">NAD upgrade delivery</w:t>
            </w:r>
          </w:p>
        </w:tc>
        <w:tc>
          <w:tcPr>
            <w:tcW w:type="dxa" w:w="6960"/>
            <w:tcBorders>
              <w:top w:val="single" w:color="CCCCCC" w:sz="1"/>
              <w:left w:val="single" w:color="CCCCCC" w:sz="1"/>
              <w:bottom w:val="single" w:color="CCCCCC" w:sz="1"/>
              <w:right w:val="single" w:color="CCCCCC" w:sz="1"/>
            </w:tcBorders>
            <w:shd w:fill="F0F4F7"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Is the 12-week NAD upgrade done in-clinic (staff administered) or take-home kit? COGS and logistics differ.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8"/>
                <w:szCs w:val="18"/>
              </w:rPr>
              <w:t xml:space="preserve">HRT member transition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55555"/>
                <w:sz w:val="18"/>
                <w:szCs w:val="18"/>
              </w:rPr>
              <w:t xml:space="preserve">Define the transition playbook for existing $250/month HRT members before announcing the new membership publicly.</w:t>
            </w:r>
          </w:p>
        </w:tc>
      </w:tr>
    </w:tbl>
    <w:p>
      <w:pPr>
        <w:spacing w:after="160" w:before="0"/>
      </w:pPr>
    </w:p>
    <w:p>
      <w:pPr>
        <w:shd w:fill="F0F4F7" w:val="clear"/>
        <w:spacing w:after="160" w:before="160"/>
        <w:ind w:left="120" w:right="120"/>
      </w:pPr>
      <w:r>
        <w:rPr>
          <w:rFonts w:ascii="Arial" w:cs="Arial" w:eastAsia="Arial" w:hAnsi="Arial"/>
          <w:b/>
          <w:bCs/>
          <w:color w:val="1B2A4A"/>
          <w:sz w:val="20"/>
          <w:szCs w:val="20"/>
        </w:rPr>
        <w:t xml:space="preserve">Bottom line: </w:t>
      </w:r>
      <w:r>
        <w:rPr>
          <w:rFonts w:ascii="Arial" w:cs="Arial" w:eastAsia="Arial" w:hAnsi="Arial"/>
          <w:color w:val="1A1A1A"/>
          <w:sz w:val="20"/>
          <w:szCs w:val="20"/>
        </w:rPr>
        <w:t xml:space="preserve">All three tiers clear the 65% gross margin floor (84.7% Lite, 82% Core, 76.6% Elite). NAD 12-Week Upgrade: $1,800 standard / $1,500 upfront — 79.7% and 75.6% margin respectively (Pyxis 1000mg @ $77). Core is the business. Lite keeps price-sensitive patients in the ecosystem. Elite prints margin and sets the anchor. Blockers before launch: legal review, CRM billing build, and confirming real HBOT/RLT capex.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555555"/>
        <w:sz w:val="16"/>
        <w:szCs w:val="16"/>
      </w:rPr>
      <w:t xml:space="preserve">Range Medical  •  Newport Beach, CA  •  range-medical.com</w:t>
    </w:r>
    <w:r>
      <w:rPr>
        <w:rFonts w:ascii="Arial" w:cs="Arial" w:eastAsia="Arial" w:hAnsi="Arial"/>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555555"/>
        <w:sz w:val="16"/>
        <w:szCs w:val="16"/>
      </w:rPr>
      <w:t xml:space="preserve">RANGE MEDICAL  •  Range Outcomes Membership  —  Lite / Core / Elite</w:t>
    </w:r>
    <w:r>
      <w:rPr>
        <w:rFonts w:ascii="Arial" w:cs="Arial" w:eastAsia="Arial" w:hAnsi="Arial"/>
      </w:rPr>
      <w:t xml:space="preserve">	</w:t>
    </w:r>
    <w:r>
      <w:rPr>
        <w:rFonts w:ascii="Arial" w:cs="Arial" w:eastAsia="Arial" w:hAnsi="Arial"/>
        <w:color w:val="555555"/>
        <w:sz w:val="16"/>
        <w:szCs w:val="16"/>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24"/>
      <w:szCs w:val="24"/>
    </w:rPr>
  </w:style>
  <w:style w:type="paragraph" w:styleId="Heading2">
    <w:name w:val="Heading 2"/>
    <w:basedOn w:val="Normal"/>
    <w:next w:val="Normal"/>
    <w:qFormat/>
    <w:pPr>
      <w:spacing w:after="80" w:before="28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2026-03-22T05:10:56.680Z</dcterms:created>
  <dcterms:modified xsi:type="dcterms:W3CDTF">2026-03-22T05:10:56.680Z</dcterms:modified>
</cp:coreProperties>
</file>

<file path=docProps/custom.xml><?xml version="1.0" encoding="utf-8"?>
<Properties xmlns="http://schemas.openxmlformats.org/officeDocument/2006/custom-properties" xmlns:vt="http://schemas.openxmlformats.org/officeDocument/2006/docPropsVTypes"/>
</file>