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fz85j6m0cbf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Iron Infusion: During &amp; After Care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your infusion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Vital signs will be taken </w:t>
      </w:r>
      <w:r w:rsidDel="00000000" w:rsidR="00000000" w:rsidRPr="00000000">
        <w:rPr>
          <w:b w:val="1"/>
          <w:bCs w:val="1"/>
          <w:rtl w:val="0"/>
        </w:rPr>
        <w:t xml:space="preserve">before and after</w:t>
      </w:r>
      <w:r w:rsidDel="00000000" w:rsidR="00000000" w:rsidRPr="00000000">
        <w:rPr>
          <w:rtl w:val="0"/>
        </w:rPr>
        <w:t xml:space="preserve"> your infusion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feel a metallic taste, warmth, or mild nausea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Headache, dizziness, or mild muscle aches can occur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Mild burning or discomfort at the IV site is possible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 your nurse </w:t>
      </w:r>
      <w:r w:rsidDel="00000000" w:rsidR="00000000" w:rsidRPr="00000000">
        <w:rPr>
          <w:b w:val="1"/>
          <w:bCs w:val="1"/>
          <w:rtl w:val="0"/>
        </w:rPr>
        <w:t xml:space="preserve">right away</w:t>
      </w:r>
      <w:r w:rsidDel="00000000" w:rsidR="00000000" w:rsidRPr="00000000">
        <w:rPr>
          <w:rtl w:val="0"/>
        </w:rPr>
        <w:t xml:space="preserve"> if you feel: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Trouble breathing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Chest pain or tightness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Rash, itching, or swelling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Severe dizziness or feeling faint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your infusion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will remain in the clinic for </w:t>
      </w:r>
      <w:r w:rsidDel="00000000" w:rsidR="00000000" w:rsidRPr="00000000">
        <w:rPr>
          <w:b w:val="1"/>
          <w:bCs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 for monitoring of any additional reactions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Drink plenty of fluids for the rest of the day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normal activity as tolerated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Mild fatigue, headache, or muscle aches for 1–2 days are common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 site care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site clean and dry today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Mild redness or soreness is normal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the clinic if pain, swelling, warmth, or skin changes worsen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Medications &amp; diet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oral iron </w:t>
      </w:r>
      <w:r w:rsidDel="00000000" w:rsidR="00000000" w:rsidRPr="00000000">
        <w:rPr>
          <w:b w:val="1"/>
          <w:bCs w:val="1"/>
          <w:rtl w:val="0"/>
        </w:rPr>
        <w:t xml:space="preserve">as prescribed by your provider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Eat a balanced diet and stay well hydrated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Vitamin C helps your body use iron more effectively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Eating foods rich in vitamin C may support iron absorption and utilization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ptzwttxsf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activity is acceptable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strenuous exercise for </w:t>
      </w:r>
      <w:r w:rsidDel="00000000" w:rsidR="00000000" w:rsidRPr="00000000">
        <w:rPr>
          <w:b w:val="1"/>
          <w:bCs w:val="1"/>
          <w:rtl w:val="0"/>
        </w:rPr>
        <w:t xml:space="preserve">24 hours</w:t>
      </w:r>
      <w:r w:rsidDel="00000000" w:rsidR="00000000" w:rsidRPr="00000000">
        <w:rPr>
          <w:rtl w:val="0"/>
        </w:rPr>
        <w:t xml:space="preserve"> if fatigued or dizzy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the clinic or seek care right away if you have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Shortness of breath or wheezing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pain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Swelling of the face, lips, or throat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Hives or severe itching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Fainting or severe dizziness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expect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energy in </w:t>
      </w:r>
      <w:r w:rsidDel="00000000" w:rsidR="00000000" w:rsidRPr="00000000">
        <w:rPr>
          <w:b w:val="1"/>
          <w:bCs w:val="1"/>
          <w:rtl w:val="0"/>
        </w:rPr>
        <w:t xml:space="preserve">1–3 weeks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levels improve over </w:t>
      </w:r>
      <w:r w:rsidDel="00000000" w:rsidR="00000000" w:rsidRPr="00000000">
        <w:rPr>
          <w:b w:val="1"/>
          <w:bCs w:val="1"/>
          <w:rtl w:val="0"/>
        </w:rPr>
        <w:t xml:space="preserve">2–4 weeks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follow-up appointments and lab checks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