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1733550</wp:posOffset>
            </wp:positionH>
            <wp:positionV relativeFrom="paragraph">
              <wp:posOffset>114300</wp:posOffset>
            </wp:positionV>
            <wp:extent cx="2009775" cy="17192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19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Toradol (Ketorolac) Injection:</w:t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Toradol is a strong anti-inflammatory pain medication. It works by reducing inflammation and blocking pain signals, similar to ibuprofen but much stronger.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Toradol should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sz w:val="20"/>
          <w:szCs w:val="20"/>
          <w:rtl w:val="0"/>
        </w:rPr>
        <w:t xml:space="preserve"> be used if you have: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Allergy to NSAIDs or aspirin</w:t>
      </w:r>
      <w:r w:rsidDel="00000000" w:rsidR="00000000" w:rsidRPr="00000000">
        <w:rPr>
          <w:sz w:val="20"/>
          <w:szCs w:val="20"/>
          <w:rtl w:val="0"/>
        </w:rPr>
        <w:t xml:space="preserve"> (history of severe reactions like hives, asthma, or anaphylaxis).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History of stomach ulcers, bleeding, or perforation.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Recent stomach or intestinal bleeding.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Severe kidney disease or decreased kidney function.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Active bleeding or high bleeding risk</w:t>
      </w:r>
      <w:r w:rsidDel="00000000" w:rsidR="00000000" w:rsidRPr="00000000">
        <w:rPr>
          <w:sz w:val="20"/>
          <w:szCs w:val="20"/>
          <w:rtl w:val="0"/>
        </w:rPr>
        <w:t xml:space="preserve"> (including after surgery).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Recent coronary artery bypass graft (CABG) surgery.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Use with other NSAIDs or aspirin</w:t>
      </w:r>
      <w:r w:rsidDel="00000000" w:rsidR="00000000" w:rsidRPr="00000000">
        <w:rPr>
          <w:sz w:val="20"/>
          <w:szCs w:val="20"/>
          <w:rtl w:val="0"/>
        </w:rPr>
        <w:t xml:space="preserve"> (can increase bleeding/stomach risk).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Pregnancy (especially 3rd trimester).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Breastfeeding</w:t>
      </w:r>
      <w:r w:rsidDel="00000000" w:rsidR="00000000" w:rsidRPr="00000000">
        <w:rPr>
          <w:sz w:val="20"/>
          <w:szCs w:val="20"/>
          <w:rtl w:val="0"/>
        </w:rPr>
        <w:t xml:space="preserve"> (generally avoided, passes into milk).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Children under 17 years</w:t>
      </w:r>
      <w:r w:rsidDel="00000000" w:rsidR="00000000" w:rsidRPr="00000000">
        <w:rPr>
          <w:sz w:val="20"/>
          <w:szCs w:val="20"/>
          <w:rtl w:val="0"/>
        </w:rPr>
        <w:t xml:space="preserve"> (injection sometimes used with caution in hospitals).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Things to Watch Out For: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 take with other NSAIDs</w:t>
      </w:r>
      <w:r w:rsidDel="00000000" w:rsidR="00000000" w:rsidRPr="00000000">
        <w:rPr>
          <w:sz w:val="20"/>
          <w:szCs w:val="20"/>
          <w:rtl w:val="0"/>
        </w:rPr>
        <w:t xml:space="preserve"> (like Advil, ibuprofen, Aleve, aspirin) for 48 hours. This can increase risk of stomach irritation or bleeding.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Can sometimes cause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upset stomach, heartburn, or nausea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Rarely, it may increase risk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bleeding, kidney problems, or ulcers</w:t>
      </w:r>
      <w:r w:rsidDel="00000000" w:rsidR="00000000" w:rsidRPr="00000000">
        <w:rPr>
          <w:sz w:val="20"/>
          <w:szCs w:val="20"/>
          <w:rtl w:val="0"/>
        </w:rPr>
        <w:t xml:space="preserve">, especially if used too often or long-term.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Should generally only be used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short-term (no more than 5 days)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Avoid alcohol while taking, as it can increase stomach irritation.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