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Calibri" w:hAnsi="Calibri"/>
          <w:color w:val="1B3A4B"/>
        </w:rPr>
        <w:t>BIBLICAL DIVORCE LAW — COMPARISON NOTE</w:t>
      </w:r>
    </w:p>
    <w:p>
      <w:pPr>
        <w:spacing w:after="160"/>
      </w:pPr>
      <w:r>
        <w:rPr>
          <w:rFonts w:ascii="Calibri" w:hAnsi="Calibri" w:eastAsia="Calibri"/>
          <w:b w:val="0"/>
          <w:i/>
          <w:color w:val="222222"/>
          <w:sz w:val="22"/>
        </w:rPr>
        <w:t>Companion to S002 CP14 and QB-0055. Describes texts. Not a procedure manual.</w:t>
      </w:r>
    </w:p>
    <w:p>
      <w:pPr>
        <w:spacing w:after="40"/>
      </w:pPr>
      <w:r>
        <w:rPr>
          <w:rFonts w:ascii="Calibri" w:hAnsi="Calibri" w:eastAsia="Calibri"/>
          <w:b/>
          <w:i w:val="0"/>
          <w:color w:val="1B3A4B"/>
          <w:sz w:val="22"/>
        </w:rPr>
        <w:t xml:space="preserve">Date: </w:t>
      </w:r>
      <w:r>
        <w:rPr>
          <w:rFonts w:ascii="Calibri" w:hAnsi="Calibri" w:eastAsia="Calibri"/>
          <w:b w:val="0"/>
          <w:i w:val="0"/>
          <w:color w:val="222222"/>
          <w:sz w:val="22"/>
        </w:rPr>
        <w:t>11 September 2026</w:t>
      </w:r>
    </w:p>
    <w:p>
      <w:pPr>
        <w:pStyle w:val="Heading1"/>
      </w:pPr>
      <w:r>
        <w:rPr>
          <w:rFonts w:ascii="Calibri" w:hAnsi="Calibri"/>
          <w:color w:val="1B3A4B"/>
        </w:rPr>
        <w:t>1. What Deuteronomy 24:1–4 actually legislates</w:t>
      </w:r>
    </w:p>
    <w:p>
      <w:pPr>
        <w:spacing w:after="160"/>
      </w:pPr>
      <w:r>
        <w:rPr>
          <w:rFonts w:ascii="Calibri" w:hAnsi="Calibri" w:eastAsia="Calibri"/>
          <w:b w:val="0"/>
          <w:i w:val="0"/>
          <w:color w:val="222222"/>
          <w:sz w:val="22"/>
        </w:rPr>
        <w:t>The case: a man marries; she finds no favor because he found ʿervat dāvār (“nakedness of a thing” / some indecency) in her; he writes a sefer keritut (certificate of cutting-off), puts it in her hand, and sends her from his house. She becomes another man’s wife. That second husband dislikes her and also writes a bill and sends her out, or he dies. Then: her first husband may not take her again to be his wife after she has been defiled — that is tōʿēbāh before the Lord.</w:t>
      </w:r>
    </w:p>
    <w:p>
      <w:pPr>
        <w:spacing w:after="160"/>
      </w:pPr>
      <w:r>
        <w:rPr>
          <w:rFonts w:ascii="Calibri" w:hAnsi="Calibri" w:eastAsia="Calibri"/>
          <w:b w:val="0"/>
          <w:i w:val="0"/>
          <w:color w:val="222222"/>
          <w:sz w:val="22"/>
        </w:rPr>
        <w:t>Grammatically the command is verse 4. Verses 1–3 are the situation. Many interpreters therefore say Moses is not “commanding divorce” so much as regulating a practice already happening and closing one door: no return to husband #1 after husband #2.</w:t>
      </w:r>
    </w:p>
    <w:p>
      <w:pPr>
        <w:spacing w:after="160"/>
      </w:pPr>
      <w:r>
        <w:rPr>
          <w:rFonts w:ascii="Calibri" w:hAnsi="Calibri" w:eastAsia="Calibri"/>
          <w:b w:val="0"/>
          <w:i w:val="0"/>
          <w:color w:val="222222"/>
          <w:sz w:val="22"/>
        </w:rPr>
        <w:t>ʿErvat dāvār is the disputed phrase. Second Temple and rabbinic schools split on it: Shammai heard sexual indecency; Hillel heard something as small as spoiling a dish (m. Gittin 9:10). That debate is what the Pharisees bring to Jesus.</w:t>
      </w:r>
    </w:p>
    <w:p>
      <w:pPr>
        <w:pStyle w:val="Heading1"/>
      </w:pPr>
      <w:r>
        <w:rPr>
          <w:rFonts w:ascii="Calibri" w:hAnsi="Calibri"/>
          <w:color w:val="1B3A4B"/>
        </w:rPr>
        <w:t>2. Other Torah pieces that are not Deut 24</w:t>
      </w:r>
    </w:p>
    <w:p>
      <w:pPr>
        <w:spacing w:after="160"/>
      </w:pPr>
      <w:r>
        <w:rPr>
          <w:rFonts w:ascii="Calibri" w:hAnsi="Calibri" w:eastAsia="Calibri"/>
          <w:b w:val="0"/>
          <w:i w:val="0"/>
          <w:color w:val="222222"/>
          <w:sz w:val="22"/>
        </w:rPr>
        <w:t>Exod 21:7–11: a female servant-wife has food, clothing, and conjugal rights; if those are withdrawn she goes out free. Not a general divorce statute.</w:t>
      </w:r>
    </w:p>
    <w:p>
      <w:pPr>
        <w:spacing w:after="160"/>
      </w:pPr>
      <w:r>
        <w:rPr>
          <w:rFonts w:ascii="Calibri" w:hAnsi="Calibri" w:eastAsia="Calibri"/>
          <w:b w:val="0"/>
          <w:i w:val="0"/>
          <w:color w:val="222222"/>
          <w:sz w:val="22"/>
        </w:rPr>
        <w:t>Deut 22:13–21: false accusation of missing virginity — he may not divorce her all his days. Deut 22:28–29: intercourse with an unbetrothed virgin — bride-price and he may not send her away all his days. These are anti-divorce locks in specific cases.</w:t>
      </w:r>
    </w:p>
    <w:p>
      <w:pPr>
        <w:spacing w:after="160"/>
      </w:pPr>
      <w:r>
        <w:rPr>
          <w:rFonts w:ascii="Calibri" w:hAnsi="Calibri" w:eastAsia="Calibri"/>
          <w:b w:val="0"/>
          <w:i w:val="0"/>
          <w:color w:val="222222"/>
          <w:sz w:val="22"/>
        </w:rPr>
        <w:t>Lev 21:7, 14: priests may not take a divorced woman. A holiness fence, not a general ban on lay divorce.</w:t>
      </w:r>
    </w:p>
    <w:p>
      <w:pPr>
        <w:spacing w:after="160"/>
      </w:pPr>
      <w:r>
        <w:rPr>
          <w:rFonts w:ascii="Calibri" w:hAnsi="Calibri" w:eastAsia="Calibri"/>
          <w:b w:val="0"/>
          <w:i w:val="0"/>
          <w:color w:val="222222"/>
          <w:sz w:val="22"/>
        </w:rPr>
        <w:t>Deut 25:5–10: levirate. A widow without a son is bound toward the brother-in-law’s line. Different institution from 2:234’s numbered widow clock.</w:t>
      </w:r>
    </w:p>
    <w:p>
      <w:pPr>
        <w:spacing w:after="160"/>
      </w:pPr>
      <w:r>
        <w:rPr>
          <w:rFonts w:ascii="Calibri" w:hAnsi="Calibri" w:eastAsia="Calibri"/>
          <w:b w:val="0"/>
          <w:i w:val="0"/>
          <w:color w:val="222222"/>
          <w:sz w:val="22"/>
        </w:rPr>
        <w:t>There is no numbered ʿiddah of three qurūʾ or four-months-ten in the Torah. There is no “divorce is twice then a third.” There is no khulʿ ransom clause.</w:t>
      </w:r>
    </w:p>
    <w:p>
      <w:pPr>
        <w:pStyle w:val="Heading1"/>
      </w:pPr>
      <w:r>
        <w:rPr>
          <w:rFonts w:ascii="Calibri" w:hAnsi="Calibri"/>
          <w:color w:val="1B3A4B"/>
        </w:rPr>
        <w:t>3. Prophets</w:t>
      </w:r>
    </w:p>
    <w:p>
      <w:pPr>
        <w:spacing w:after="160"/>
      </w:pPr>
      <w:r>
        <w:rPr>
          <w:rFonts w:ascii="Calibri" w:hAnsi="Calibri" w:eastAsia="Calibri"/>
          <w:b w:val="0"/>
          <w:i w:val="0"/>
          <w:color w:val="222222"/>
          <w:sz w:val="22"/>
        </w:rPr>
        <w:t>Jer 3:1, 8 uses Deut 24 as a metaphor: Israel played the harlot; after sending her away, can the first husband return? God still calls return — the metaphor strains the statute.</w:t>
      </w:r>
    </w:p>
    <w:p>
      <w:pPr>
        <w:spacing w:after="160"/>
      </w:pPr>
      <w:r>
        <w:rPr>
          <w:rFonts w:ascii="Calibri" w:hAnsi="Calibri" w:eastAsia="Calibri"/>
          <w:b w:val="0"/>
          <w:i w:val="0"/>
          <w:color w:val="222222"/>
          <w:sz w:val="22"/>
        </w:rPr>
        <w:t>Isa 50:1: where is your mother’s bill of divorce? — God denying he divorced Zion in that legal sense.</w:t>
      </w:r>
    </w:p>
    <w:p>
      <w:pPr>
        <w:spacing w:after="160"/>
      </w:pPr>
      <w:r>
        <w:rPr>
          <w:rFonts w:ascii="Calibri" w:hAnsi="Calibri" w:eastAsia="Calibri"/>
          <w:b w:val="0"/>
          <w:i w:val="0"/>
          <w:color w:val="222222"/>
          <w:sz w:val="22"/>
        </w:rPr>
        <w:t>Mal 2:13–16: Judah has been faithless to the wife of his youth; “I hate divorce” (or: he hates divorce / covering one’s garment with violence — the Hebrew of 2:16 is rough). This is moral indictment of men discarding Jewish wives, in the same Persian-period file as Ezra–Nehemiah’s campaign against foreign marriages. Two pressures sit in one era: do not dump the covenant wife; do not keep the foreign wife.</w:t>
      </w:r>
    </w:p>
    <w:p>
      <w:pPr>
        <w:pStyle w:val="Heading1"/>
      </w:pPr>
      <w:r>
        <w:rPr>
          <w:rFonts w:ascii="Calibri" w:hAnsi="Calibri"/>
          <w:color w:val="1B3A4B"/>
        </w:rPr>
        <w:t>4. Jesus</w:t>
      </w:r>
    </w:p>
    <w:p>
      <w:pPr>
        <w:spacing w:after="160"/>
      </w:pPr>
      <w:r>
        <w:rPr>
          <w:rFonts w:ascii="Calibri" w:hAnsi="Calibri" w:eastAsia="Calibri"/>
          <w:b w:val="0"/>
          <w:i w:val="0"/>
          <w:color w:val="222222"/>
          <w:sz w:val="22"/>
        </w:rPr>
        <w:t>Matt 19:3–9 / Mark 10:2–12. Pharisees: is it lawful to divorce for any cause? Jesus quotes Gen 1:27 and 2:24 — male and female; one flesh; what God joined let no one separate. They cite Moses’ certificate. He: because of hardness of heart Moses allowed it; from the beginning it was not so. Matthew adds: whoever divorces except for porneia and marries another commits adultery. Mark has no exception and includes the woman who divorces her husband (more Roman-legal framing).</w:t>
      </w:r>
    </w:p>
    <w:p>
      <w:pPr>
        <w:spacing w:after="160"/>
      </w:pPr>
      <w:r>
        <w:rPr>
          <w:rFonts w:ascii="Calibri" w:hAnsi="Calibri" w:eastAsia="Calibri"/>
          <w:b w:val="0"/>
          <w:i w:val="0"/>
          <w:color w:val="222222"/>
          <w:sz w:val="22"/>
        </w:rPr>
        <w:t>Matt 5:31–32 in the Sermon: the certificate saying is not enough; divorce except for porneia causes adultery in the subsequent union.</w:t>
      </w:r>
    </w:p>
    <w:p>
      <w:pPr>
        <w:spacing w:after="160"/>
      </w:pPr>
      <w:r>
        <w:rPr>
          <w:rFonts w:ascii="Calibri" w:hAnsi="Calibri" w:eastAsia="Calibri"/>
          <w:b w:val="0"/>
          <w:i w:val="0"/>
          <w:color w:val="222222"/>
          <w:sz w:val="22"/>
        </w:rPr>
        <w:t>Luke 16:18: no exception clause in that saying.</w:t>
      </w:r>
    </w:p>
    <w:p>
      <w:pPr>
        <w:spacing w:after="160"/>
      </w:pPr>
      <w:r>
        <w:rPr>
          <w:rFonts w:ascii="Calibri" w:hAnsi="Calibri" w:eastAsia="Calibri"/>
          <w:b w:val="0"/>
          <w:i w:val="0"/>
          <w:color w:val="222222"/>
          <w:sz w:val="22"/>
        </w:rPr>
        <w:t>So inside the NT itself: a creation-standard (no separation), a hardness-concession reading of Deut 24, and a Matthean porneia exception. Churches still split on whether that exception is adultery only, a wider sexual-sin set, or invalid-union language.</w:t>
      </w:r>
    </w:p>
    <w:p>
      <w:pPr>
        <w:pStyle w:val="Heading1"/>
      </w:pPr>
      <w:r>
        <w:rPr>
          <w:rFonts w:ascii="Calibri" w:hAnsi="Calibri"/>
          <w:color w:val="1B3A4B"/>
        </w:rPr>
        <w:t>5. Paul</w:t>
      </w:r>
    </w:p>
    <w:p>
      <w:pPr>
        <w:spacing w:after="160"/>
      </w:pPr>
      <w:r>
        <w:rPr>
          <w:rFonts w:ascii="Calibri" w:hAnsi="Calibri" w:eastAsia="Calibri"/>
          <w:b w:val="0"/>
          <w:i w:val="0"/>
          <w:color w:val="222222"/>
          <w:sz w:val="22"/>
        </w:rPr>
        <w:t>1 Cor 7:10–16. Not I but the Lord: a wife should not separate; if she does, remain unmarried or be reconciled; a husband should not divorce. Then Paul’s own word: if an unbelieving spouse departs, the brother or sister is not enslaved. Mixed-marriage desertion is a second track. No ʿiddah clock. No third-talaq-plus-intervening-marriage device.</w:t>
      </w:r>
    </w:p>
    <w:p>
      <w:pPr>
        <w:pStyle w:val="Heading1"/>
      </w:pPr>
      <w:r>
        <w:rPr>
          <w:rFonts w:ascii="Calibri" w:hAnsi="Calibri"/>
          <w:color w:val="1B3A4B"/>
        </w:rPr>
        <w:t>6. Table against 2:228–237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shd w:fill="1B3A4B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Issue</w:t>
            </w:r>
          </w:p>
        </w:tc>
        <w:tc>
          <w:tcPr>
            <w:tcW w:type="dxa" w:w="2448"/>
            <w:shd w:fill="1B3A4B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Torah / NT</w:t>
            </w:r>
          </w:p>
        </w:tc>
        <w:tc>
          <w:tcPr>
            <w:tcW w:type="dxa" w:w="2448"/>
            <w:shd w:fill="1B3A4B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Quran 2:228–237</w:t>
            </w:r>
          </w:p>
        </w:tc>
        <w:tc>
          <w:tcPr>
            <w:tcW w:type="dxa" w:w="2448"/>
            <w:shd w:fill="1B3A4B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Call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Is divorce allowed?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Deut 24 assumes it and regulates aftermath. Jesus: allowed because of hardness; creation standard is no split. Paul: do not; exception if the unbeliever leaves.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Assumed and regulated. Twice, then a third with a gate.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PARTIAL AGREEMENT that it exists as law. NT creation-ethic is stricter than both Torah practice and 2:229.</w:t>
            </w:r>
          </w:p>
        </w:tc>
      </w:tr>
      <w:tr>
        <w:tc>
          <w:tcPr>
            <w:tcW w:type="dxa" w:w="2448"/>
            <w:shd w:fill="F4F1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Grounds</w:t>
            </w:r>
          </w:p>
        </w:tc>
        <w:tc>
          <w:tcPr>
            <w:tcW w:type="dxa" w:w="2448"/>
            <w:shd w:fill="F4F1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ʿErvat davar (disputed). Jesus: porneia exception in Matthew.</w:t>
            </w:r>
          </w:p>
        </w:tc>
        <w:tc>
          <w:tcPr>
            <w:tcW w:type="dxa" w:w="2448"/>
            <w:shd w:fill="F4F1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No grounds list in 2:228–232. Ḍirār holding is banned. Īlāʾ clocks toward talaq.</w:t>
            </w:r>
          </w:p>
        </w:tc>
        <w:tc>
          <w:tcPr>
            <w:tcW w:type="dxa" w:w="2448"/>
            <w:shd w:fill="F4F1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OMISSION of a named fault-ground in this panel.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Written bill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Sefer keritut required in the Deut 24 case.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Not named in 2:228–242.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OMISSION here (later fiqh supplies documentation).</w:t>
            </w:r>
          </w:p>
        </w:tc>
      </w:tr>
      <w:tr>
        <w:tc>
          <w:tcPr>
            <w:tcW w:type="dxa" w:w="2448"/>
            <w:shd w:fill="F4F1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Waiting period</w:t>
            </w:r>
          </w:p>
        </w:tc>
        <w:tc>
          <w:tcPr>
            <w:tcW w:type="dxa" w:w="2448"/>
            <w:shd w:fill="F4F1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None numbered for divorcees. Widow frame is levirate, not 4 months 10 days.</w:t>
            </w:r>
          </w:p>
        </w:tc>
        <w:tc>
          <w:tcPr>
            <w:tcW w:type="dxa" w:w="2448"/>
            <w:shd w:fill="F4F1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Three qurūʾ; widows 4 months 10 days.</w:t>
            </w:r>
          </w:p>
        </w:tc>
        <w:tc>
          <w:tcPr>
            <w:tcW w:type="dxa" w:w="2448"/>
            <w:shd w:fill="F4F1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ADDITION.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How many divorces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Not counted as two-then-third.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Twice, then third.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ADDITION.</w:t>
            </w:r>
          </w:p>
        </w:tc>
      </w:tr>
      <w:tr>
        <w:tc>
          <w:tcPr>
            <w:tcW w:type="dxa" w:w="2448"/>
            <w:shd w:fill="F4F1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Intervening marriage</w:t>
            </w:r>
          </w:p>
        </w:tc>
        <w:tc>
          <w:tcPr>
            <w:tcW w:type="dxa" w:w="2448"/>
            <w:shd w:fill="F4F1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Deut 24:4 FORBIDS return to husband #1 after husband #2.</w:t>
            </w:r>
          </w:p>
        </w:tc>
        <w:tc>
          <w:tcPr>
            <w:tcW w:type="dxa" w:w="2448"/>
            <w:shd w:fill="F4F1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2:230 REQUIRES a marriage to another before return after the third talaq; then return is allowed.</w:t>
            </w:r>
          </w:p>
        </w:tc>
        <w:tc>
          <w:tcPr>
            <w:tcW w:type="dxa" w:w="2448"/>
            <w:shd w:fill="F4F1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DIRECT CONTRAST (QB-0055).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She initiates / ransoms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Torah case is male-initiated bill. Some later Jewish practice allowed female initiative in limited forms.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Khulʿ: she may ransom herself if both fear they cannot keep limits.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ADDITION relative to Deut 24.</w:t>
            </w:r>
          </w:p>
        </w:tc>
      </w:tr>
      <w:tr>
        <w:tc>
          <w:tcPr>
            <w:tcW w:type="dxa" w:w="2448"/>
            <w:shd w:fill="F4F1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Unconsummated union</w:t>
            </w:r>
          </w:p>
        </w:tc>
        <w:tc>
          <w:tcPr>
            <w:tcW w:type="dxa" w:w="2448"/>
            <w:shd w:fill="F4F1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Deut 22 locks some men from ever sending away.</w:t>
            </w:r>
          </w:p>
        </w:tc>
        <w:tc>
          <w:tcPr>
            <w:tcW w:type="dxa" w:w="2448"/>
            <w:shd w:fill="F4F1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2:236–237: divorce before touch still carries mutʿa or half-farīḍa.</w:t>
            </w:r>
          </w:p>
        </w:tc>
        <w:tc>
          <w:tcPr>
            <w:tcW w:type="dxa" w:w="2448"/>
            <w:shd w:fill="F4F1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DIFFERENT toolset.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Reciprocity / degree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No “like rights / degree” sentence.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2:228 both sentences.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ADDITION.</w:t>
            </w:r>
          </w:p>
        </w:tc>
      </w:tr>
      <w:tr>
        <w:tc>
          <w:tcPr>
            <w:tcW w:type="dxa" w:w="2448"/>
            <w:shd w:fill="F4F1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Moral verdict on divorce itself</w:t>
            </w:r>
          </w:p>
        </w:tc>
        <w:tc>
          <w:tcPr>
            <w:tcW w:type="dxa" w:w="2448"/>
            <w:shd w:fill="F4F1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Mal 2:16 hostility to faithless dumping. Jesus: hardness.</w:t>
            </w:r>
          </w:p>
        </w:tc>
        <w:tc>
          <w:tcPr>
            <w:tcW w:type="dxa" w:w="2448"/>
            <w:shd w:fill="F4F1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Limits of God; mockery of signs forbidden; maʿrūf / iḥsān floor.</w:t>
            </w:r>
          </w:p>
        </w:tc>
        <w:tc>
          <w:tcPr>
            <w:tcW w:type="dxa" w:w="2448"/>
            <w:shd w:fill="F4F1EA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PARTIAL AGREEMENT that dumping-as-harm is condemned.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1B3A4B"/>
        </w:rPr>
        <w:t>7. What not to claim</w:t>
      </w:r>
    </w:p>
    <w:p>
      <w:pPr>
        <w:spacing w:after="160"/>
      </w:pPr>
      <w:r>
        <w:rPr>
          <w:rFonts w:ascii="Calibri" w:hAnsi="Calibri" w:eastAsia="Calibri"/>
          <w:b w:val="0"/>
          <w:i w:val="0"/>
          <w:color w:val="222222"/>
          <w:sz w:val="22"/>
        </w:rPr>
        <w:t>Do not say “the Bible bans divorce.” Deut 24 exists. Do not say “the Quran copies Deut 24.” The intervening-marriage rule runs the other way. Do not say “Jesus and 2:229 teach the same ethic.” Jesus’ creation-standard plus Matthew’s porneia exception is a different architecture from twice-then-third plus khulʿ plus ʿiddah.</w:t>
      </w:r>
    </w:p>
    <w:p>
      <w:pPr>
        <w:spacing w:after="160"/>
      </w:pPr>
      <w:r>
        <w:rPr>
          <w:rFonts w:ascii="Calibri" w:hAnsi="Calibri" w:eastAsia="Calibri"/>
          <w:b w:val="0"/>
          <w:i w:val="0"/>
          <w:color w:val="222222"/>
          <w:sz w:val="22"/>
        </w:rPr>
        <w:t>Rabbinic get procedure, Catholic annulment, Protestant fault/no-fault statutes, and Islamic ṭalāq-bidʿī debates are all later law. They are not Level 1 for either book.</w:t>
      </w:r>
    </w:p>
    <w:p>
      <w:pPr>
        <w:pStyle w:val="Heading1"/>
      </w:pPr>
      <w:r>
        <w:rPr>
          <w:rFonts w:ascii="Calibri" w:hAnsi="Calibri"/>
          <w:color w:val="1B3A4B"/>
        </w:rPr>
        <w:t>8. Bottom line for the project</w:t>
      </w:r>
    </w:p>
    <w:p>
      <w:pPr>
        <w:spacing w:after="160"/>
      </w:pPr>
      <w:r>
        <w:rPr>
          <w:rFonts w:ascii="Calibri" w:hAnsi="Calibri" w:eastAsia="Calibri"/>
          <w:b w:val="0"/>
          <w:i w:val="0"/>
          <w:color w:val="222222"/>
          <w:sz w:val="22"/>
        </w:rPr>
        <w:t>Biblical divorce law is a small Torah case (Deut 24) plus anti-divorce locks in a few situations, a prophetic protest against treacherous sending-away, and a NT tightening toward creation-monogamy with an internal split on exceptions. Quran 2:228–237 is a thicker code: numbered waits, a two-then-third cap, a ransom off-ramp, a required intervening marriage after the third, nursing and widow clocks, mutʿa. The one place the two statutes collide head-on is the second-husband rule.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rFonts w:ascii="Calibri" w:hAnsi="Calibri" w:eastAsia="Calibri"/>
        <w:b w:val="0"/>
        <w:i w:val="0"/>
        <w:color w:val="8A6D3B"/>
        <w:sz w:val="18"/>
      </w:rPr>
      <w:t xml:space="preserve">LibreOffice OOXML  ·  QB-0055 expansion  ·  Page </w:t>
    </w:r>
    <w:r>
      <w:fldChar w:fldCharType="begin"/>
    </w:r>
    <w:r>
      <w:instrText xml:space="preserve"> PAGE </w:instrTex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rFonts w:ascii="Calibri" w:hAnsi="Calibri" w:eastAsia="Calibri"/>
        <w:b w:val="0"/>
        <w:i/>
        <w:color w:val="8A6D3B"/>
        <w:sz w:val="18"/>
      </w:rPr>
      <w:t>Quran Research Project  ·  FROZEN v1.0  ·  Biblical divorce laws vs 2:228–237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