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LIVING SNAPSHOT — HOW IS THE MESSENGER OBEYED AFTER HE IS GONE?</w:t>
      </w:r>
    </w:p>
    <w:p>
      <w:pPr>
        <w:spacing w:after="40"/>
      </w:pPr>
      <w:r>
        <w:rPr>
          <w:rFonts w:ascii="Calibri" w:hAnsi="Calibri" w:eastAsia="Calibri"/>
          <w:b/>
          <w:i w:val="0"/>
          <w:color w:val="1B3A4B"/>
          <w:sz w:val="22"/>
        </w:rPr>
        <w:t xml:space="preserve">Trigger: </w:t>
      </w:r>
      <w:r>
        <w:rPr>
          <w:rFonts w:ascii="Calibri" w:hAnsi="Calibri" w:eastAsia="Calibri"/>
          <w:b w:val="0"/>
          <w:i w:val="0"/>
          <w:color w:val="222222"/>
          <w:sz w:val="22"/>
        </w:rPr>
        <w:t>8:20–24 obey / do not turn from him while you hear / respond when he calls you to what gives you life</w:t>
      </w:r>
    </w:p>
    <w:p>
      <w:pPr>
        <w:spacing w:after="40"/>
      </w:pPr>
      <w:r>
        <w:rPr>
          <w:rFonts w:ascii="Calibri" w:hAnsi="Calibri" w:eastAsia="Calibri"/>
          <w:b/>
          <w:i w:val="0"/>
          <w:color w:val="1B3A4B"/>
          <w:sz w:val="22"/>
        </w:rPr>
        <w:t xml:space="preserve">Walked obey-verses: </w:t>
      </w:r>
      <w:r>
        <w:rPr>
          <w:rFonts w:ascii="Calibri" w:hAnsi="Calibri" w:eastAsia="Calibri"/>
          <w:b w:val="0"/>
          <w:i w:val="0"/>
          <w:color w:val="222222"/>
          <w:sz w:val="22"/>
        </w:rPr>
        <w:t>3:32, 132; 4:13, 59, 64–65, 69, 80; 5:92; 8:1, 20, 24</w:t>
      </w:r>
    </w:p>
    <w:p>
      <w:pPr>
        <w:spacing w:after="40"/>
      </w:pPr>
      <w:r>
        <w:rPr>
          <w:rFonts w:ascii="Calibri" w:hAnsi="Calibri" w:eastAsia="Calibri"/>
          <w:b/>
          <w:i w:val="0"/>
          <w:color w:val="1B3A4B"/>
          <w:sz w:val="22"/>
        </w:rPr>
        <w:t xml:space="preserve">Parked heavy cousins: </w:t>
      </w:r>
      <w:r>
        <w:rPr>
          <w:rFonts w:ascii="Calibri" w:hAnsi="Calibri" w:eastAsia="Calibri"/>
          <w:b w:val="0"/>
          <w:i w:val="0"/>
          <w:color w:val="222222"/>
          <w:sz w:val="22"/>
        </w:rPr>
        <w:t>24:54, 62; 33:21, 36; 47:33; 59:7; 16:44, 64; 75:16–19</w:t>
      </w:r>
    </w:p>
    <w:p>
      <w:pPr>
        <w:spacing w:after="40"/>
      </w:pPr>
      <w:r>
        <w:rPr>
          <w:rFonts w:ascii="Calibri" w:hAnsi="Calibri" w:eastAsia="Calibri"/>
          <w:b/>
          <w:i w:val="0"/>
          <w:color w:val="1B3A4B"/>
          <w:sz w:val="22"/>
        </w:rPr>
        <w:t xml:space="preserve">IDs: </w:t>
      </w:r>
      <w:r>
        <w:rPr>
          <w:rFonts w:ascii="Calibri" w:hAnsi="Calibri" w:eastAsia="Calibri"/>
          <w:b w:val="0"/>
          <w:i w:val="0"/>
          <w:color w:val="222222"/>
          <w:sz w:val="22"/>
        </w:rPr>
        <w:t>QDISC-0404–0408; QB-0235–0238</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Why the question is forced now</w:t>
      </w:r>
    </w:p>
    <w:p>
      <w:pPr>
        <w:spacing w:after="160"/>
      </w:pPr>
      <w:r>
        <w:rPr>
          <w:rFonts w:ascii="Calibri" w:hAnsi="Calibri" w:eastAsia="Calibri"/>
          <w:b w:val="0"/>
          <w:i w:val="0"/>
          <w:color w:val="222222"/>
          <w:sz w:val="22"/>
        </w:rPr>
        <w:t>8:20: obey God and His Messenger; do not turn from him while you hear. 8:24: respond to God and to the Messenger when he calls you to what gives you life. Those sentences have a live addressee. He hears. He calls. After 632 that scene is over. Later Islam answers with ḥadīth / Sunnah as the second source that carries his command forward. The test is how strongly that later system follows from the Quran itself, not from Bukhārī.</w:t>
      </w:r>
    </w:p>
    <w:p>
      <w:pPr>
        <w:pStyle w:val="Heading1"/>
      </w:pPr>
      <w:r>
        <w:rPr>
          <w:rFonts w:ascii="Calibri" w:hAnsi="Calibri"/>
          <w:color w:val="1B3A4B"/>
        </w:rPr>
        <w:t>2. What the walked Quran actually commands</w:t>
      </w:r>
    </w:p>
    <w:p>
      <w:pPr>
        <w:spacing w:after="160"/>
      </w:pPr>
      <w:r>
        <w:rPr>
          <w:rFonts w:ascii="Calibri" w:hAnsi="Calibri" w:eastAsia="Calibri"/>
          <w:b w:val="0"/>
          <w:i w:val="0"/>
          <w:color w:val="222222"/>
          <w:sz w:val="22"/>
        </w:rPr>
        <w:t>Obey God and the Messenger, paired, repeatedly (3:32, 3:132, 4:13, 5:92, 8:1, 8:20). 4:80: whoever obeys the Messenger has obeyed God. 4:64: We sent no messenger but to be obeyed by God’s leave. 4:65: they do not believe until they make you judge in what they dispute, then find no tightness in themselves from your decision. 4:59: obey God, obey the Messenger, and those in authority among you; if you dispute, refer it to God and the Messenger if you believe.</w:t>
      </w:r>
    </w:p>
    <w:p>
      <w:pPr>
        <w:spacing w:after="160"/>
      </w:pPr>
      <w:r>
        <w:rPr>
          <w:rFonts w:ascii="Calibri" w:hAnsi="Calibri" w:eastAsia="Calibri"/>
          <w:b w:val="0"/>
          <w:i w:val="0"/>
          <w:color w:val="222222"/>
          <w:sz w:val="22"/>
        </w:rPr>
        <w:t>The walked shape is contemporaneous. He judges disputes. He calls. He is not to be turned from while they hear. Spoils are his and God’s to assign (8:1). The community that can walk into his presence is the first audience.</w:t>
      </w:r>
    </w:p>
    <w:p>
      <w:pPr>
        <w:pStyle w:val="Heading1"/>
      </w:pPr>
      <w:r>
        <w:rPr>
          <w:rFonts w:ascii="Calibri" w:hAnsi="Calibri"/>
          <w:color w:val="1B3A4B"/>
        </w:rPr>
        <w:t>3. What the walked Quran does not install</w:t>
      </w:r>
    </w:p>
    <w:p>
      <w:pPr>
        <w:spacing w:after="160"/>
      </w:pPr>
      <w:r>
        <w:rPr>
          <w:rFonts w:ascii="Calibri" w:hAnsi="Calibri" w:eastAsia="Calibri"/>
          <w:b w:val="0"/>
          <w:i w:val="0"/>
          <w:color w:val="222222"/>
          <w:sz w:val="22"/>
        </w:rPr>
        <w:t>It does not name Ṣaḥīḥ collections. It does not name isnād. It does not say ‘after him, obey the reports of what he said.’ It does not use sunna in the walked file as ‘the Prophet’s normative example-corpus.’ Walked sunna-uses so far are God’s way or the way of the ancients (8:38 sunnat al-awwalīn; earlier 3:137; 4:26). Do not smuggle the later technical Sunnah into those verses.</w:t>
      </w:r>
    </w:p>
    <w:p>
      <w:pPr>
        <w:spacing w:after="160"/>
      </w:pPr>
      <w:r>
        <w:rPr>
          <w:rFonts w:ascii="Calibri" w:hAnsi="Calibri" w:eastAsia="Calibri"/>
          <w:b w:val="0"/>
          <w:i w:val="0"/>
          <w:color w:val="222222"/>
          <w:sz w:val="22"/>
        </w:rPr>
        <w:t>It does not say the Messenger’s every household act is revelation. 66 and 33 are still largely parked; even when walked they will need their own sentences, not this packet’s.</w:t>
      </w:r>
    </w:p>
    <w:p>
      <w:pPr>
        <w:pStyle w:val="Heading1"/>
      </w:pPr>
      <w:r>
        <w:rPr>
          <w:rFonts w:ascii="Calibri" w:hAnsi="Calibri"/>
          <w:color w:val="1B3A4B"/>
        </w:rPr>
        <w:t>4. What is still parked — and would thicken the file</w:t>
      </w:r>
    </w:p>
    <w:p>
      <w:pPr>
        <w:spacing w:after="160"/>
      </w:pPr>
      <w:r>
        <w:rPr>
          <w:rFonts w:ascii="Calibri" w:hAnsi="Calibri" w:eastAsia="Calibri"/>
          <w:b w:val="0"/>
          <w:i w:val="0"/>
          <w:color w:val="222222"/>
          <w:sz w:val="22"/>
        </w:rPr>
        <w:t>33:21 uswa ḥasana — a good example in the Messenger of God, for whoever hopes in God and the Last Day. That is the verse later used as the charter of imitation. Not walked in a S033 packet yet.</w:t>
      </w:r>
    </w:p>
    <w:p>
      <w:pPr>
        <w:spacing w:after="160"/>
      </w:pPr>
      <w:r>
        <w:rPr>
          <w:rFonts w:ascii="Calibri" w:hAnsi="Calibri" w:eastAsia="Calibri"/>
          <w:b w:val="0"/>
          <w:i w:val="0"/>
          <w:color w:val="222222"/>
          <w:sz w:val="22"/>
        </w:rPr>
        <w:t>59:7 mā ātākumu l-rasūlu fa-khudhūhu — what the Messenger gives you, take; what he forbids you, refrain. Later used for extra-Quranic command. Parked.</w:t>
      </w:r>
    </w:p>
    <w:p>
      <w:pPr>
        <w:spacing w:after="160"/>
      </w:pPr>
      <w:r>
        <w:rPr>
          <w:rFonts w:ascii="Calibri" w:hAnsi="Calibri" w:eastAsia="Calibri"/>
          <w:b w:val="0"/>
          <w:i w:val="0"/>
          <w:color w:val="222222"/>
          <w:sz w:val="22"/>
        </w:rPr>
        <w:t>16:44 / 16:64 — the reminder sent down so he may make clear to them what was sent down. Used later as ‘the Sunnah explains the Book.’ Parked.</w:t>
      </w:r>
    </w:p>
    <w:p>
      <w:pPr>
        <w:spacing w:after="160"/>
      </w:pPr>
      <w:r>
        <w:rPr>
          <w:rFonts w:ascii="Calibri" w:hAnsi="Calibri" w:eastAsia="Calibri"/>
          <w:b w:val="0"/>
          <w:i w:val="0"/>
          <w:color w:val="222222"/>
          <w:sz w:val="22"/>
        </w:rPr>
        <w:t>Until those are walked in place, do not let later tafsīr finish this snapshot.</w:t>
      </w:r>
    </w:p>
    <w:p>
      <w:pPr>
        <w:pStyle w:val="Heading1"/>
      </w:pPr>
      <w:r>
        <w:rPr>
          <w:rFonts w:ascii="Calibri" w:hAnsi="Calibri"/>
          <w:color w:val="1B3A4B"/>
        </w:rPr>
        <w:t>5. Three later answers, labeled as later</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Answer</w:t>
            </w:r>
          </w:p>
        </w:tc>
        <w:tc>
          <w:tcPr>
            <w:tcW w:type="dxa" w:w="3264"/>
            <w:shd w:fill="1B3A4B" w:val="clear"/>
          </w:tcPr>
          <w:p>
            <w:r/>
            <w:r>
              <w:rPr>
                <w:rFonts w:ascii="Calibri" w:hAnsi="Calibri" w:eastAsia="Calibri"/>
                <w:b/>
                <w:i w:val="0"/>
                <w:color w:val="FFFFFF"/>
                <w:sz w:val="18"/>
              </w:rPr>
              <w:t>What it claims</w:t>
            </w:r>
          </w:p>
        </w:tc>
        <w:tc>
          <w:tcPr>
            <w:tcW w:type="dxa" w:w="3264"/>
            <w:shd w:fill="1B3A4B" w:val="clear"/>
          </w:tcPr>
          <w:p>
            <w:r/>
            <w:r>
              <w:rPr>
                <w:rFonts w:ascii="Calibri" w:hAnsi="Calibri" w:eastAsia="Calibri"/>
                <w:b/>
                <w:i w:val="0"/>
                <w:color w:val="FFFFFF"/>
                <w:sz w:val="18"/>
              </w:rPr>
              <w:t>How it sits on walked text</w:t>
            </w:r>
          </w:p>
        </w:tc>
      </w:tr>
      <w:tr>
        <w:tc>
          <w:tcPr>
            <w:tcW w:type="dxa" w:w="3264"/>
          </w:tcPr>
          <w:p>
            <w:r/>
            <w:r>
              <w:rPr>
                <w:rFonts w:ascii="Calibri" w:hAnsi="Calibri" w:eastAsia="Calibri"/>
                <w:b w:val="0"/>
                <w:i w:val="0"/>
                <w:color w:val="222222"/>
                <w:sz w:val="18"/>
              </w:rPr>
              <w:t>Quran-only obedience</w:t>
            </w:r>
          </w:p>
        </w:tc>
        <w:tc>
          <w:tcPr>
            <w:tcW w:type="dxa" w:w="3264"/>
          </w:tcPr>
          <w:p>
            <w:r/>
            <w:r>
              <w:rPr>
                <w:rFonts w:ascii="Calibri" w:hAnsi="Calibri" w:eastAsia="Calibri"/>
                <w:b w:val="0"/>
                <w:i w:val="0"/>
                <w:color w:val="222222"/>
                <w:sz w:val="18"/>
              </w:rPr>
              <w:t>After him, obey only the Recitation he delivered.</w:t>
            </w:r>
          </w:p>
        </w:tc>
        <w:tc>
          <w:tcPr>
            <w:tcW w:type="dxa" w:w="3264"/>
          </w:tcPr>
          <w:p>
            <w:r/>
            <w:r>
              <w:rPr>
                <w:rFonts w:ascii="Calibri" w:hAnsi="Calibri" w:eastAsia="Calibri"/>
                <w:b w:val="0"/>
                <w:i w:val="0"/>
                <w:color w:val="222222"/>
                <w:sz w:val="18"/>
              </w:rPr>
              <w:t>Fits ‘this is a Book’; does not by itself explain 4:65’s making-him-judge in disputes the Book has not yet named. Under-reads the live-judge verses unless those verses are treated as time-bound.</w:t>
            </w:r>
          </w:p>
        </w:tc>
      </w:tr>
      <w:tr>
        <w:tc>
          <w:tcPr>
            <w:tcW w:type="dxa" w:w="3264"/>
            <w:shd w:fill="F4F1EA" w:val="clear"/>
          </w:tcPr>
          <w:p>
            <w:r/>
            <w:r>
              <w:rPr>
                <w:rFonts w:ascii="Calibri" w:hAnsi="Calibri" w:eastAsia="Calibri"/>
                <w:b w:val="0"/>
                <w:i w:val="0"/>
                <w:color w:val="222222"/>
                <w:sz w:val="18"/>
              </w:rPr>
              <w:t>Hadith / Sunnah as second revelation</w:t>
            </w:r>
          </w:p>
        </w:tc>
        <w:tc>
          <w:tcPr>
            <w:tcW w:type="dxa" w:w="3264"/>
            <w:shd w:fill="F4F1EA" w:val="clear"/>
          </w:tcPr>
          <w:p>
            <w:r/>
            <w:r>
              <w:rPr>
                <w:rFonts w:ascii="Calibri" w:hAnsi="Calibri" w:eastAsia="Calibri"/>
                <w:b w:val="0"/>
                <w:i w:val="0"/>
                <w:color w:val="222222"/>
                <w:sz w:val="18"/>
              </w:rPr>
              <w:t>His words and acts, screened by isnād, bind like the Book.</w:t>
            </w:r>
          </w:p>
        </w:tc>
        <w:tc>
          <w:tcPr>
            <w:tcW w:type="dxa" w:w="3264"/>
            <w:shd w:fill="F4F1EA" w:val="clear"/>
          </w:tcPr>
          <w:p>
            <w:r/>
            <w:r>
              <w:rPr>
                <w:rFonts w:ascii="Calibri" w:hAnsi="Calibri" w:eastAsia="Calibri"/>
                <w:b w:val="0"/>
                <w:i w:val="0"/>
                <w:color w:val="222222"/>
                <w:sz w:val="18"/>
              </w:rPr>
              <w:t>Fits the need for a post-mortem carrier of 8:20. Does not follow as a named institution from the walked verses. The later corpus also contains mass that the Quran never discusses.</w:t>
            </w:r>
          </w:p>
        </w:tc>
      </w:tr>
      <w:tr>
        <w:tc>
          <w:tcPr>
            <w:tcW w:type="dxa" w:w="3264"/>
          </w:tcPr>
          <w:p>
            <w:r/>
            <w:r>
              <w:rPr>
                <w:rFonts w:ascii="Calibri" w:hAnsi="Calibri" w:eastAsia="Calibri"/>
                <w:b w:val="0"/>
                <w:i w:val="0"/>
                <w:color w:val="222222"/>
                <w:sz w:val="18"/>
              </w:rPr>
              <w:t>Community authority (uli l-amr, consensus)</w:t>
            </w:r>
          </w:p>
        </w:tc>
        <w:tc>
          <w:tcPr>
            <w:tcW w:type="dxa" w:w="3264"/>
          </w:tcPr>
          <w:p>
            <w:r/>
            <w:r>
              <w:rPr>
                <w:rFonts w:ascii="Calibri" w:hAnsi="Calibri" w:eastAsia="Calibri"/>
                <w:b w:val="0"/>
                <w:i w:val="0"/>
                <w:color w:val="222222"/>
                <w:sz w:val="18"/>
              </w:rPr>
              <w:t>4:59’s third clause continues after him.</w:t>
            </w:r>
          </w:p>
        </w:tc>
        <w:tc>
          <w:tcPr>
            <w:tcW w:type="dxa" w:w="3264"/>
          </w:tcPr>
          <w:p>
            <w:r/>
            <w:r>
              <w:rPr>
                <w:rFonts w:ascii="Calibri" w:hAnsi="Calibri" w:eastAsia="Calibri"/>
                <w:b w:val="0"/>
                <w:i w:val="0"/>
                <w:color w:val="222222"/>
                <w:sz w:val="18"/>
              </w:rPr>
              <w:t>Walked: obey those in authority; disputes go back to God and the Messenger. After him, ‘back to the Messenger’ needs a proxy. The verse does not name that proxy.</w:t>
            </w:r>
          </w:p>
        </w:tc>
      </w:tr>
    </w:tbl>
    <w:p/>
    <w:p>
      <w:pPr>
        <w:pStyle w:val="Heading1"/>
      </w:pPr>
      <w:r>
        <w:rPr>
          <w:rFonts w:ascii="Calibri" w:hAnsi="Calibri"/>
          <w:color w:val="1B3A4B"/>
        </w:rPr>
        <w:t>6. The honest gap</w:t>
      </w:r>
    </w:p>
    <w:p>
      <w:pPr>
        <w:spacing w:after="160"/>
      </w:pPr>
      <w:r>
        <w:rPr>
          <w:rFonts w:ascii="Calibri" w:hAnsi="Calibri" w:eastAsia="Calibri"/>
          <w:b w:val="0"/>
          <w:i w:val="0"/>
          <w:color w:val="222222"/>
          <w:sz w:val="22"/>
        </w:rPr>
        <w:t>The Quran, in what we have walked, binds the community to a living messenger who hears, calls, judges, and assigns spoils. It does not write the operations manual for 633 onward. Later Islam wrote that manual as ḥadīth-science plus fiqh plus caliphal / scholarly authority. That may be a historically successful answer. It is not yet a demonstrated entailment of the walked text.</w:t>
      </w:r>
    </w:p>
    <w:p>
      <w:pPr>
        <w:spacing w:after="160"/>
      </w:pPr>
      <w:r>
        <w:rPr>
          <w:rFonts w:ascii="Calibri" w:hAnsi="Calibri" w:eastAsia="Calibri"/>
          <w:b w:val="0"/>
          <w:i w:val="0"/>
          <w:color w:val="222222"/>
          <w:sz w:val="22"/>
        </w:rPr>
        <w:t>Rebuild this file after 33:21, 59:7, and 16:44 are walked. Until then the gap is the finding.</w:t>
      </w:r>
    </w:p>
    <w:p>
      <w:pPr>
        <w:pStyle w:val="Heading1"/>
      </w:pPr>
      <w:r>
        <w:rPr>
          <w:rFonts w:ascii="Calibri" w:hAnsi="Calibri"/>
          <w:color w:val="1B3A4B"/>
        </w:rPr>
        <w:t>7.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QDISC-0404</w:t>
            </w:r>
          </w:p>
        </w:tc>
        <w:tc>
          <w:tcPr>
            <w:tcW w:type="dxa" w:w="4896"/>
          </w:tcPr>
          <w:p>
            <w:r/>
            <w:r>
              <w:rPr>
                <w:rFonts w:ascii="Calibri" w:hAnsi="Calibri" w:eastAsia="Calibri"/>
                <w:b w:val="0"/>
                <w:i w:val="0"/>
                <w:color w:val="222222"/>
                <w:sz w:val="18"/>
              </w:rPr>
              <w:t>Walked obey-the-Messenger commands are contemporaneous: hear, call, judge</w:t>
            </w:r>
          </w:p>
        </w:tc>
      </w:tr>
      <w:tr>
        <w:tc>
          <w:tcPr>
            <w:tcW w:type="dxa" w:w="4896"/>
            <w:shd w:fill="F4F1EA" w:val="clear"/>
          </w:tcPr>
          <w:p>
            <w:r/>
            <w:r>
              <w:rPr>
                <w:rFonts w:ascii="Calibri" w:hAnsi="Calibri" w:eastAsia="Calibri"/>
                <w:b w:val="0"/>
                <w:i w:val="0"/>
                <w:color w:val="222222"/>
                <w:sz w:val="18"/>
              </w:rPr>
              <w:t>QDISC-0405</w:t>
            </w:r>
          </w:p>
        </w:tc>
        <w:tc>
          <w:tcPr>
            <w:tcW w:type="dxa" w:w="4896"/>
            <w:shd w:fill="F4F1EA" w:val="clear"/>
          </w:tcPr>
          <w:p>
            <w:r/>
            <w:r>
              <w:rPr>
                <w:rFonts w:ascii="Calibri" w:hAnsi="Calibri" w:eastAsia="Calibri"/>
                <w:b w:val="0"/>
                <w:i w:val="0"/>
                <w:color w:val="222222"/>
                <w:sz w:val="18"/>
              </w:rPr>
              <w:t>4:80 obeying the Messenger is obeying God — still a live pair</w:t>
            </w:r>
          </w:p>
        </w:tc>
      </w:tr>
      <w:tr>
        <w:tc>
          <w:tcPr>
            <w:tcW w:type="dxa" w:w="4896"/>
          </w:tcPr>
          <w:p>
            <w:r/>
            <w:r>
              <w:rPr>
                <w:rFonts w:ascii="Calibri" w:hAnsi="Calibri" w:eastAsia="Calibri"/>
                <w:b w:val="0"/>
                <w:i w:val="0"/>
                <w:color w:val="222222"/>
                <w:sz w:val="18"/>
              </w:rPr>
              <w:t>QDISC-0406</w:t>
            </w:r>
          </w:p>
        </w:tc>
        <w:tc>
          <w:tcPr>
            <w:tcW w:type="dxa" w:w="4896"/>
          </w:tcPr>
          <w:p>
            <w:r/>
            <w:r>
              <w:rPr>
                <w:rFonts w:ascii="Calibri" w:hAnsi="Calibri" w:eastAsia="Calibri"/>
                <w:b w:val="0"/>
                <w:i w:val="0"/>
                <w:color w:val="222222"/>
                <w:sz w:val="18"/>
              </w:rPr>
              <w:t>Walked text does not name hadith collections or isnad</w:t>
            </w:r>
          </w:p>
        </w:tc>
      </w:tr>
      <w:tr>
        <w:tc>
          <w:tcPr>
            <w:tcW w:type="dxa" w:w="4896"/>
            <w:shd w:fill="F4F1EA" w:val="clear"/>
          </w:tcPr>
          <w:p>
            <w:r/>
            <w:r>
              <w:rPr>
                <w:rFonts w:ascii="Calibri" w:hAnsi="Calibri" w:eastAsia="Calibri"/>
                <w:b w:val="0"/>
                <w:i w:val="0"/>
                <w:color w:val="222222"/>
                <w:sz w:val="18"/>
              </w:rPr>
              <w:t>QDISC-0407</w:t>
            </w:r>
          </w:p>
        </w:tc>
        <w:tc>
          <w:tcPr>
            <w:tcW w:type="dxa" w:w="4896"/>
            <w:shd w:fill="F4F1EA" w:val="clear"/>
          </w:tcPr>
          <w:p>
            <w:r/>
            <w:r>
              <w:rPr>
                <w:rFonts w:ascii="Calibri" w:hAnsi="Calibri" w:eastAsia="Calibri"/>
                <w:b w:val="0"/>
                <w:i w:val="0"/>
                <w:color w:val="222222"/>
                <w:sz w:val="18"/>
              </w:rPr>
              <w:t>Walked sunna is God's / the ancients' — not yet the technical Sunnah</w:t>
            </w:r>
          </w:p>
        </w:tc>
      </w:tr>
      <w:tr>
        <w:tc>
          <w:tcPr>
            <w:tcW w:type="dxa" w:w="4896"/>
          </w:tcPr>
          <w:p>
            <w:r/>
            <w:r>
              <w:rPr>
                <w:rFonts w:ascii="Calibri" w:hAnsi="Calibri" w:eastAsia="Calibri"/>
                <w:b w:val="0"/>
                <w:i w:val="0"/>
                <w:color w:val="222222"/>
                <w:sz w:val="18"/>
              </w:rPr>
              <w:t>QDISC-0408</w:t>
            </w:r>
          </w:p>
        </w:tc>
        <w:tc>
          <w:tcPr>
            <w:tcW w:type="dxa" w:w="4896"/>
          </w:tcPr>
          <w:p>
            <w:r/>
            <w:r>
              <w:rPr>
                <w:rFonts w:ascii="Calibri" w:hAnsi="Calibri" w:eastAsia="Calibri"/>
                <w:b w:val="0"/>
                <w:i w:val="0"/>
                <w:color w:val="222222"/>
                <w:sz w:val="18"/>
              </w:rPr>
              <w:t>33:21 / 59:7 / 16:44 parked; this snapshot must be rebuilt</w:t>
            </w:r>
          </w:p>
        </w:tc>
      </w:tr>
      <w:tr>
        <w:tc>
          <w:tcPr>
            <w:tcW w:type="dxa" w:w="4896"/>
            <w:shd w:fill="F4F1EA" w:val="clear"/>
          </w:tcPr>
          <w:p>
            <w:r/>
            <w:r>
              <w:rPr>
                <w:rFonts w:ascii="Calibri" w:hAnsi="Calibri" w:eastAsia="Calibri"/>
                <w:b w:val="0"/>
                <w:i w:val="0"/>
                <w:color w:val="222222"/>
                <w:sz w:val="18"/>
              </w:rPr>
              <w:t>QB-0235</w:t>
            </w:r>
          </w:p>
        </w:tc>
        <w:tc>
          <w:tcPr>
            <w:tcW w:type="dxa" w:w="4896"/>
            <w:shd w:fill="F4F1EA" w:val="clear"/>
          </w:tcPr>
          <w:p>
            <w:r/>
            <w:r>
              <w:rPr>
                <w:rFonts w:ascii="Calibri" w:hAnsi="Calibri" w:eastAsia="Calibri"/>
                <w:b w:val="0"/>
                <w:i w:val="0"/>
                <w:color w:val="222222"/>
                <w:sz w:val="18"/>
              </w:rPr>
              <w:t>Post-mortem obedience is a real gap in the walked file</w:t>
            </w:r>
          </w:p>
        </w:tc>
      </w:tr>
      <w:tr>
        <w:tc>
          <w:tcPr>
            <w:tcW w:type="dxa" w:w="4896"/>
          </w:tcPr>
          <w:p>
            <w:r/>
            <w:r>
              <w:rPr>
                <w:rFonts w:ascii="Calibri" w:hAnsi="Calibri" w:eastAsia="Calibri"/>
                <w:b w:val="0"/>
                <w:i w:val="0"/>
                <w:color w:val="222222"/>
                <w:sz w:val="18"/>
              </w:rPr>
              <w:t>QB-0236</w:t>
            </w:r>
          </w:p>
        </w:tc>
        <w:tc>
          <w:tcPr>
            <w:tcW w:type="dxa" w:w="4896"/>
          </w:tcPr>
          <w:p>
            <w:r/>
            <w:r>
              <w:rPr>
                <w:rFonts w:ascii="Calibri" w:hAnsi="Calibri" w:eastAsia="Calibri"/>
                <w:b w:val="0"/>
                <w:i w:val="0"/>
                <w:color w:val="222222"/>
                <w:sz w:val="18"/>
              </w:rPr>
              <w:t>Quran-only vs hadith-as-second-source vs uli l-amr — three later answers</w:t>
            </w:r>
          </w:p>
        </w:tc>
      </w:tr>
      <w:tr>
        <w:tc>
          <w:tcPr>
            <w:tcW w:type="dxa" w:w="4896"/>
            <w:shd w:fill="F4F1EA" w:val="clear"/>
          </w:tcPr>
          <w:p>
            <w:r/>
            <w:r>
              <w:rPr>
                <w:rFonts w:ascii="Calibri" w:hAnsi="Calibri" w:eastAsia="Calibri"/>
                <w:b w:val="0"/>
                <w:i w:val="0"/>
                <w:color w:val="222222"/>
                <w:sz w:val="18"/>
              </w:rPr>
              <w:t>QB-0237</w:t>
            </w:r>
          </w:p>
        </w:tc>
        <w:tc>
          <w:tcPr>
            <w:tcW w:type="dxa" w:w="4896"/>
            <w:shd w:fill="F4F1EA" w:val="clear"/>
          </w:tcPr>
          <w:p>
            <w:r/>
            <w:r>
              <w:rPr>
                <w:rFonts w:ascii="Calibri" w:hAnsi="Calibri" w:eastAsia="Calibri"/>
                <w:b w:val="0"/>
                <w:i w:val="0"/>
                <w:color w:val="222222"/>
                <w:sz w:val="18"/>
              </w:rPr>
              <w:t>4:59 third clause does not name the post-632 proxy</w:t>
            </w:r>
          </w:p>
        </w:tc>
      </w:tr>
      <w:tr>
        <w:tc>
          <w:tcPr>
            <w:tcW w:type="dxa" w:w="4896"/>
          </w:tcPr>
          <w:p>
            <w:r/>
            <w:r>
              <w:rPr>
                <w:rFonts w:ascii="Calibri" w:hAnsi="Calibri" w:eastAsia="Calibri"/>
                <w:b w:val="0"/>
                <w:i w:val="0"/>
                <w:color w:val="222222"/>
                <w:sz w:val="18"/>
              </w:rPr>
              <w:t>QB-0238</w:t>
            </w:r>
          </w:p>
        </w:tc>
        <w:tc>
          <w:tcPr>
            <w:tcW w:type="dxa" w:w="4896"/>
          </w:tcPr>
          <w:p>
            <w:r/>
            <w:r>
              <w:rPr>
                <w:rFonts w:ascii="Calibri" w:hAnsi="Calibri" w:eastAsia="Calibri"/>
                <w:b w:val="0"/>
                <w:i w:val="0"/>
                <w:color w:val="222222"/>
                <w:sz w:val="18"/>
              </w:rPr>
              <w:t>Do not finish the test before 33:21 and 59:7</w:t>
            </w:r>
          </w:p>
        </w:tc>
      </w:tr>
    </w:tbl>
    <w:p/>
    <w:p>
      <w:pPr>
        <w:spacing w:after="160"/>
      </w:pPr>
      <w:r>
        <w:rPr>
          <w:rFonts w:ascii="Calibri" w:hAnsi="Calibri" w:eastAsia="Calibri"/>
          <w:b w:val="0"/>
          <w:i w:val="0"/>
          <w:color w:val="222222"/>
          <w:sz w:val="22"/>
        </w:rPr>
        <w:t>Canonical next remains 8:41.</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living snapshot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Obey the Messenger after his death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Obey the Messenger after his death</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