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quran-research-project"/>
    <w:p>
      <w:pPr>
        <w:pStyle w:val="Heading1"/>
      </w:pPr>
      <w:r>
        <w:t xml:space="preserve">QURAN RESEARCH PROJECT</w:t>
      </w:r>
    </w:p>
    <w:bookmarkStart w:id="10" w:name="research-constitution-and-standards"/>
    <w:p>
      <w:pPr>
        <w:pStyle w:val="Heading2"/>
      </w:pPr>
      <w:r>
        <w:t xml:space="preserve">Research Constitution and Standards</w:t>
      </w:r>
    </w:p>
    <w:bookmarkStart w:id="9" w:name="version-1.0-final"/>
    <w:p>
      <w:pPr>
        <w:pStyle w:val="Heading3"/>
      </w:pPr>
      <w:r>
        <w:t xml:space="preserve">Version 1.0 FINAL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August 16,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FINAL — READY FOR OWNER APPROVAL AND FREEZE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i.-purpose"/>
    <w:p>
      <w:pPr>
        <w:pStyle w:val="Heading1"/>
      </w:pPr>
      <w:r>
        <w:t xml:space="preserve">I. PURPOSE</w:t>
      </w:r>
    </w:p>
    <w:p>
      <w:pPr>
        <w:pStyle w:val="FirstParagraph"/>
      </w:pPr>
      <w:r>
        <w:t xml:space="preserve">The Quran Research Project exists to conduct a systematic, text-centered investigation of the Quran in order to determine as accurately as possible:</w:t>
      </w:r>
    </w:p>
    <w:p>
      <w:pPr>
        <w:pStyle w:val="Compact"/>
        <w:numPr>
          <w:ilvl w:val="0"/>
          <w:numId w:val="1001"/>
        </w:numPr>
      </w:pPr>
      <w:r>
        <w:t xml:space="preserve">What the Quran actually says.</w:t>
      </w:r>
    </w:p>
    <w:p>
      <w:pPr>
        <w:pStyle w:val="Compact"/>
        <w:numPr>
          <w:ilvl w:val="0"/>
          <w:numId w:val="1001"/>
        </w:numPr>
      </w:pPr>
      <w:r>
        <w:t xml:space="preserve">What the Quran claims about God, humanity, revelation, prophets, sin, judgment, salvation, and the afterlife.</w:t>
      </w:r>
    </w:p>
    <w:p>
      <w:pPr>
        <w:pStyle w:val="Compact"/>
        <w:numPr>
          <w:ilvl w:val="0"/>
          <w:numId w:val="1001"/>
        </w:numPr>
      </w:pPr>
      <w:r>
        <w:t xml:space="preserve">How the Arabic language affects interpretation.</w:t>
      </w:r>
    </w:p>
    <w:p>
      <w:pPr>
        <w:pStyle w:val="Compact"/>
        <w:numPr>
          <w:ilvl w:val="0"/>
          <w:numId w:val="1001"/>
        </w:numPr>
      </w:pPr>
      <w:r>
        <w:t xml:space="preserve">How individual passages relate to the Quran as a whole.</w:t>
      </w:r>
    </w:p>
    <w:p>
      <w:pPr>
        <w:pStyle w:val="Compact"/>
        <w:numPr>
          <w:ilvl w:val="0"/>
          <w:numId w:val="1001"/>
        </w:numPr>
      </w:pPr>
      <w:r>
        <w:t xml:space="preserve">How the Quran describes earlier Jewish and Christian revelation.</w:t>
      </w:r>
    </w:p>
    <w:p>
      <w:pPr>
        <w:pStyle w:val="Compact"/>
        <w:numPr>
          <w:ilvl w:val="0"/>
          <w:numId w:val="1001"/>
        </w:numPr>
      </w:pPr>
      <w:r>
        <w:t xml:space="preserve">Where the Quran and Bible agree.</w:t>
      </w:r>
    </w:p>
    <w:p>
      <w:pPr>
        <w:pStyle w:val="Compact"/>
        <w:numPr>
          <w:ilvl w:val="0"/>
          <w:numId w:val="1001"/>
        </w:numPr>
      </w:pPr>
      <w:r>
        <w:t xml:space="preserve">Where they differ.</w:t>
      </w:r>
    </w:p>
    <w:p>
      <w:pPr>
        <w:pStyle w:val="Compact"/>
        <w:numPr>
          <w:ilvl w:val="0"/>
          <w:numId w:val="1001"/>
        </w:numPr>
      </w:pPr>
      <w:r>
        <w:t xml:space="preserve">Where they appear to contradict.</w:t>
      </w:r>
    </w:p>
    <w:p>
      <w:pPr>
        <w:pStyle w:val="Compact"/>
        <w:numPr>
          <w:ilvl w:val="0"/>
          <w:numId w:val="1001"/>
        </w:numPr>
      </w:pPr>
      <w:r>
        <w:t xml:space="preserve">Whether apparent contradictions survive careful linguistic, textual, historical, and contextual examination.</w:t>
      </w:r>
    </w:p>
    <w:p>
      <w:pPr>
        <w:pStyle w:val="Compact"/>
        <w:numPr>
          <w:ilvl w:val="0"/>
          <w:numId w:val="1001"/>
        </w:numPr>
      </w:pPr>
      <w:r>
        <w:t xml:space="preserve">How the Quran portrays biblical people and events.</w:t>
      </w:r>
    </w:p>
    <w:p>
      <w:pPr>
        <w:pStyle w:val="Compact"/>
        <w:numPr>
          <w:ilvl w:val="0"/>
          <w:numId w:val="1001"/>
        </w:numPr>
      </w:pPr>
      <w:r>
        <w:t xml:space="preserve">What later Islamic traditions add to the Quranic text.</w:t>
      </w:r>
    </w:p>
    <w:p>
      <w:pPr>
        <w:pStyle w:val="Compact"/>
        <w:numPr>
          <w:ilvl w:val="0"/>
          <w:numId w:val="1001"/>
        </w:numPr>
      </w:pPr>
      <w:r>
        <w:t xml:space="preserve">What can reasonably be established historically concerning relevant Quranic claims.</w:t>
      </w:r>
    </w:p>
    <w:p>
      <w:pPr>
        <w:pStyle w:val="Compact"/>
        <w:numPr>
          <w:ilvl w:val="0"/>
          <w:numId w:val="1001"/>
        </w:numPr>
      </w:pPr>
      <w:r>
        <w:t xml:space="preserve">How the Quranic text was transmitted and preserved.</w:t>
      </w:r>
    </w:p>
    <w:p>
      <w:pPr>
        <w:pStyle w:val="Compact"/>
        <w:numPr>
          <w:ilvl w:val="0"/>
          <w:numId w:val="1001"/>
        </w:numPr>
      </w:pPr>
      <w:r>
        <w:t xml:space="preserve">How major Quranic teachings develop across the probable chronology of revelation.</w:t>
      </w:r>
    </w:p>
    <w:p>
      <w:pPr>
        <w:pStyle w:val="FirstParagraph"/>
      </w:pPr>
      <w:r>
        <w:t xml:space="preserve">The project is an investigation.</w:t>
      </w:r>
    </w:p>
    <w:p>
      <w:pPr>
        <w:pStyle w:val="BodyText"/>
      </w:pPr>
      <w:r>
        <w:t xml:space="preserve">It will not begin by assuming either that Islam is true or that Christianity is true.</w:t>
      </w:r>
    </w:p>
    <w:p>
      <w:pPr>
        <w:pStyle w:val="BodyText"/>
      </w:pPr>
      <w:r>
        <w:t xml:space="preserve">Its governing principle is:</w:t>
      </w:r>
    </w:p>
    <w:p>
      <w:pPr>
        <w:pStyle w:val="BlockText"/>
      </w:pPr>
      <w:r>
        <w:rPr>
          <w:b/>
          <w:bCs/>
        </w:rPr>
        <w:t xml:space="preserve">Let the evidence establish the conclusion.</w:t>
      </w:r>
    </w:p>
    <w:p>
      <w:r>
        <w:pict>
          <v:rect style="width:0;height:1.5pt" o:hralign="center" o:hrstd="t" o:hr="t"/>
        </w:pict>
      </w:r>
    </w:p>
    <w:bookmarkEnd w:id="12"/>
    <w:bookmarkStart w:id="13" w:name="ii.-foundational-research-principle"/>
    <w:p>
      <w:pPr>
        <w:pStyle w:val="Heading1"/>
      </w:pPr>
      <w:r>
        <w:t xml:space="preserve">II. FOUNDATIONAL RESEARCH PRINCIPLE</w:t>
      </w:r>
    </w:p>
    <w:p>
      <w:pPr>
        <w:pStyle w:val="FirstParagraph"/>
      </w:pPr>
      <w:r>
        <w:t xml:space="preserve">Every major conclusion must distinguish among:</w:t>
      </w:r>
    </w:p>
    <w:p>
      <w:pPr>
        <w:pStyle w:val="Compact"/>
        <w:numPr>
          <w:ilvl w:val="0"/>
          <w:numId w:val="1002"/>
        </w:numPr>
      </w:pPr>
      <w:r>
        <w:t xml:space="preserve">what the Quran explicitly states;</w:t>
      </w:r>
    </w:p>
    <w:p>
      <w:pPr>
        <w:pStyle w:val="Compact"/>
        <w:numPr>
          <w:ilvl w:val="0"/>
          <w:numId w:val="1002"/>
        </w:numPr>
      </w:pPr>
      <w:r>
        <w:t xml:space="preserve">what the Quran strongly implies;</w:t>
      </w:r>
    </w:p>
    <w:p>
      <w:pPr>
        <w:pStyle w:val="Compact"/>
        <w:numPr>
          <w:ilvl w:val="0"/>
          <w:numId w:val="1002"/>
        </w:numPr>
      </w:pPr>
      <w:r>
        <w:t xml:space="preserve">what later Islamic tradition teaches;</w:t>
      </w:r>
    </w:p>
    <w:p>
      <w:pPr>
        <w:pStyle w:val="Compact"/>
        <w:numPr>
          <w:ilvl w:val="0"/>
          <w:numId w:val="1002"/>
        </w:numPr>
      </w:pPr>
      <w:r>
        <w:t xml:space="preserve">what Christian tradition teaches;</w:t>
      </w:r>
    </w:p>
    <w:p>
      <w:pPr>
        <w:pStyle w:val="Compact"/>
        <w:numPr>
          <w:ilvl w:val="0"/>
          <w:numId w:val="1002"/>
        </w:numPr>
      </w:pPr>
      <w:r>
        <w:t xml:space="preserve">what Jewish tradition teaches;</w:t>
      </w:r>
    </w:p>
    <w:p>
      <w:pPr>
        <w:pStyle w:val="Compact"/>
        <w:numPr>
          <w:ilvl w:val="0"/>
          <w:numId w:val="1002"/>
        </w:numPr>
      </w:pPr>
      <w:r>
        <w:t xml:space="preserve">what historical evidence establishes;</w:t>
      </w:r>
    </w:p>
    <w:p>
      <w:pPr>
        <w:pStyle w:val="Compact"/>
        <w:numPr>
          <w:ilvl w:val="0"/>
          <w:numId w:val="1002"/>
        </w:numPr>
      </w:pPr>
      <w:r>
        <w:t xml:space="preserve">what modern scholarship proposes;</w:t>
      </w:r>
    </w:p>
    <w:p>
      <w:pPr>
        <w:pStyle w:val="Compact"/>
        <w:numPr>
          <w:ilvl w:val="0"/>
          <w:numId w:val="1002"/>
        </w:numPr>
      </w:pPr>
      <w:r>
        <w:t xml:space="preserve">and what remains uncertain.</w:t>
      </w:r>
    </w:p>
    <w:p>
      <w:pPr>
        <w:pStyle w:val="FirstParagraph"/>
      </w:pPr>
      <w:r>
        <w:t xml:space="preserve">A proposition will not become evidence merely because it is frequently repeated.</w:t>
      </w:r>
    </w:p>
    <w:p>
      <w:r>
        <w:pict>
          <v:rect style="width:0;height:1.5pt" o:hralign="center" o:hrstd="t" o:hr="t"/>
        </w:pict>
      </w:r>
    </w:p>
    <w:bookmarkEnd w:id="13"/>
    <w:bookmarkStart w:id="16" w:name="iii.-primary-texts"/>
    <w:p>
      <w:pPr>
        <w:pStyle w:val="Heading1"/>
      </w:pPr>
      <w:r>
        <w:t xml:space="preserve">III. PRIMARY TEXTS</w:t>
      </w:r>
    </w:p>
    <w:bookmarkStart w:id="14" w:name="a.-quran"/>
    <w:p>
      <w:pPr>
        <w:pStyle w:val="Heading2"/>
      </w:pPr>
      <w:r>
        <w:t xml:space="preserve">A. Quran</w:t>
      </w:r>
    </w:p>
    <w:p>
      <w:pPr>
        <w:pStyle w:val="FirstParagraph"/>
      </w:pPr>
      <w:r>
        <w:t xml:space="preserve">The primary object of investigation is the Arabic Quran.</w:t>
      </w:r>
    </w:p>
    <w:p>
      <w:pPr>
        <w:pStyle w:val="BodyText"/>
      </w:pPr>
      <w:r>
        <w:t xml:space="preserve">English translations are tools for accessing the Arabic text and are not independent textual authorities.</w:t>
      </w:r>
    </w:p>
    <w:p>
      <w:pPr>
        <w:pStyle w:val="BodyText"/>
      </w:pPr>
      <w:r>
        <w:t xml:space="preserve">Multiple translations will be consulted whenever translation materially affects interpretation.</w:t>
      </w:r>
    </w:p>
    <w:p>
      <w:pPr>
        <w:pStyle w:val="BodyText"/>
      </w:pPr>
      <w:r>
        <w:t xml:space="preserve">Important Arabic terms will be investigated through:</w:t>
      </w:r>
    </w:p>
    <w:p>
      <w:pPr>
        <w:pStyle w:val="Compact"/>
        <w:numPr>
          <w:ilvl w:val="0"/>
          <w:numId w:val="1003"/>
        </w:numPr>
      </w:pPr>
      <w:r>
        <w:t xml:space="preserve">Arabic spelling;</w:t>
      </w:r>
    </w:p>
    <w:p>
      <w:pPr>
        <w:pStyle w:val="Compact"/>
        <w:numPr>
          <w:ilvl w:val="0"/>
          <w:numId w:val="1003"/>
        </w:numPr>
      </w:pPr>
      <w:r>
        <w:t xml:space="preserve">transliteration;</w:t>
      </w:r>
    </w:p>
    <w:p>
      <w:pPr>
        <w:pStyle w:val="Compact"/>
        <w:numPr>
          <w:ilvl w:val="0"/>
          <w:numId w:val="1003"/>
        </w:numPr>
      </w:pPr>
      <w:r>
        <w:t xml:space="preserve">root where relevant;</w:t>
      </w:r>
    </w:p>
    <w:p>
      <w:pPr>
        <w:pStyle w:val="Compact"/>
        <w:numPr>
          <w:ilvl w:val="0"/>
          <w:numId w:val="1003"/>
        </w:numPr>
      </w:pPr>
      <w:r>
        <w:t xml:space="preserve">morphology where relevant;</w:t>
      </w:r>
    </w:p>
    <w:p>
      <w:pPr>
        <w:pStyle w:val="Compact"/>
        <w:numPr>
          <w:ilvl w:val="0"/>
          <w:numId w:val="1003"/>
        </w:numPr>
      </w:pPr>
      <w:r>
        <w:t xml:space="preserve">semantic range;</w:t>
      </w:r>
    </w:p>
    <w:p>
      <w:pPr>
        <w:pStyle w:val="Compact"/>
        <w:numPr>
          <w:ilvl w:val="0"/>
          <w:numId w:val="1003"/>
        </w:numPr>
      </w:pPr>
      <w:r>
        <w:t xml:space="preserve">Quranic usage;</w:t>
      </w:r>
    </w:p>
    <w:p>
      <w:pPr>
        <w:pStyle w:val="Compact"/>
        <w:numPr>
          <w:ilvl w:val="0"/>
          <w:numId w:val="1003"/>
        </w:numPr>
      </w:pPr>
      <w:r>
        <w:t xml:space="preserve">immediate context;</w:t>
      </w:r>
    </w:p>
    <w:p>
      <w:pPr>
        <w:pStyle w:val="Compact"/>
        <w:numPr>
          <w:ilvl w:val="0"/>
          <w:numId w:val="1003"/>
        </w:numPr>
      </w:pPr>
      <w:r>
        <w:t xml:space="preserve">parallel occurrences;</w:t>
      </w:r>
    </w:p>
    <w:p>
      <w:pPr>
        <w:pStyle w:val="Compact"/>
        <w:numPr>
          <w:ilvl w:val="0"/>
          <w:numId w:val="1003"/>
        </w:numPr>
      </w:pPr>
      <w:r>
        <w:t xml:space="preserve">historical linguistic evidence where useful;</w:t>
      </w:r>
    </w:p>
    <w:p>
      <w:pPr>
        <w:pStyle w:val="Compact"/>
        <w:numPr>
          <w:ilvl w:val="0"/>
          <w:numId w:val="1003"/>
        </w:numPr>
      </w:pPr>
      <w:r>
        <w:t xml:space="preserve">and translation choices.</w:t>
      </w:r>
    </w:p>
    <w:bookmarkEnd w:id="14"/>
    <w:bookmarkStart w:id="15" w:name="b.-bible"/>
    <w:p>
      <w:pPr>
        <w:pStyle w:val="Heading2"/>
      </w:pPr>
      <w:r>
        <w:t xml:space="preserve">B. Bible</w:t>
      </w:r>
    </w:p>
    <w:p>
      <w:pPr>
        <w:pStyle w:val="FirstParagraph"/>
      </w:pPr>
      <w:r>
        <w:t xml:space="preserve">Whenever comparison with the Bible is relevant, the biblical text itself will be investigated.</w:t>
      </w:r>
    </w:p>
    <w:p>
      <w:pPr>
        <w:pStyle w:val="BodyText"/>
      </w:pPr>
      <w:r>
        <w:t xml:space="preserve">Where interpretation depends upon language, relevant:</w:t>
      </w:r>
    </w:p>
    <w:p>
      <w:pPr>
        <w:pStyle w:val="Compact"/>
        <w:numPr>
          <w:ilvl w:val="0"/>
          <w:numId w:val="1004"/>
        </w:numPr>
      </w:pPr>
      <w:r>
        <w:t xml:space="preserve">Hebrew;</w:t>
      </w:r>
    </w:p>
    <w:p>
      <w:pPr>
        <w:pStyle w:val="Compact"/>
        <w:numPr>
          <w:ilvl w:val="0"/>
          <w:numId w:val="1004"/>
        </w:numPr>
      </w:pPr>
      <w:r>
        <w:t xml:space="preserve">Aramaic;</w:t>
      </w:r>
    </w:p>
    <w:p>
      <w:pPr>
        <w:pStyle w:val="Compact"/>
        <w:numPr>
          <w:ilvl w:val="0"/>
          <w:numId w:val="1004"/>
        </w:numPr>
      </w:pPr>
      <w:r>
        <w:t xml:space="preserve">and Greek</w:t>
      </w:r>
    </w:p>
    <w:p>
      <w:pPr>
        <w:pStyle w:val="FirstParagraph"/>
      </w:pPr>
      <w:r>
        <w:t xml:space="preserve">evidence will be examined.</w:t>
      </w:r>
    </w:p>
    <w:p>
      <w:pPr>
        <w:pStyle w:val="BodyText"/>
      </w:pPr>
      <w:r>
        <w:t xml:space="preserve">Bible/Quran comparisons should therefore compare underlying textual evidence whenever practical rather than merely comparing English translations.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iv.-text-versus-interpretation"/>
    <w:p>
      <w:pPr>
        <w:pStyle w:val="Heading1"/>
      </w:pPr>
      <w:r>
        <w:t xml:space="preserve">IV. TEXT VERSUS INTERPRETATION</w:t>
      </w:r>
    </w:p>
    <w:p>
      <w:pPr>
        <w:pStyle w:val="FirstParagraph"/>
      </w:pPr>
      <w:r>
        <w:t xml:space="preserve">The project must preserve distinctions between different evidentiary layers.</w:t>
      </w:r>
    </w:p>
    <w:bookmarkStart w:id="17" w:name="level-1-quranic-text"/>
    <w:p>
      <w:pPr>
        <w:pStyle w:val="Heading3"/>
      </w:pPr>
      <w:r>
        <w:t xml:space="preserve">Level 1 — Quranic Text</w:t>
      </w:r>
    </w:p>
    <w:p>
      <w:pPr>
        <w:pStyle w:val="FirstParagraph"/>
      </w:pPr>
      <w:r>
        <w:t xml:space="preserve">What the Quran explicitly states.</w:t>
      </w:r>
    </w:p>
    <w:bookmarkEnd w:id="17"/>
    <w:bookmarkStart w:id="18" w:name="level-2-quranic-internal-context"/>
    <w:p>
      <w:pPr>
        <w:pStyle w:val="Heading3"/>
      </w:pPr>
      <w:r>
        <w:t xml:space="preserve">Level 2 — Quranic Internal Context</w:t>
      </w:r>
    </w:p>
    <w:p>
      <w:pPr>
        <w:pStyle w:val="FirstParagraph"/>
      </w:pPr>
      <w:r>
        <w:t xml:space="preserve">What other Quranic passages contribute to understanding the passage.</w:t>
      </w:r>
    </w:p>
    <w:bookmarkEnd w:id="18"/>
    <w:bookmarkStart w:id="19" w:name="level-3-early-islamic-sources"/>
    <w:p>
      <w:pPr>
        <w:pStyle w:val="Heading3"/>
      </w:pPr>
      <w:r>
        <w:t xml:space="preserve">Level 3 — Early Islamic Sources</w:t>
      </w:r>
    </w:p>
    <w:p>
      <w:pPr>
        <w:pStyle w:val="FirstParagraph"/>
      </w:pPr>
      <w:r>
        <w:t xml:space="preserve">Hadith, Sirah, early Tafsir, and other early Islamic material.</w:t>
      </w:r>
    </w:p>
    <w:bookmarkEnd w:id="19"/>
    <w:bookmarkStart w:id="20" w:name="level-4-classical-islamic-interpretation"/>
    <w:p>
      <w:pPr>
        <w:pStyle w:val="Heading3"/>
      </w:pPr>
      <w:r>
        <w:t xml:space="preserve">Level 4 — Classical Islamic Interpretation</w:t>
      </w:r>
    </w:p>
    <w:p>
      <w:pPr>
        <w:pStyle w:val="FirstParagraph"/>
      </w:pPr>
      <w:r>
        <w:t xml:space="preserve">Major later Tafsir, jurisprudence, theology, and interpretive traditions.</w:t>
      </w:r>
    </w:p>
    <w:bookmarkEnd w:id="20"/>
    <w:bookmarkStart w:id="21" w:name="X1db2eb54eda6d824ff3de203c108ad468eb3f71"/>
    <w:p>
      <w:pPr>
        <w:pStyle w:val="Heading3"/>
      </w:pPr>
      <w:r>
        <w:t xml:space="preserve">Level 5 — Modern Interpretation and Scholarship</w:t>
      </w:r>
    </w:p>
    <w:p>
      <w:pPr>
        <w:pStyle w:val="FirstParagraph"/>
      </w:pPr>
      <w:r>
        <w:t xml:space="preserve">Contemporary Muslim, Christian, Jewish, secular, historical, linguistic, and academic scholarship.</w:t>
      </w:r>
    </w:p>
    <w:p>
      <w:pPr>
        <w:pStyle w:val="BodyText"/>
      </w:pPr>
      <w:r>
        <w:t xml:space="preserve">Later interpretation may illuminate the Quran but must never silently replace the Quran itself.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v.-evidence-classification"/>
    <w:p>
      <w:pPr>
        <w:pStyle w:val="Heading1"/>
      </w:pPr>
      <w:r>
        <w:t xml:space="preserve">V. EVIDENCE CLASSIFICATION</w:t>
      </w:r>
    </w:p>
    <w:p>
      <w:pPr>
        <w:pStyle w:val="FirstParagraph"/>
      </w:pPr>
      <w:r>
        <w:t xml:space="preserve">Every significant conclusion will receive an evidence classification.</w:t>
      </w:r>
    </w:p>
    <w:bookmarkStart w:id="23" w:name="direct-textual-statement"/>
    <w:p>
      <w:pPr>
        <w:pStyle w:val="Heading3"/>
      </w:pPr>
      <w:r>
        <w:t xml:space="preserve">🟢 DIRECT TEXTUAL STATEMENT</w:t>
      </w:r>
    </w:p>
    <w:p>
      <w:pPr>
        <w:pStyle w:val="FirstParagraph"/>
      </w:pPr>
      <w:r>
        <w:t xml:space="preserve">Explicitly stated by the primary text being examined.</w:t>
      </w:r>
    </w:p>
    <w:bookmarkEnd w:id="23"/>
    <w:bookmarkStart w:id="24" w:name="strong-textual-pattern"/>
    <w:p>
      <w:pPr>
        <w:pStyle w:val="Heading3"/>
      </w:pPr>
      <w:r>
        <w:t xml:space="preserve">🔵 STRONG TEXTUAL PATTERN</w:t>
      </w:r>
    </w:p>
    <w:p>
      <w:pPr>
        <w:pStyle w:val="FirstParagraph"/>
      </w:pPr>
      <w:r>
        <w:t xml:space="preserve">Not contained in one explicit statement but strongly supported by multiple passages or a consistent textual pattern.</w:t>
      </w:r>
    </w:p>
    <w:bookmarkEnd w:id="24"/>
    <w:bookmarkStart w:id="25" w:name="careful-interpretive-synthesis"/>
    <w:p>
      <w:pPr>
        <w:pStyle w:val="Heading3"/>
      </w:pPr>
      <w:r>
        <w:t xml:space="preserve">🟡 CAREFUL INTERPRETIVE SYNTHESIS</w:t>
      </w:r>
    </w:p>
    <w:p>
      <w:pPr>
        <w:pStyle w:val="FirstParagraph"/>
      </w:pPr>
      <w:r>
        <w:t xml:space="preserve">A reasonable interpretation or synthesis supported by evidence but not explicitly stated.</w:t>
      </w:r>
    </w:p>
    <w:bookmarkEnd w:id="25"/>
    <w:bookmarkStart w:id="26" w:name="open-research-question"/>
    <w:p>
      <w:pPr>
        <w:pStyle w:val="Heading3"/>
      </w:pPr>
      <w:r>
        <w:t xml:space="preserve">🟠 OPEN RESEARCH QUESTION</w:t>
      </w:r>
    </w:p>
    <w:p>
      <w:pPr>
        <w:pStyle w:val="FirstParagraph"/>
      </w:pPr>
      <w:r>
        <w:t xml:space="preserve">Evidence remains insufficient, ambiguous, disputed, or incomplete.</w:t>
      </w:r>
    </w:p>
    <w:p>
      <w:pPr>
        <w:pStyle w:val="BodyText"/>
      </w:pPr>
      <w:r>
        <w:t xml:space="preserve">These classifications measure</w:t>
      </w:r>
      <w:r>
        <w:t xml:space="preserve"> </w:t>
      </w:r>
      <w:r>
        <w:rPr>
          <w:b/>
          <w:bCs/>
        </w:rPr>
        <w:t xml:space="preserve">strength of evidence</w:t>
      </w:r>
      <w:r>
        <w:t xml:space="preserve">, not whether a conclusion favors Christianity, Islam, Judaism, secular scholarship, or another position.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vi.-core-research-questions"/>
    <w:p>
      <w:pPr>
        <w:pStyle w:val="Heading1"/>
      </w:pPr>
      <w:r>
        <w:t xml:space="preserve">VI. CORE RESEARCH QUESTIONS</w:t>
      </w:r>
    </w:p>
    <w:p>
      <w:pPr>
        <w:pStyle w:val="FirstParagraph"/>
      </w:pPr>
      <w:r>
        <w:t xml:space="preserve">Permanent research questions will guide the entire investigation.</w:t>
      </w:r>
    </w:p>
    <w:bookmarkStart w:id="28" w:name="qrq-0001-god"/>
    <w:p>
      <w:pPr>
        <w:pStyle w:val="Heading2"/>
      </w:pPr>
      <w:r>
        <w:t xml:space="preserve">QRQ-0001 — God</w:t>
      </w:r>
    </w:p>
    <w:p>
      <w:pPr>
        <w:pStyle w:val="FirstParagraph"/>
      </w:pPr>
      <w:r>
        <w:t xml:space="preserve">How does the Quran describe God?</w:t>
      </w:r>
    </w:p>
    <w:p>
      <w:pPr>
        <w:pStyle w:val="BodyText"/>
      </w:pPr>
      <w:r>
        <w:t xml:space="preserve">Investigate:</w:t>
      </w:r>
    </w:p>
    <w:p>
      <w:pPr>
        <w:pStyle w:val="Compact"/>
        <w:numPr>
          <w:ilvl w:val="0"/>
          <w:numId w:val="1005"/>
        </w:numPr>
      </w:pPr>
      <w:r>
        <w:t xml:space="preserve">nature;</w:t>
      </w:r>
    </w:p>
    <w:p>
      <w:pPr>
        <w:pStyle w:val="Compact"/>
        <w:numPr>
          <w:ilvl w:val="0"/>
          <w:numId w:val="1005"/>
        </w:numPr>
      </w:pPr>
      <w:r>
        <w:t xml:space="preserve">attributes;</w:t>
      </w:r>
    </w:p>
    <w:p>
      <w:pPr>
        <w:pStyle w:val="Compact"/>
        <w:numPr>
          <w:ilvl w:val="0"/>
          <w:numId w:val="1005"/>
        </w:numPr>
      </w:pPr>
      <w:r>
        <w:t xml:space="preserve">unity;</w:t>
      </w:r>
    </w:p>
    <w:p>
      <w:pPr>
        <w:pStyle w:val="Compact"/>
        <w:numPr>
          <w:ilvl w:val="0"/>
          <w:numId w:val="1005"/>
        </w:numPr>
      </w:pPr>
      <w:r>
        <w:t xml:space="preserve">creation;</w:t>
      </w:r>
    </w:p>
    <w:p>
      <w:pPr>
        <w:pStyle w:val="Compact"/>
        <w:numPr>
          <w:ilvl w:val="0"/>
          <w:numId w:val="1005"/>
        </w:numPr>
      </w:pPr>
      <w:r>
        <w:t xml:space="preserve">sovereignty;</w:t>
      </w:r>
    </w:p>
    <w:p>
      <w:pPr>
        <w:pStyle w:val="Compact"/>
        <w:numPr>
          <w:ilvl w:val="0"/>
          <w:numId w:val="1005"/>
        </w:numPr>
      </w:pPr>
      <w:r>
        <w:t xml:space="preserve">mercy;</w:t>
      </w:r>
    </w:p>
    <w:p>
      <w:pPr>
        <w:pStyle w:val="Compact"/>
        <w:numPr>
          <w:ilvl w:val="0"/>
          <w:numId w:val="1005"/>
        </w:numPr>
      </w:pPr>
      <w:r>
        <w:t xml:space="preserve">justice;</w:t>
      </w:r>
    </w:p>
    <w:p>
      <w:pPr>
        <w:pStyle w:val="Compact"/>
        <w:numPr>
          <w:ilvl w:val="0"/>
          <w:numId w:val="1005"/>
        </w:numPr>
      </w:pPr>
      <w:r>
        <w:t xml:space="preserve">relationship with humanity;</w:t>
      </w:r>
    </w:p>
    <w:p>
      <w:pPr>
        <w:pStyle w:val="Compact"/>
        <w:numPr>
          <w:ilvl w:val="0"/>
          <w:numId w:val="1005"/>
        </w:numPr>
      </w:pPr>
      <w:r>
        <w:t xml:space="preserve">revelation;</w:t>
      </w:r>
    </w:p>
    <w:p>
      <w:pPr>
        <w:pStyle w:val="Compact"/>
        <w:numPr>
          <w:ilvl w:val="0"/>
          <w:numId w:val="1005"/>
        </w:numPr>
      </w:pPr>
      <w:r>
        <w:t xml:space="preserve">judgment;</w:t>
      </w:r>
    </w:p>
    <w:p>
      <w:pPr>
        <w:pStyle w:val="Compact"/>
        <w:numPr>
          <w:ilvl w:val="0"/>
          <w:numId w:val="1005"/>
        </w:numPr>
      </w:pPr>
      <w:r>
        <w:t xml:space="preserve">and worship.</w:t>
      </w:r>
    </w:p>
    <w:bookmarkEnd w:id="28"/>
    <w:bookmarkStart w:id="29" w:name="qrq-0002-jesus"/>
    <w:p>
      <w:pPr>
        <w:pStyle w:val="Heading2"/>
      </w:pPr>
      <w:r>
        <w:t xml:space="preserve">QRQ-0002 — Jesus</w:t>
      </w:r>
    </w:p>
    <w:p>
      <w:pPr>
        <w:pStyle w:val="FirstParagraph"/>
      </w:pPr>
      <w:r>
        <w:t xml:space="preserve">What does the Quran actually claim concerning Jesus?</w:t>
      </w:r>
    </w:p>
    <w:p>
      <w:pPr>
        <w:pStyle w:val="BodyText"/>
      </w:pPr>
      <w:r>
        <w:t xml:space="preserve">Investigate:</w:t>
      </w:r>
    </w:p>
    <w:p>
      <w:pPr>
        <w:pStyle w:val="Compact"/>
        <w:numPr>
          <w:ilvl w:val="0"/>
          <w:numId w:val="1006"/>
        </w:numPr>
      </w:pPr>
      <w:r>
        <w:t xml:space="preserve">identity;</w:t>
      </w:r>
    </w:p>
    <w:p>
      <w:pPr>
        <w:pStyle w:val="Compact"/>
        <w:numPr>
          <w:ilvl w:val="0"/>
          <w:numId w:val="1006"/>
        </w:numPr>
      </w:pPr>
      <w:r>
        <w:t xml:space="preserve">virgin birth;</w:t>
      </w:r>
    </w:p>
    <w:p>
      <w:pPr>
        <w:pStyle w:val="Compact"/>
        <w:numPr>
          <w:ilvl w:val="0"/>
          <w:numId w:val="1006"/>
        </w:numPr>
      </w:pPr>
      <w:r>
        <w:t xml:space="preserve">titles;</w:t>
      </w:r>
    </w:p>
    <w:p>
      <w:pPr>
        <w:pStyle w:val="Compact"/>
        <w:numPr>
          <w:ilvl w:val="0"/>
          <w:numId w:val="1006"/>
        </w:numPr>
      </w:pPr>
      <w:r>
        <w:t xml:space="preserve">Messiahship;</w:t>
      </w:r>
    </w:p>
    <w:p>
      <w:pPr>
        <w:pStyle w:val="Compact"/>
        <w:numPr>
          <w:ilvl w:val="0"/>
          <w:numId w:val="1006"/>
        </w:numPr>
      </w:pPr>
      <w:r>
        <w:t xml:space="preserve">miracles;</w:t>
      </w:r>
    </w:p>
    <w:p>
      <w:pPr>
        <w:pStyle w:val="Compact"/>
        <w:numPr>
          <w:ilvl w:val="0"/>
          <w:numId w:val="1006"/>
        </w:numPr>
      </w:pPr>
      <w:r>
        <w:t xml:space="preserve">relationship to God;</w:t>
      </w:r>
    </w:p>
    <w:p>
      <w:pPr>
        <w:pStyle w:val="Compact"/>
        <w:numPr>
          <w:ilvl w:val="0"/>
          <w:numId w:val="1006"/>
        </w:numPr>
      </w:pPr>
      <w:r>
        <w:t xml:space="preserve">Word;</w:t>
      </w:r>
    </w:p>
    <w:p>
      <w:pPr>
        <w:pStyle w:val="Compact"/>
        <w:numPr>
          <w:ilvl w:val="0"/>
          <w:numId w:val="1006"/>
        </w:numPr>
      </w:pPr>
      <w:r>
        <w:t xml:space="preserve">Spirit;</w:t>
      </w:r>
    </w:p>
    <w:p>
      <w:pPr>
        <w:pStyle w:val="Compact"/>
        <w:numPr>
          <w:ilvl w:val="0"/>
          <w:numId w:val="1006"/>
        </w:numPr>
      </w:pPr>
      <w:r>
        <w:t xml:space="preserve">crucifixion;</w:t>
      </w:r>
    </w:p>
    <w:p>
      <w:pPr>
        <w:pStyle w:val="Compact"/>
        <w:numPr>
          <w:ilvl w:val="0"/>
          <w:numId w:val="1006"/>
        </w:numPr>
      </w:pPr>
      <w:r>
        <w:t xml:space="preserve">death;</w:t>
      </w:r>
    </w:p>
    <w:p>
      <w:pPr>
        <w:pStyle w:val="Compact"/>
        <w:numPr>
          <w:ilvl w:val="0"/>
          <w:numId w:val="1006"/>
        </w:numPr>
      </w:pPr>
      <w:r>
        <w:t xml:space="preserve">raising;</w:t>
      </w:r>
    </w:p>
    <w:p>
      <w:pPr>
        <w:pStyle w:val="Compact"/>
        <w:numPr>
          <w:ilvl w:val="0"/>
          <w:numId w:val="1006"/>
        </w:numPr>
      </w:pPr>
      <w:r>
        <w:t xml:space="preserve">resurrection;</w:t>
      </w:r>
    </w:p>
    <w:p>
      <w:pPr>
        <w:pStyle w:val="Compact"/>
        <w:numPr>
          <w:ilvl w:val="0"/>
          <w:numId w:val="1006"/>
        </w:numPr>
      </w:pPr>
      <w:r>
        <w:t xml:space="preserve">return;</w:t>
      </w:r>
    </w:p>
    <w:p>
      <w:pPr>
        <w:pStyle w:val="Compact"/>
        <w:numPr>
          <w:ilvl w:val="0"/>
          <w:numId w:val="1006"/>
        </w:numPr>
      </w:pPr>
      <w:r>
        <w:t xml:space="preserve">judgment;</w:t>
      </w:r>
    </w:p>
    <w:p>
      <w:pPr>
        <w:pStyle w:val="Compact"/>
        <w:numPr>
          <w:ilvl w:val="0"/>
          <w:numId w:val="1006"/>
        </w:numPr>
      </w:pPr>
      <w:r>
        <w:t xml:space="preserve">and final significance.</w:t>
      </w:r>
    </w:p>
    <w:bookmarkEnd w:id="29"/>
    <w:bookmarkStart w:id="30" w:name="qrq-0003-earlier-scripture"/>
    <w:p>
      <w:pPr>
        <w:pStyle w:val="Heading2"/>
      </w:pPr>
      <w:r>
        <w:t xml:space="preserve">QRQ-0003 — Earlier Scripture</w:t>
      </w:r>
    </w:p>
    <w:p>
      <w:pPr>
        <w:pStyle w:val="FirstParagraph"/>
      </w:pPr>
      <w:r>
        <w:t xml:space="preserve">What does the Quran claim concerning:</w:t>
      </w:r>
    </w:p>
    <w:p>
      <w:pPr>
        <w:pStyle w:val="Compact"/>
        <w:numPr>
          <w:ilvl w:val="0"/>
          <w:numId w:val="1007"/>
        </w:numPr>
      </w:pPr>
      <w:r>
        <w:t xml:space="preserve">Torah;</w:t>
      </w:r>
    </w:p>
    <w:p>
      <w:pPr>
        <w:pStyle w:val="Compact"/>
        <w:numPr>
          <w:ilvl w:val="0"/>
          <w:numId w:val="1007"/>
        </w:numPr>
      </w:pPr>
      <w:r>
        <w:t xml:space="preserve">Psalms;</w:t>
      </w:r>
    </w:p>
    <w:p>
      <w:pPr>
        <w:pStyle w:val="Compact"/>
        <w:numPr>
          <w:ilvl w:val="0"/>
          <w:numId w:val="1007"/>
        </w:numPr>
      </w:pPr>
      <w:r>
        <w:t xml:space="preserve">Gospel;</w:t>
      </w:r>
    </w:p>
    <w:p>
      <w:pPr>
        <w:pStyle w:val="Compact"/>
        <w:numPr>
          <w:ilvl w:val="0"/>
          <w:numId w:val="1007"/>
        </w:numPr>
      </w:pPr>
      <w:r>
        <w:t xml:space="preserve">Scripture;</w:t>
      </w:r>
    </w:p>
    <w:p>
      <w:pPr>
        <w:pStyle w:val="Compact"/>
        <w:numPr>
          <w:ilvl w:val="0"/>
          <w:numId w:val="1007"/>
        </w:numPr>
      </w:pPr>
      <w:r>
        <w:t xml:space="preserve">earlier revelation;</w:t>
      </w:r>
    </w:p>
    <w:p>
      <w:pPr>
        <w:pStyle w:val="Compact"/>
        <w:numPr>
          <w:ilvl w:val="0"/>
          <w:numId w:val="1007"/>
        </w:numPr>
      </w:pPr>
      <w:r>
        <w:t xml:space="preserve">Jewish Scripture;</w:t>
      </w:r>
    </w:p>
    <w:p>
      <w:pPr>
        <w:pStyle w:val="Compact"/>
        <w:numPr>
          <w:ilvl w:val="0"/>
          <w:numId w:val="1007"/>
        </w:numPr>
      </w:pPr>
      <w:r>
        <w:t xml:space="preserve">and Christian Scripture?</w:t>
      </w:r>
    </w:p>
    <w:p>
      <w:pPr>
        <w:pStyle w:val="FirstParagraph"/>
      </w:pPr>
      <w:r>
        <w:t xml:space="preserve">Does the Quran affirm, confirm, correct, reinterpret, supersede, or replace earlier revelation?</w:t>
      </w:r>
    </w:p>
    <w:p>
      <w:pPr>
        <w:pStyle w:val="BodyText"/>
      </w:pPr>
      <w:r>
        <w:t xml:space="preserve">Does the Quran explicitly claim that earlier Scriptures were textually corrupted?</w:t>
      </w:r>
    </w:p>
    <w:p>
      <w:pPr>
        <w:pStyle w:val="BodyText"/>
      </w:pPr>
      <w:r>
        <w:t xml:space="preserve">If corruption is alleged, precisely what does the Arabic text claim was changed, concealed, forgotten, misinterpreted, or corrupted?</w:t>
      </w:r>
    </w:p>
    <w:bookmarkEnd w:id="30"/>
    <w:bookmarkStart w:id="31" w:name="qrq-0004-muhammad"/>
    <w:p>
      <w:pPr>
        <w:pStyle w:val="Heading2"/>
      </w:pPr>
      <w:r>
        <w:t xml:space="preserve">QRQ-0004 — Muhammad</w:t>
      </w:r>
    </w:p>
    <w:p>
      <w:pPr>
        <w:pStyle w:val="FirstParagraph"/>
      </w:pPr>
      <w:r>
        <w:t xml:space="preserve">What does the Quran itself claim concerning Muhammad?</w:t>
      </w:r>
    </w:p>
    <w:p>
      <w:pPr>
        <w:pStyle w:val="BodyText"/>
      </w:pPr>
      <w:r>
        <w:t xml:space="preserve">Quranic claims must remain distinguishable from later biographical and traditional claims.</w:t>
      </w:r>
    </w:p>
    <w:bookmarkEnd w:id="31"/>
    <w:bookmarkStart w:id="32" w:name="qrq-0005-revelation"/>
    <w:p>
      <w:pPr>
        <w:pStyle w:val="Heading2"/>
      </w:pPr>
      <w:r>
        <w:t xml:space="preserve">QRQ-0005 — Revelation</w:t>
      </w:r>
    </w:p>
    <w:p>
      <w:pPr>
        <w:pStyle w:val="FirstParagraph"/>
      </w:pPr>
      <w:r>
        <w:t xml:space="preserve">How does the Quran describe revelation?</w:t>
      </w:r>
    </w:p>
    <w:p>
      <w:pPr>
        <w:pStyle w:val="BodyText"/>
      </w:pPr>
      <w:r>
        <w:t xml:space="preserve">Investigate:</w:t>
      </w:r>
    </w:p>
    <w:p>
      <w:pPr>
        <w:pStyle w:val="Compact"/>
        <w:numPr>
          <w:ilvl w:val="0"/>
          <w:numId w:val="1008"/>
        </w:numPr>
      </w:pPr>
      <w:r>
        <w:t xml:space="preserve">source;</w:t>
      </w:r>
    </w:p>
    <w:p>
      <w:pPr>
        <w:pStyle w:val="Compact"/>
        <w:numPr>
          <w:ilvl w:val="0"/>
          <w:numId w:val="1008"/>
        </w:numPr>
      </w:pPr>
      <w:r>
        <w:t xml:space="preserve">mechanism;</w:t>
      </w:r>
    </w:p>
    <w:p>
      <w:pPr>
        <w:pStyle w:val="Compact"/>
        <w:numPr>
          <w:ilvl w:val="0"/>
          <w:numId w:val="1008"/>
        </w:numPr>
      </w:pPr>
      <w:r>
        <w:t xml:space="preserve">prophets;</w:t>
      </w:r>
    </w:p>
    <w:p>
      <w:pPr>
        <w:pStyle w:val="Compact"/>
        <w:numPr>
          <w:ilvl w:val="0"/>
          <w:numId w:val="1008"/>
        </w:numPr>
      </w:pPr>
      <w:r>
        <w:t xml:space="preserve">angels;</w:t>
      </w:r>
    </w:p>
    <w:p>
      <w:pPr>
        <w:pStyle w:val="Compact"/>
        <w:numPr>
          <w:ilvl w:val="0"/>
          <w:numId w:val="1008"/>
        </w:numPr>
      </w:pPr>
      <w:r>
        <w:t xml:space="preserve">inspiration;</w:t>
      </w:r>
    </w:p>
    <w:p>
      <w:pPr>
        <w:pStyle w:val="Compact"/>
        <w:numPr>
          <w:ilvl w:val="0"/>
          <w:numId w:val="1008"/>
        </w:numPr>
      </w:pPr>
      <w:r>
        <w:t xml:space="preserve">transmission;</w:t>
      </w:r>
    </w:p>
    <w:p>
      <w:pPr>
        <w:pStyle w:val="Compact"/>
        <w:numPr>
          <w:ilvl w:val="0"/>
          <w:numId w:val="1008"/>
        </w:numPr>
      </w:pPr>
      <w:r>
        <w:t xml:space="preserve">authority;</w:t>
      </w:r>
    </w:p>
    <w:p>
      <w:pPr>
        <w:pStyle w:val="Compact"/>
        <w:numPr>
          <w:ilvl w:val="0"/>
          <w:numId w:val="1008"/>
        </w:numPr>
      </w:pPr>
      <w:r>
        <w:t xml:space="preserve">confirmation;</w:t>
      </w:r>
    </w:p>
    <w:p>
      <w:pPr>
        <w:pStyle w:val="Compact"/>
        <w:numPr>
          <w:ilvl w:val="0"/>
          <w:numId w:val="1008"/>
        </w:numPr>
      </w:pPr>
      <w:r>
        <w:t xml:space="preserve">and preservation.</w:t>
      </w:r>
    </w:p>
    <w:bookmarkEnd w:id="32"/>
    <w:bookmarkStart w:id="33" w:name="qrq-0006-salvation"/>
    <w:p>
      <w:pPr>
        <w:pStyle w:val="Heading2"/>
      </w:pPr>
      <w:r>
        <w:t xml:space="preserve">QRQ-0006 — Salvation</w:t>
      </w:r>
    </w:p>
    <w:p>
      <w:pPr>
        <w:pStyle w:val="FirstParagraph"/>
      </w:pPr>
      <w:r>
        <w:t xml:space="preserve">According to the Quran, how does a human being obtain God’s mercy, forgiveness, acceptance, or salvation?</w:t>
      </w:r>
    </w:p>
    <w:p>
      <w:pPr>
        <w:pStyle w:val="BodyText"/>
      </w:pPr>
      <w:r>
        <w:t xml:space="preserve">Investigate:</w:t>
      </w:r>
    </w:p>
    <w:p>
      <w:pPr>
        <w:pStyle w:val="Compact"/>
        <w:numPr>
          <w:ilvl w:val="0"/>
          <w:numId w:val="1009"/>
        </w:numPr>
      </w:pPr>
      <w:r>
        <w:t xml:space="preserve">faith;</w:t>
      </w:r>
    </w:p>
    <w:p>
      <w:pPr>
        <w:pStyle w:val="Compact"/>
        <w:numPr>
          <w:ilvl w:val="0"/>
          <w:numId w:val="1009"/>
        </w:numPr>
      </w:pPr>
      <w:r>
        <w:t xml:space="preserve">works;</w:t>
      </w:r>
    </w:p>
    <w:p>
      <w:pPr>
        <w:pStyle w:val="Compact"/>
        <w:numPr>
          <w:ilvl w:val="0"/>
          <w:numId w:val="1009"/>
        </w:numPr>
      </w:pPr>
      <w:r>
        <w:t xml:space="preserve">repentance;</w:t>
      </w:r>
    </w:p>
    <w:p>
      <w:pPr>
        <w:pStyle w:val="Compact"/>
        <w:numPr>
          <w:ilvl w:val="0"/>
          <w:numId w:val="1009"/>
        </w:numPr>
      </w:pPr>
      <w:r>
        <w:t xml:space="preserve">obedience;</w:t>
      </w:r>
    </w:p>
    <w:p>
      <w:pPr>
        <w:pStyle w:val="Compact"/>
        <w:numPr>
          <w:ilvl w:val="0"/>
          <w:numId w:val="1009"/>
        </w:numPr>
      </w:pPr>
      <w:r>
        <w:t xml:space="preserve">mercy;</w:t>
      </w:r>
    </w:p>
    <w:p>
      <w:pPr>
        <w:pStyle w:val="Compact"/>
        <w:numPr>
          <w:ilvl w:val="0"/>
          <w:numId w:val="1009"/>
        </w:numPr>
      </w:pPr>
      <w:r>
        <w:t xml:space="preserve">righteousness;</w:t>
      </w:r>
    </w:p>
    <w:p>
      <w:pPr>
        <w:pStyle w:val="Compact"/>
        <w:numPr>
          <w:ilvl w:val="0"/>
          <w:numId w:val="1009"/>
        </w:numPr>
      </w:pPr>
      <w:r>
        <w:t xml:space="preserve">judgment;</w:t>
      </w:r>
    </w:p>
    <w:p>
      <w:pPr>
        <w:pStyle w:val="Compact"/>
        <w:numPr>
          <w:ilvl w:val="0"/>
          <w:numId w:val="1009"/>
        </w:numPr>
      </w:pPr>
      <w:r>
        <w:t xml:space="preserve">intercession;</w:t>
      </w:r>
    </w:p>
    <w:p>
      <w:pPr>
        <w:pStyle w:val="Compact"/>
        <w:numPr>
          <w:ilvl w:val="0"/>
          <w:numId w:val="1009"/>
        </w:numPr>
      </w:pPr>
      <w:r>
        <w:t xml:space="preserve">and divine sovereignty.</w:t>
      </w:r>
    </w:p>
    <w:bookmarkEnd w:id="33"/>
    <w:bookmarkStart w:id="34" w:name="qrq-0007-sin-and-human-nature"/>
    <w:p>
      <w:pPr>
        <w:pStyle w:val="Heading2"/>
      </w:pPr>
      <w:r>
        <w:t xml:space="preserve">QRQ-0007 — Sin and Human Nature</w:t>
      </w:r>
    </w:p>
    <w:p>
      <w:pPr>
        <w:pStyle w:val="FirstParagraph"/>
      </w:pPr>
      <w:r>
        <w:t xml:space="preserve">Investigate Quranic teaching concerning:</w:t>
      </w:r>
    </w:p>
    <w:p>
      <w:pPr>
        <w:pStyle w:val="Compact"/>
        <w:numPr>
          <w:ilvl w:val="0"/>
          <w:numId w:val="1010"/>
        </w:numPr>
      </w:pPr>
      <w:r>
        <w:t xml:space="preserve">sin;</w:t>
      </w:r>
    </w:p>
    <w:p>
      <w:pPr>
        <w:pStyle w:val="Compact"/>
        <w:numPr>
          <w:ilvl w:val="0"/>
          <w:numId w:val="1010"/>
        </w:numPr>
      </w:pPr>
      <w:r>
        <w:t xml:space="preserve">Adam;</w:t>
      </w:r>
    </w:p>
    <w:p>
      <w:pPr>
        <w:pStyle w:val="Compact"/>
        <w:numPr>
          <w:ilvl w:val="0"/>
          <w:numId w:val="1010"/>
        </w:numPr>
      </w:pPr>
      <w:r>
        <w:t xml:space="preserve">temptation;</w:t>
      </w:r>
    </w:p>
    <w:p>
      <w:pPr>
        <w:pStyle w:val="Compact"/>
        <w:numPr>
          <w:ilvl w:val="0"/>
          <w:numId w:val="1010"/>
        </w:numPr>
      </w:pPr>
      <w:r>
        <w:t xml:space="preserve">inherited guilt;</w:t>
      </w:r>
    </w:p>
    <w:p>
      <w:pPr>
        <w:pStyle w:val="Compact"/>
        <w:numPr>
          <w:ilvl w:val="0"/>
          <w:numId w:val="1010"/>
        </w:numPr>
      </w:pPr>
      <w:r>
        <w:t xml:space="preserve">human nature;</w:t>
      </w:r>
    </w:p>
    <w:p>
      <w:pPr>
        <w:pStyle w:val="Compact"/>
        <w:numPr>
          <w:ilvl w:val="0"/>
          <w:numId w:val="1010"/>
        </w:numPr>
      </w:pPr>
      <w:r>
        <w:t xml:space="preserve">free choice;</w:t>
      </w:r>
    </w:p>
    <w:p>
      <w:pPr>
        <w:pStyle w:val="Compact"/>
        <w:numPr>
          <w:ilvl w:val="0"/>
          <w:numId w:val="1010"/>
        </w:numPr>
      </w:pPr>
      <w:r>
        <w:t xml:space="preserve">responsibility;</w:t>
      </w:r>
    </w:p>
    <w:p>
      <w:pPr>
        <w:pStyle w:val="Compact"/>
        <w:numPr>
          <w:ilvl w:val="0"/>
          <w:numId w:val="1010"/>
        </w:numPr>
      </w:pPr>
      <w:r>
        <w:t xml:space="preserve">forgiveness;</w:t>
      </w:r>
    </w:p>
    <w:p>
      <w:pPr>
        <w:pStyle w:val="Compact"/>
        <w:numPr>
          <w:ilvl w:val="0"/>
          <w:numId w:val="1010"/>
        </w:numPr>
      </w:pPr>
      <w:r>
        <w:t xml:space="preserve">and accountability.</w:t>
      </w:r>
    </w:p>
    <w:bookmarkEnd w:id="34"/>
    <w:bookmarkStart w:id="35" w:name="qrq-0008-death-judgment-and-afterlife"/>
    <w:p>
      <w:pPr>
        <w:pStyle w:val="Heading2"/>
      </w:pPr>
      <w:r>
        <w:t xml:space="preserve">QRQ-0008 — Death, Judgment, and Afterlife</w:t>
      </w:r>
    </w:p>
    <w:p>
      <w:pPr>
        <w:pStyle w:val="FirstParagraph"/>
      </w:pPr>
      <w:r>
        <w:t xml:space="preserve">Investigate:</w:t>
      </w:r>
    </w:p>
    <w:p>
      <w:pPr>
        <w:pStyle w:val="Compact"/>
        <w:numPr>
          <w:ilvl w:val="0"/>
          <w:numId w:val="1011"/>
        </w:numPr>
      </w:pPr>
      <w:r>
        <w:t xml:space="preserve">death;</w:t>
      </w:r>
    </w:p>
    <w:p>
      <w:pPr>
        <w:pStyle w:val="Compact"/>
        <w:numPr>
          <w:ilvl w:val="0"/>
          <w:numId w:val="1011"/>
        </w:numPr>
      </w:pPr>
      <w:r>
        <w:t xml:space="preserve">resurrection;</w:t>
      </w:r>
    </w:p>
    <w:p>
      <w:pPr>
        <w:pStyle w:val="Compact"/>
        <w:numPr>
          <w:ilvl w:val="0"/>
          <w:numId w:val="1011"/>
        </w:numPr>
      </w:pPr>
      <w:r>
        <w:t xml:space="preserve">judgment;</w:t>
      </w:r>
    </w:p>
    <w:p>
      <w:pPr>
        <w:pStyle w:val="Compact"/>
        <w:numPr>
          <w:ilvl w:val="0"/>
          <w:numId w:val="1011"/>
        </w:numPr>
      </w:pPr>
      <w:r>
        <w:t xml:space="preserve">paradise;</w:t>
      </w:r>
    </w:p>
    <w:p>
      <w:pPr>
        <w:pStyle w:val="Compact"/>
        <w:numPr>
          <w:ilvl w:val="0"/>
          <w:numId w:val="1011"/>
        </w:numPr>
      </w:pPr>
      <w:r>
        <w:t xml:space="preserve">hell;</w:t>
      </w:r>
    </w:p>
    <w:p>
      <w:pPr>
        <w:pStyle w:val="Compact"/>
        <w:numPr>
          <w:ilvl w:val="0"/>
          <w:numId w:val="1011"/>
        </w:numPr>
      </w:pPr>
      <w:r>
        <w:t xml:space="preserve">rewards;</w:t>
      </w:r>
    </w:p>
    <w:p>
      <w:pPr>
        <w:pStyle w:val="Compact"/>
        <w:numPr>
          <w:ilvl w:val="0"/>
          <w:numId w:val="1011"/>
        </w:numPr>
      </w:pPr>
      <w:r>
        <w:t xml:space="preserve">punishment;</w:t>
      </w:r>
    </w:p>
    <w:p>
      <w:pPr>
        <w:pStyle w:val="Compact"/>
        <w:numPr>
          <w:ilvl w:val="0"/>
          <w:numId w:val="1011"/>
        </w:numPr>
      </w:pPr>
      <w:r>
        <w:t xml:space="preserve">intercession;</w:t>
      </w:r>
    </w:p>
    <w:p>
      <w:pPr>
        <w:pStyle w:val="Compact"/>
        <w:numPr>
          <w:ilvl w:val="0"/>
          <w:numId w:val="1011"/>
        </w:numPr>
      </w:pPr>
      <w:r>
        <w:t xml:space="preserve">and eternal destiny.</w:t>
      </w:r>
    </w:p>
    <w:bookmarkEnd w:id="35"/>
    <w:bookmarkStart w:id="36" w:name="qrq-0009-biblical-people-and-events"/>
    <w:p>
      <w:pPr>
        <w:pStyle w:val="Heading2"/>
      </w:pPr>
      <w:r>
        <w:t xml:space="preserve">QRQ-0009 — Biblical People and Events</w:t>
      </w:r>
    </w:p>
    <w:p>
      <w:pPr>
        <w:pStyle w:val="FirstParagraph"/>
      </w:pPr>
      <w:r>
        <w:t xml:space="preserve">Compare Quranic presentations of biblical people and events with their biblical counterparts.</w:t>
      </w:r>
    </w:p>
    <w:bookmarkEnd w:id="36"/>
    <w:bookmarkStart w:id="37" w:name="qrq-0010-quranbible-continuity"/>
    <w:p>
      <w:pPr>
        <w:pStyle w:val="Heading2"/>
      </w:pPr>
      <w:r>
        <w:t xml:space="preserve">QRQ-0010 — Quran/Bible Continuity</w:t>
      </w:r>
    </w:p>
    <w:p>
      <w:pPr>
        <w:pStyle w:val="FirstParagraph"/>
      </w:pPr>
      <w:r>
        <w:t xml:space="preserve">Does the Quran present itself as:</w:t>
      </w:r>
    </w:p>
    <w:p>
      <w:pPr>
        <w:pStyle w:val="Compact"/>
        <w:numPr>
          <w:ilvl w:val="0"/>
          <w:numId w:val="1012"/>
        </w:numPr>
      </w:pPr>
      <w:r>
        <w:t xml:space="preserve">continuation;</w:t>
      </w:r>
    </w:p>
    <w:p>
      <w:pPr>
        <w:pStyle w:val="Compact"/>
        <w:numPr>
          <w:ilvl w:val="0"/>
          <w:numId w:val="1012"/>
        </w:numPr>
      </w:pPr>
      <w:r>
        <w:t xml:space="preserve">confirmation;</w:t>
      </w:r>
    </w:p>
    <w:p>
      <w:pPr>
        <w:pStyle w:val="Compact"/>
        <w:numPr>
          <w:ilvl w:val="0"/>
          <w:numId w:val="1012"/>
        </w:numPr>
      </w:pPr>
      <w:r>
        <w:t xml:space="preserve">correction;</w:t>
      </w:r>
    </w:p>
    <w:p>
      <w:pPr>
        <w:pStyle w:val="Compact"/>
        <w:numPr>
          <w:ilvl w:val="0"/>
          <w:numId w:val="1012"/>
        </w:numPr>
      </w:pPr>
      <w:r>
        <w:t xml:space="preserve">restoration;</w:t>
      </w:r>
    </w:p>
    <w:p>
      <w:pPr>
        <w:pStyle w:val="Compact"/>
        <w:numPr>
          <w:ilvl w:val="0"/>
          <w:numId w:val="1012"/>
        </w:numPr>
      </w:pPr>
      <w:r>
        <w:t xml:space="preserve">replacement;</w:t>
      </w:r>
    </w:p>
    <w:p>
      <w:pPr>
        <w:pStyle w:val="Compact"/>
        <w:numPr>
          <w:ilvl w:val="0"/>
          <w:numId w:val="1012"/>
        </w:numPr>
      </w:pPr>
      <w:r>
        <w:t xml:space="preserve">culmination;</w:t>
      </w:r>
    </w:p>
    <w:p>
      <w:pPr>
        <w:pStyle w:val="Compact"/>
        <w:numPr>
          <w:ilvl w:val="0"/>
          <w:numId w:val="1012"/>
        </w:numPr>
      </w:pPr>
      <w:r>
        <w:t xml:space="preserve">or some combination</w:t>
      </w:r>
    </w:p>
    <w:p>
      <w:pPr>
        <w:pStyle w:val="FirstParagraph"/>
      </w:pPr>
      <w:r>
        <w:t xml:space="preserve">of earlier revelation?</w:t>
      </w:r>
    </w:p>
    <w:p>
      <w:pPr>
        <w:pStyle w:val="BodyText"/>
      </w:pPr>
      <w:r>
        <w:t xml:space="preserve">The conclusion must emerge from evidence.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X1cf0f2b39d4f156251d1066e92b6153f020cbfb"/>
    <w:p>
      <w:pPr>
        <w:pStyle w:val="Heading1"/>
      </w:pPr>
      <w:r>
        <w:t xml:space="preserve">VII. BIBLE–QURAN CROSS-SCRIPTURE COMPARISON ATLAS</w:t>
      </w:r>
    </w:p>
    <w:p>
      <w:pPr>
        <w:pStyle w:val="FirstParagraph"/>
      </w:pPr>
      <w:r>
        <w:t xml:space="preserve">A permanent Cross-Scripture Comparison Atlas will track significant relationships between the Quran and Bible.</w:t>
      </w:r>
    </w:p>
    <w:p>
      <w:pPr>
        <w:pStyle w:val="BodyText"/>
      </w:pPr>
      <w:r>
        <w:t xml:space="preserve">Comparisons may be classified:</w:t>
      </w:r>
    </w:p>
    <w:bookmarkStart w:id="39" w:name="agreement"/>
    <w:p>
      <w:pPr>
        <w:pStyle w:val="Heading3"/>
      </w:pPr>
      <w:r>
        <w:t xml:space="preserve">AGREEMENT</w:t>
      </w:r>
    </w:p>
    <w:p>
      <w:pPr>
        <w:pStyle w:val="FirstParagraph"/>
      </w:pPr>
      <w:r>
        <w:t xml:space="preserve">The texts make substantially compatible claims.</w:t>
      </w:r>
    </w:p>
    <w:bookmarkEnd w:id="39"/>
    <w:bookmarkStart w:id="40" w:name="partial-agreement"/>
    <w:p>
      <w:pPr>
        <w:pStyle w:val="Heading3"/>
      </w:pPr>
      <w:r>
        <w:t xml:space="preserve">PARTIAL AGREEMENT</w:t>
      </w:r>
    </w:p>
    <w:p>
      <w:pPr>
        <w:pStyle w:val="FirstParagraph"/>
      </w:pPr>
      <w:r>
        <w:t xml:space="preserve">Important common elements exist alongside meaningful differences.</w:t>
      </w:r>
    </w:p>
    <w:bookmarkEnd w:id="40"/>
    <w:bookmarkStart w:id="41" w:name="addition"/>
    <w:p>
      <w:pPr>
        <w:pStyle w:val="Heading3"/>
      </w:pPr>
      <w:r>
        <w:t xml:space="preserve">ADDITION</w:t>
      </w:r>
    </w:p>
    <w:p>
      <w:pPr>
        <w:pStyle w:val="FirstParagraph"/>
      </w:pPr>
      <w:r>
        <w:t xml:space="preserve">The Quran contains information absent from the biblical account.</w:t>
      </w:r>
    </w:p>
    <w:bookmarkEnd w:id="41"/>
    <w:bookmarkStart w:id="42" w:name="omission"/>
    <w:p>
      <w:pPr>
        <w:pStyle w:val="Heading3"/>
      </w:pPr>
      <w:r>
        <w:t xml:space="preserve">OMISSION</w:t>
      </w:r>
    </w:p>
    <w:p>
      <w:pPr>
        <w:pStyle w:val="FirstParagraph"/>
      </w:pPr>
      <w:r>
        <w:t xml:space="preserve">Significant material appearing in one account is absent from the other.</w:t>
      </w:r>
    </w:p>
    <w:bookmarkEnd w:id="42"/>
    <w:bookmarkStart w:id="43" w:name="reinterpretation"/>
    <w:p>
      <w:pPr>
        <w:pStyle w:val="Heading3"/>
      </w:pPr>
      <w:r>
        <w:t xml:space="preserve">REINTERPRETATION</w:t>
      </w:r>
    </w:p>
    <w:p>
      <w:pPr>
        <w:pStyle w:val="FirstParagraph"/>
      </w:pPr>
      <w:r>
        <w:t xml:space="preserve">A person, event, doctrine, or concept receives significantly different theological treatment.</w:t>
      </w:r>
    </w:p>
    <w:bookmarkEnd w:id="43"/>
    <w:bookmarkStart w:id="44" w:name="apparent-contradiction"/>
    <w:p>
      <w:pPr>
        <w:pStyle w:val="Heading3"/>
      </w:pPr>
      <w:r>
        <w:t xml:space="preserve">APPARENT CONTRADICTION</w:t>
      </w:r>
    </w:p>
    <w:p>
      <w:pPr>
        <w:pStyle w:val="FirstParagraph"/>
      </w:pPr>
      <w:r>
        <w:t xml:space="preserve">The texts initially appear incompatible but additional investigation is required.</w:t>
      </w:r>
    </w:p>
    <w:bookmarkEnd w:id="44"/>
    <w:bookmarkStart w:id="45" w:name="direct-contradiction"/>
    <w:p>
      <w:pPr>
        <w:pStyle w:val="Heading3"/>
      </w:pPr>
      <w:r>
        <w:t xml:space="preserve">DIRECT CONTRADICTION</w:t>
      </w:r>
    </w:p>
    <w:p>
      <w:pPr>
        <w:pStyle w:val="FirstParagraph"/>
      </w:pPr>
      <w:r>
        <w:t xml:space="preserve">After reasonable linguistic, contextual, chronological, historical, and interpretive alternatives have been investigated, the texts make mutually incompatible claims.</w:t>
      </w:r>
    </w:p>
    <w:p>
      <w:pPr>
        <w:pStyle w:val="BodyText"/>
      </w:pPr>
      <w:r>
        <w:t xml:space="preserve">A difference is</w:t>
      </w:r>
      <w:r>
        <w:t xml:space="preserve"> </w:t>
      </w:r>
      <w:r>
        <w:rPr>
          <w:b/>
          <w:bCs/>
        </w:rPr>
        <w:t xml:space="preserve">not automatically a contradiction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5397f8e44c3eaed4dab87275c8615d17691dadf"/>
    <w:p>
      <w:pPr>
        <w:pStyle w:val="Heading1"/>
      </w:pPr>
      <w:r>
        <w:t xml:space="preserve">VIII. QURAN–BIBLE DISCREPANCY IDENTIFICATION SYSTEM</w:t>
      </w:r>
    </w:p>
    <w:p>
      <w:pPr>
        <w:pStyle w:val="FirstParagraph"/>
      </w:pPr>
      <w:r>
        <w:t xml:space="preserve">Every significant Quran/Bible discrepancy will receive a permanent identifier:</w:t>
      </w:r>
    </w:p>
    <w:p>
      <w:pPr>
        <w:pStyle w:val="BodyText"/>
      </w:pPr>
      <w:r>
        <w:rPr>
          <w:b/>
          <w:bCs/>
        </w:rPr>
        <w:t xml:space="preserve">QB-0001, QB-0002, QB-0003…</w:t>
      </w:r>
    </w:p>
    <w:p>
      <w:pPr>
        <w:pStyle w:val="BodyText"/>
      </w:pPr>
      <w:r>
        <w:t xml:space="preserve">Each record will contain where applicable:</w:t>
      </w:r>
    </w:p>
    <w:p>
      <w:pPr>
        <w:pStyle w:val="Compact"/>
        <w:numPr>
          <w:ilvl w:val="0"/>
          <w:numId w:val="1013"/>
        </w:numPr>
      </w:pPr>
      <w:r>
        <w:t xml:space="preserve">permanent ID;</w:t>
      </w:r>
    </w:p>
    <w:p>
      <w:pPr>
        <w:pStyle w:val="Compact"/>
        <w:numPr>
          <w:ilvl w:val="0"/>
          <w:numId w:val="1013"/>
        </w:numPr>
      </w:pPr>
      <w:r>
        <w:t xml:space="preserve">title;</w:t>
      </w:r>
    </w:p>
    <w:p>
      <w:pPr>
        <w:pStyle w:val="Compact"/>
        <w:numPr>
          <w:ilvl w:val="0"/>
          <w:numId w:val="1013"/>
        </w:numPr>
      </w:pPr>
      <w:r>
        <w:t xml:space="preserve">Quranic passage;</w:t>
      </w:r>
    </w:p>
    <w:p>
      <w:pPr>
        <w:pStyle w:val="Compact"/>
        <w:numPr>
          <w:ilvl w:val="0"/>
          <w:numId w:val="1013"/>
        </w:numPr>
      </w:pPr>
      <w:r>
        <w:t xml:space="preserve">biblical passage;</w:t>
      </w:r>
    </w:p>
    <w:p>
      <w:pPr>
        <w:pStyle w:val="Compact"/>
        <w:numPr>
          <w:ilvl w:val="0"/>
          <w:numId w:val="1013"/>
        </w:numPr>
      </w:pPr>
      <w:r>
        <w:t xml:space="preserve">nature of the alleged discrepancy;</w:t>
      </w:r>
    </w:p>
    <w:p>
      <w:pPr>
        <w:pStyle w:val="Compact"/>
        <w:numPr>
          <w:ilvl w:val="0"/>
          <w:numId w:val="1013"/>
        </w:numPr>
      </w:pPr>
      <w:r>
        <w:t xml:space="preserve">Arabic evidence;</w:t>
      </w:r>
    </w:p>
    <w:p>
      <w:pPr>
        <w:pStyle w:val="Compact"/>
        <w:numPr>
          <w:ilvl w:val="0"/>
          <w:numId w:val="1013"/>
        </w:numPr>
      </w:pPr>
      <w:r>
        <w:t xml:space="preserve">Hebrew/Aramaic/Greek evidence;</w:t>
      </w:r>
    </w:p>
    <w:p>
      <w:pPr>
        <w:pStyle w:val="Compact"/>
        <w:numPr>
          <w:ilvl w:val="0"/>
          <w:numId w:val="1013"/>
        </w:numPr>
      </w:pPr>
      <w:r>
        <w:t xml:space="preserve">immediate contexts;</w:t>
      </w:r>
    </w:p>
    <w:p>
      <w:pPr>
        <w:pStyle w:val="Compact"/>
        <w:numPr>
          <w:ilvl w:val="0"/>
          <w:numId w:val="1013"/>
        </w:numPr>
      </w:pPr>
      <w:r>
        <w:t xml:space="preserve">broader textual contexts;</w:t>
      </w:r>
    </w:p>
    <w:p>
      <w:pPr>
        <w:pStyle w:val="Compact"/>
        <w:numPr>
          <w:ilvl w:val="0"/>
          <w:numId w:val="1013"/>
        </w:numPr>
      </w:pPr>
      <w:r>
        <w:t xml:space="preserve">chronology;</w:t>
      </w:r>
    </w:p>
    <w:p>
      <w:pPr>
        <w:pStyle w:val="Compact"/>
        <w:numPr>
          <w:ilvl w:val="0"/>
          <w:numId w:val="1013"/>
        </w:numPr>
      </w:pPr>
      <w:r>
        <w:t xml:space="preserve">historical considerations;</w:t>
      </w:r>
    </w:p>
    <w:p>
      <w:pPr>
        <w:pStyle w:val="Compact"/>
        <w:numPr>
          <w:ilvl w:val="0"/>
          <w:numId w:val="1013"/>
        </w:numPr>
      </w:pPr>
      <w:r>
        <w:t xml:space="preserve">Muslim interpretations;</w:t>
      </w:r>
    </w:p>
    <w:p>
      <w:pPr>
        <w:pStyle w:val="Compact"/>
        <w:numPr>
          <w:ilvl w:val="0"/>
          <w:numId w:val="1013"/>
        </w:numPr>
      </w:pPr>
      <w:r>
        <w:t xml:space="preserve">Christian interpretations;</w:t>
      </w:r>
    </w:p>
    <w:p>
      <w:pPr>
        <w:pStyle w:val="Compact"/>
        <w:numPr>
          <w:ilvl w:val="0"/>
          <w:numId w:val="1013"/>
        </w:numPr>
      </w:pPr>
      <w:r>
        <w:t xml:space="preserve">alternative explanations;</w:t>
      </w:r>
    </w:p>
    <w:p>
      <w:pPr>
        <w:pStyle w:val="Compact"/>
        <w:numPr>
          <w:ilvl w:val="0"/>
          <w:numId w:val="1013"/>
        </w:numPr>
      </w:pPr>
      <w:r>
        <w:t xml:space="preserve">evidence classification;</w:t>
      </w:r>
    </w:p>
    <w:p>
      <w:pPr>
        <w:pStyle w:val="Compact"/>
        <w:numPr>
          <w:ilvl w:val="0"/>
          <w:numId w:val="1013"/>
        </w:numPr>
      </w:pPr>
      <w:r>
        <w:t xml:space="preserve">preliminary determination;</w:t>
      </w:r>
    </w:p>
    <w:p>
      <w:pPr>
        <w:pStyle w:val="Compact"/>
        <w:numPr>
          <w:ilvl w:val="0"/>
          <w:numId w:val="1013"/>
        </w:numPr>
      </w:pPr>
      <w:r>
        <w:t xml:space="preserve">final determination;</w:t>
      </w:r>
    </w:p>
    <w:p>
      <w:pPr>
        <w:pStyle w:val="Compact"/>
        <w:numPr>
          <w:ilvl w:val="0"/>
          <w:numId w:val="1013"/>
        </w:numPr>
      </w:pPr>
      <w:r>
        <w:t xml:space="preserve">related discoveries;</w:t>
      </w:r>
    </w:p>
    <w:p>
      <w:pPr>
        <w:pStyle w:val="Compact"/>
        <w:numPr>
          <w:ilvl w:val="0"/>
          <w:numId w:val="1013"/>
        </w:numPr>
      </w:pPr>
      <w:r>
        <w:t xml:space="preserve">related Dictionary entries;</w:t>
      </w:r>
    </w:p>
    <w:p>
      <w:pPr>
        <w:pStyle w:val="Compact"/>
        <w:numPr>
          <w:ilvl w:val="0"/>
          <w:numId w:val="1013"/>
        </w:numPr>
      </w:pPr>
      <w:r>
        <w:t xml:space="preserve">and related research questions.</w:t>
      </w:r>
    </w:p>
    <w:p>
      <w:pPr>
        <w:pStyle w:val="FirstParagraph"/>
      </w:pPr>
      <w:r>
        <w:t xml:space="preserve">IDs are permanent and never reused.</w:t>
      </w:r>
    </w:p>
    <w:p>
      <w:r>
        <w:pict>
          <v:rect style="width:0;height:1.5pt" o:hralign="center" o:hrstd="t" o:hr="t"/>
        </w:pict>
      </w:r>
    </w:p>
    <w:bookmarkEnd w:id="47"/>
    <w:bookmarkStart w:id="48" w:name="ix.-contradiction-protocol"/>
    <w:p>
      <w:pPr>
        <w:pStyle w:val="Heading1"/>
      </w:pPr>
      <w:r>
        <w:t xml:space="preserve">IX. CONTRADICTION PROTOCOL</w:t>
      </w:r>
    </w:p>
    <w:p>
      <w:pPr>
        <w:pStyle w:val="FirstParagraph"/>
      </w:pPr>
      <w:r>
        <w:t xml:space="preserve">Before declaring a direct contradiction, investigate:</w:t>
      </w:r>
    </w:p>
    <w:p>
      <w:pPr>
        <w:pStyle w:val="Compact"/>
        <w:numPr>
          <w:ilvl w:val="0"/>
          <w:numId w:val="1014"/>
        </w:numPr>
      </w:pPr>
      <w:r>
        <w:t xml:space="preserve">Original-language wording.</w:t>
      </w:r>
    </w:p>
    <w:p>
      <w:pPr>
        <w:pStyle w:val="Compact"/>
        <w:numPr>
          <w:ilvl w:val="0"/>
          <w:numId w:val="1014"/>
        </w:numPr>
      </w:pPr>
      <w:r>
        <w:t xml:space="preserve">Immediate context.</w:t>
      </w:r>
    </w:p>
    <w:p>
      <w:pPr>
        <w:pStyle w:val="Compact"/>
        <w:numPr>
          <w:ilvl w:val="0"/>
          <w:numId w:val="1014"/>
        </w:numPr>
      </w:pPr>
      <w:r>
        <w:t xml:space="preserve">Broader textual context.</w:t>
      </w:r>
    </w:p>
    <w:p>
      <w:pPr>
        <w:pStyle w:val="Compact"/>
        <w:numPr>
          <w:ilvl w:val="0"/>
          <w:numId w:val="1014"/>
        </w:numPr>
      </w:pPr>
      <w:r>
        <w:t xml:space="preserve">Whether the passages address the same issue.</w:t>
      </w:r>
    </w:p>
    <w:p>
      <w:pPr>
        <w:pStyle w:val="Compact"/>
        <w:numPr>
          <w:ilvl w:val="0"/>
          <w:numId w:val="1014"/>
        </w:numPr>
      </w:pPr>
      <w:r>
        <w:t xml:space="preserve">Translation differences.</w:t>
      </w:r>
    </w:p>
    <w:p>
      <w:pPr>
        <w:pStyle w:val="Compact"/>
        <w:numPr>
          <w:ilvl w:val="0"/>
          <w:numId w:val="1014"/>
        </w:numPr>
      </w:pPr>
      <w:r>
        <w:t xml:space="preserve">Semantic range.</w:t>
      </w:r>
    </w:p>
    <w:p>
      <w:pPr>
        <w:pStyle w:val="Compact"/>
        <w:numPr>
          <w:ilvl w:val="0"/>
          <w:numId w:val="1014"/>
        </w:numPr>
      </w:pPr>
      <w:r>
        <w:t xml:space="preserve">Historical context.</w:t>
      </w:r>
    </w:p>
    <w:p>
      <w:pPr>
        <w:pStyle w:val="Compact"/>
        <w:numPr>
          <w:ilvl w:val="0"/>
          <w:numId w:val="1014"/>
        </w:numPr>
      </w:pPr>
      <w:r>
        <w:t xml:space="preserve">Cultural context.</w:t>
      </w:r>
    </w:p>
    <w:p>
      <w:pPr>
        <w:pStyle w:val="Compact"/>
        <w:numPr>
          <w:ilvl w:val="0"/>
          <w:numId w:val="1014"/>
        </w:numPr>
      </w:pPr>
      <w:r>
        <w:t xml:space="preserve">Chronology.</w:t>
      </w:r>
    </w:p>
    <w:p>
      <w:pPr>
        <w:pStyle w:val="Compact"/>
        <w:numPr>
          <w:ilvl w:val="0"/>
          <w:numId w:val="1014"/>
        </w:numPr>
      </w:pPr>
      <w:r>
        <w:t xml:space="preserve">Genre and rhetorical purpose.</w:t>
      </w:r>
    </w:p>
    <w:p>
      <w:pPr>
        <w:pStyle w:val="Compact"/>
        <w:numPr>
          <w:ilvl w:val="0"/>
          <w:numId w:val="1014"/>
        </w:numPr>
      </w:pPr>
      <w:r>
        <w:t xml:space="preserve">Reasonable Muslim interpretation.</w:t>
      </w:r>
    </w:p>
    <w:p>
      <w:pPr>
        <w:pStyle w:val="Compact"/>
        <w:numPr>
          <w:ilvl w:val="0"/>
          <w:numId w:val="1014"/>
        </w:numPr>
      </w:pPr>
      <w:r>
        <w:t xml:space="preserve">Reasonable Christian/Jewish interpretation where applicable.</w:t>
      </w:r>
    </w:p>
    <w:p>
      <w:pPr>
        <w:pStyle w:val="Compact"/>
        <w:numPr>
          <w:ilvl w:val="0"/>
          <w:numId w:val="1014"/>
        </w:numPr>
      </w:pPr>
      <w:r>
        <w:t xml:space="preserve">Relevant historical evidence.</w:t>
      </w:r>
    </w:p>
    <w:p>
      <w:pPr>
        <w:pStyle w:val="FirstParagraph"/>
      </w:pPr>
      <w:r>
        <w:t xml:space="preserve">Only after these possibilities have been investigated may a finding become a</w:t>
      </w:r>
      <w:r>
        <w:t xml:space="preserve"> </w:t>
      </w:r>
      <w:r>
        <w:rPr>
          <w:b/>
          <w:bCs/>
        </w:rPr>
        <w:t xml:space="preserve">Direct Contradiction</w:t>
      </w:r>
      <w:r>
        <w:t xml:space="preserve">.</w:t>
      </w:r>
    </w:p>
    <w:p>
      <w:pPr>
        <w:pStyle w:val="BodyText"/>
      </w:pPr>
      <w:r>
        <w:t xml:space="preserve">The standard must operate equally in both directions.</w:t>
      </w:r>
    </w:p>
    <w:p>
      <w:r>
        <w:pict>
          <v:rect style="width:0;height:1.5pt" o:hralign="center" o:hrstd="t" o:hr="t"/>
        </w:pict>
      </w:r>
    </w:p>
    <w:bookmarkEnd w:id="48"/>
    <w:bookmarkStart w:id="49" w:name="x.-internal-quranic-comparison"/>
    <w:p>
      <w:pPr>
        <w:pStyle w:val="Heading1"/>
      </w:pPr>
      <w:r>
        <w:t xml:space="preserve">X. INTERNAL QURANIC COMPARISON</w:t>
      </w:r>
    </w:p>
    <w:p>
      <w:pPr>
        <w:pStyle w:val="FirstParagraph"/>
      </w:pPr>
      <w:r>
        <w:t xml:space="preserve">The Quran will continually be compared with itself.</w:t>
      </w:r>
    </w:p>
    <w:p>
      <w:pPr>
        <w:pStyle w:val="BodyText"/>
      </w:pPr>
      <w:r>
        <w:t xml:space="preserve">Research will identify:</w:t>
      </w:r>
    </w:p>
    <w:p>
      <w:pPr>
        <w:pStyle w:val="Compact"/>
        <w:numPr>
          <w:ilvl w:val="0"/>
          <w:numId w:val="1015"/>
        </w:numPr>
      </w:pPr>
      <w:r>
        <w:t xml:space="preserve">repeated narratives;</w:t>
      </w:r>
    </w:p>
    <w:p>
      <w:pPr>
        <w:pStyle w:val="Compact"/>
        <w:numPr>
          <w:ilvl w:val="0"/>
          <w:numId w:val="1015"/>
        </w:numPr>
      </w:pPr>
      <w:r>
        <w:t xml:space="preserve">repeated phrases;</w:t>
      </w:r>
    </w:p>
    <w:p>
      <w:pPr>
        <w:pStyle w:val="Compact"/>
        <w:numPr>
          <w:ilvl w:val="0"/>
          <w:numId w:val="1015"/>
        </w:numPr>
      </w:pPr>
      <w:r>
        <w:t xml:space="preserve">thematic development;</w:t>
      </w:r>
    </w:p>
    <w:p>
      <w:pPr>
        <w:pStyle w:val="Compact"/>
        <w:numPr>
          <w:ilvl w:val="0"/>
          <w:numId w:val="1015"/>
        </w:numPr>
      </w:pPr>
      <w:r>
        <w:t xml:space="preserve">different presentations of events;</w:t>
      </w:r>
    </w:p>
    <w:p>
      <w:pPr>
        <w:pStyle w:val="Compact"/>
        <w:numPr>
          <w:ilvl w:val="0"/>
          <w:numId w:val="1015"/>
        </w:numPr>
      </w:pPr>
      <w:r>
        <w:t xml:space="preserve">theological patterns;</w:t>
      </w:r>
    </w:p>
    <w:p>
      <w:pPr>
        <w:pStyle w:val="Compact"/>
        <w:numPr>
          <w:ilvl w:val="0"/>
          <w:numId w:val="1015"/>
        </w:numPr>
      </w:pPr>
      <w:r>
        <w:t xml:space="preserve">legal developments;</w:t>
      </w:r>
    </w:p>
    <w:p>
      <w:pPr>
        <w:pStyle w:val="Compact"/>
        <w:numPr>
          <w:ilvl w:val="0"/>
          <w:numId w:val="1015"/>
        </w:numPr>
      </w:pPr>
      <w:r>
        <w:t xml:space="preserve">apparent tensions;</w:t>
      </w:r>
    </w:p>
    <w:p>
      <w:pPr>
        <w:pStyle w:val="Compact"/>
        <w:numPr>
          <w:ilvl w:val="0"/>
          <w:numId w:val="1015"/>
        </w:numPr>
      </w:pPr>
      <w:r>
        <w:t xml:space="preserve">and possible abrogation.</w:t>
      </w:r>
    </w:p>
    <w:p>
      <w:r>
        <w:pict>
          <v:rect style="width:0;height:1.5pt" o:hralign="center" o:hrstd="t" o:hr="t"/>
        </w:pict>
      </w:r>
    </w:p>
    <w:bookmarkEnd w:id="49"/>
    <w:bookmarkStart w:id="50" w:name="xi.-internal-tension-register"/>
    <w:p>
      <w:pPr>
        <w:pStyle w:val="Heading1"/>
      </w:pPr>
      <w:r>
        <w:t xml:space="preserve">XI. INTERNAL TENSION REGISTER</w:t>
      </w:r>
    </w:p>
    <w:p>
      <w:pPr>
        <w:pStyle w:val="FirstParagraph"/>
      </w:pPr>
      <w:r>
        <w:t xml:space="preserve">Potential Quran-vs-Quran tensions receive permanent identifiers:</w:t>
      </w:r>
    </w:p>
    <w:p>
      <w:pPr>
        <w:pStyle w:val="BodyText"/>
      </w:pPr>
      <w:r>
        <w:rPr>
          <w:b/>
          <w:bCs/>
        </w:rPr>
        <w:t xml:space="preserve">QI-0001, QI-0002, QI-0003…</w:t>
      </w:r>
    </w:p>
    <w:p>
      <w:pPr>
        <w:pStyle w:val="BodyText"/>
      </w:pPr>
      <w:r>
        <w:t xml:space="preserve">A QI record begins as an</w:t>
      </w:r>
      <w:r>
        <w:t xml:space="preserve"> </w:t>
      </w:r>
      <w:r>
        <w:rPr>
          <w:b/>
          <w:bCs/>
        </w:rPr>
        <w:t xml:space="preserve">apparent tension</w:t>
      </w:r>
      <w:r>
        <w:t xml:space="preserve">, not a contradiction.</w:t>
      </w:r>
    </w:p>
    <w:p>
      <w:pPr>
        <w:pStyle w:val="BodyText"/>
      </w:pPr>
      <w:r>
        <w:t xml:space="preserve">Each record should investigate:</w:t>
      </w:r>
    </w:p>
    <w:p>
      <w:pPr>
        <w:pStyle w:val="Compact"/>
        <w:numPr>
          <w:ilvl w:val="0"/>
          <w:numId w:val="1016"/>
        </w:numPr>
      </w:pPr>
      <w:r>
        <w:t xml:space="preserve">relevant passages;</w:t>
      </w:r>
    </w:p>
    <w:p>
      <w:pPr>
        <w:pStyle w:val="Compact"/>
        <w:numPr>
          <w:ilvl w:val="0"/>
          <w:numId w:val="1016"/>
        </w:numPr>
      </w:pPr>
      <w:r>
        <w:t xml:space="preserve">Arabic wording;</w:t>
      </w:r>
    </w:p>
    <w:p>
      <w:pPr>
        <w:pStyle w:val="Compact"/>
        <w:numPr>
          <w:ilvl w:val="0"/>
          <w:numId w:val="1016"/>
        </w:numPr>
      </w:pPr>
      <w:r>
        <w:t xml:space="preserve">contexts;</w:t>
      </w:r>
    </w:p>
    <w:p>
      <w:pPr>
        <w:pStyle w:val="Compact"/>
        <w:numPr>
          <w:ilvl w:val="0"/>
          <w:numId w:val="1016"/>
        </w:numPr>
      </w:pPr>
      <w:r>
        <w:t xml:space="preserve">probable chronology;</w:t>
      </w:r>
    </w:p>
    <w:p>
      <w:pPr>
        <w:pStyle w:val="Compact"/>
        <w:numPr>
          <w:ilvl w:val="0"/>
          <w:numId w:val="1016"/>
        </w:numPr>
      </w:pPr>
      <w:r>
        <w:t xml:space="preserve">translation;</w:t>
      </w:r>
    </w:p>
    <w:p>
      <w:pPr>
        <w:pStyle w:val="Compact"/>
        <w:numPr>
          <w:ilvl w:val="0"/>
          <w:numId w:val="1016"/>
        </w:numPr>
      </w:pPr>
      <w:r>
        <w:t xml:space="preserve">traditional explanations;</w:t>
      </w:r>
    </w:p>
    <w:p>
      <w:pPr>
        <w:pStyle w:val="Compact"/>
        <w:numPr>
          <w:ilvl w:val="0"/>
          <w:numId w:val="1016"/>
        </w:numPr>
      </w:pPr>
      <w:r>
        <w:t xml:space="preserve">abrogation arguments where relevant;</w:t>
      </w:r>
    </w:p>
    <w:p>
      <w:pPr>
        <w:pStyle w:val="Compact"/>
        <w:numPr>
          <w:ilvl w:val="0"/>
          <w:numId w:val="1016"/>
        </w:numPr>
      </w:pPr>
      <w:r>
        <w:t xml:space="preserve">alternative interpretations;</w:t>
      </w:r>
    </w:p>
    <w:p>
      <w:pPr>
        <w:pStyle w:val="Compact"/>
        <w:numPr>
          <w:ilvl w:val="0"/>
          <w:numId w:val="1016"/>
        </w:numPr>
      </w:pPr>
      <w:r>
        <w:t xml:space="preserve">and final assessment.</w:t>
      </w:r>
    </w:p>
    <w:p>
      <w:pPr>
        <w:pStyle w:val="FirstParagraph"/>
      </w:pPr>
      <w:r>
        <w:t xml:space="preserve">Possible final classifications include:</w:t>
      </w:r>
    </w:p>
    <w:p>
      <w:pPr>
        <w:pStyle w:val="Compact"/>
        <w:numPr>
          <w:ilvl w:val="0"/>
          <w:numId w:val="1017"/>
        </w:numPr>
      </w:pPr>
      <w:r>
        <w:t xml:space="preserve">harmonized;</w:t>
      </w:r>
    </w:p>
    <w:p>
      <w:pPr>
        <w:pStyle w:val="Compact"/>
        <w:numPr>
          <w:ilvl w:val="0"/>
          <w:numId w:val="1017"/>
        </w:numPr>
      </w:pPr>
      <w:r>
        <w:t xml:space="preserve">complementary;</w:t>
      </w:r>
    </w:p>
    <w:p>
      <w:pPr>
        <w:pStyle w:val="Compact"/>
        <w:numPr>
          <w:ilvl w:val="0"/>
          <w:numId w:val="1017"/>
        </w:numPr>
      </w:pPr>
      <w:r>
        <w:t xml:space="preserve">development;</w:t>
      </w:r>
    </w:p>
    <w:p>
      <w:pPr>
        <w:pStyle w:val="Compact"/>
        <w:numPr>
          <w:ilvl w:val="0"/>
          <w:numId w:val="1017"/>
        </w:numPr>
      </w:pPr>
      <w:r>
        <w:t xml:space="preserve">abrogation-related;</w:t>
      </w:r>
    </w:p>
    <w:p>
      <w:pPr>
        <w:pStyle w:val="Compact"/>
        <w:numPr>
          <w:ilvl w:val="0"/>
          <w:numId w:val="1017"/>
        </w:numPr>
      </w:pPr>
      <w:r>
        <w:t xml:space="preserve">unresolved;</w:t>
      </w:r>
    </w:p>
    <w:p>
      <w:pPr>
        <w:pStyle w:val="Compact"/>
        <w:numPr>
          <w:ilvl w:val="0"/>
          <w:numId w:val="1017"/>
        </w:numPr>
      </w:pPr>
      <w:r>
        <w:t xml:space="preserve">apparent contradiction;</w:t>
      </w:r>
    </w:p>
    <w:p>
      <w:pPr>
        <w:pStyle w:val="Compact"/>
        <w:numPr>
          <w:ilvl w:val="0"/>
          <w:numId w:val="1017"/>
        </w:numPr>
      </w:pPr>
      <w:r>
        <w:t xml:space="preserve">or direct internal contradiction.</w:t>
      </w:r>
    </w:p>
    <w:p>
      <w:r>
        <w:pict>
          <v:rect style="width:0;height:1.5pt" o:hralign="center" o:hrstd="t" o:hr="t"/>
        </w:pict>
      </w:r>
    </w:p>
    <w:bookmarkEnd w:id="50"/>
    <w:bookmarkStart w:id="51" w:name="xii.-chronology"/>
    <w:p>
      <w:pPr>
        <w:pStyle w:val="Heading1"/>
      </w:pPr>
      <w:r>
        <w:t xml:space="preserve">XII. CHRONOLOGY</w:t>
      </w:r>
    </w:p>
    <w:p>
      <w:pPr>
        <w:pStyle w:val="FirstParagraph"/>
      </w:pPr>
      <w:r>
        <w:t xml:space="preserve">Primary research will proceed in</w:t>
      </w:r>
      <w:r>
        <w:t xml:space="preserve"> </w:t>
      </w:r>
      <w:r>
        <w:rPr>
          <w:b/>
          <w:bCs/>
        </w:rPr>
        <w:t xml:space="preserve">canonical Quran order: Surah 1 through Surah 114</w:t>
      </w:r>
      <w:r>
        <w:t xml:space="preserve">.</w:t>
      </w:r>
    </w:p>
    <w:p>
      <w:pPr>
        <w:pStyle w:val="BodyText"/>
      </w:pPr>
      <w:r>
        <w:t xml:space="preserve">Probable revelation chronology will simultaneously be recorded as metadata.</w:t>
      </w:r>
    </w:p>
    <w:p>
      <w:pPr>
        <w:pStyle w:val="BodyText"/>
      </w:pPr>
      <w:r>
        <w:t xml:space="preserve">Relevant passages should be classified where supportable as:</w:t>
      </w:r>
    </w:p>
    <w:p>
      <w:pPr>
        <w:pStyle w:val="Compact"/>
        <w:numPr>
          <w:ilvl w:val="0"/>
          <w:numId w:val="1018"/>
        </w:numPr>
      </w:pPr>
      <w:r>
        <w:t xml:space="preserve">Meccan;</w:t>
      </w:r>
    </w:p>
    <w:p>
      <w:pPr>
        <w:pStyle w:val="Compact"/>
        <w:numPr>
          <w:ilvl w:val="0"/>
          <w:numId w:val="1018"/>
        </w:numPr>
      </w:pPr>
      <w:r>
        <w:t xml:space="preserve">Medinan;</w:t>
      </w:r>
    </w:p>
    <w:p>
      <w:pPr>
        <w:pStyle w:val="Compact"/>
        <w:numPr>
          <w:ilvl w:val="0"/>
          <w:numId w:val="1018"/>
        </w:numPr>
      </w:pPr>
      <w:r>
        <w:t xml:space="preserve">disputed;</w:t>
      </w:r>
    </w:p>
    <w:p>
      <w:pPr>
        <w:pStyle w:val="Compact"/>
        <w:numPr>
          <w:ilvl w:val="0"/>
          <w:numId w:val="1018"/>
        </w:numPr>
      </w:pPr>
      <w:r>
        <w:t xml:space="preserve">or uncertain.</w:t>
      </w:r>
    </w:p>
    <w:p>
      <w:pPr>
        <w:pStyle w:val="FirstParagraph"/>
      </w:pPr>
      <w:r>
        <w:t xml:space="preserve">Chronological claims must state their degree of certainty.</w:t>
      </w:r>
    </w:p>
    <w:p>
      <w:pPr>
        <w:pStyle w:val="BodyText"/>
      </w:pPr>
      <w:r>
        <w:t xml:space="preserve">After canonical research is completed, the accumulated evidence may be reconstructed chronologically to examine theological, legal, and rhetorical development.</w:t>
      </w:r>
    </w:p>
    <w:p>
      <w:r>
        <w:pict>
          <v:rect style="width:0;height:1.5pt" o:hralign="center" o:hrstd="t" o:hr="t"/>
        </w:pict>
      </w:r>
    </w:p>
    <w:bookmarkEnd w:id="51"/>
    <w:bookmarkStart w:id="52" w:name="xiii.-abrogation"/>
    <w:p>
      <w:pPr>
        <w:pStyle w:val="Heading1"/>
      </w:pPr>
      <w:r>
        <w:t xml:space="preserve">XIII. ABROGATION</w:t>
      </w:r>
    </w:p>
    <w:p>
      <w:pPr>
        <w:pStyle w:val="FirstParagraph"/>
      </w:pPr>
      <w:r>
        <w:t xml:space="preserve">The Islamic concept of</w:t>
      </w:r>
      <w:r>
        <w:t xml:space="preserve"> </w:t>
      </w:r>
      <w:r>
        <w:rPr>
          <w:b/>
          <w:bCs/>
        </w:rPr>
        <w:t xml:space="preserve">naskh</w:t>
      </w:r>
      <w:r>
        <w:t xml:space="preserve"> </w:t>
      </w:r>
      <w:r>
        <w:t xml:space="preserve">will receive a dedicated research track.</w:t>
      </w:r>
    </w:p>
    <w:p>
      <w:pPr>
        <w:pStyle w:val="BodyText"/>
      </w:pPr>
      <w:r>
        <w:t xml:space="preserve">Investigate:</w:t>
      </w:r>
    </w:p>
    <w:p>
      <w:pPr>
        <w:pStyle w:val="Compact"/>
        <w:numPr>
          <w:ilvl w:val="0"/>
          <w:numId w:val="1019"/>
        </w:numPr>
      </w:pPr>
      <w:r>
        <w:t xml:space="preserve">whether the Quran teaches abrogation;</w:t>
      </w:r>
    </w:p>
    <w:p>
      <w:pPr>
        <w:pStyle w:val="Compact"/>
        <w:numPr>
          <w:ilvl w:val="0"/>
          <w:numId w:val="1019"/>
        </w:numPr>
      </w:pPr>
      <w:r>
        <w:t xml:space="preserve">relevant Arabic terminology;</w:t>
      </w:r>
    </w:p>
    <w:p>
      <w:pPr>
        <w:pStyle w:val="Compact"/>
        <w:numPr>
          <w:ilvl w:val="0"/>
          <w:numId w:val="1019"/>
        </w:numPr>
      </w:pPr>
      <w:r>
        <w:t xml:space="preserve">passages traditionally used as evidence;</w:t>
      </w:r>
    </w:p>
    <w:p>
      <w:pPr>
        <w:pStyle w:val="Compact"/>
        <w:numPr>
          <w:ilvl w:val="0"/>
          <w:numId w:val="1019"/>
        </w:numPr>
      </w:pPr>
      <w:r>
        <w:t xml:space="preserve">historically proposed abrogated passages;</w:t>
      </w:r>
    </w:p>
    <w:p>
      <w:pPr>
        <w:pStyle w:val="Compact"/>
        <w:numPr>
          <w:ilvl w:val="0"/>
          <w:numId w:val="1019"/>
        </w:numPr>
      </w:pPr>
      <w:r>
        <w:t xml:space="preserve">competing Islamic interpretations;</w:t>
      </w:r>
    </w:p>
    <w:p>
      <w:pPr>
        <w:pStyle w:val="Compact"/>
        <w:numPr>
          <w:ilvl w:val="0"/>
          <w:numId w:val="1019"/>
        </w:numPr>
      </w:pPr>
      <w:r>
        <w:t xml:space="preserve">chronological relationships;</w:t>
      </w:r>
    </w:p>
    <w:p>
      <w:pPr>
        <w:pStyle w:val="Compact"/>
        <w:numPr>
          <w:ilvl w:val="0"/>
          <w:numId w:val="1019"/>
        </w:numPr>
      </w:pPr>
      <w:r>
        <w:t xml:space="preserve">and implications for Quranic interpretation.</w:t>
      </w:r>
    </w:p>
    <w:p>
      <w:pPr>
        <w:pStyle w:val="FirstParagraph"/>
      </w:pPr>
      <w:r>
        <w:t xml:space="preserve">Later theories must not automatically be attributed to the Quran.</w:t>
      </w:r>
    </w:p>
    <w:p>
      <w:r>
        <w:pict>
          <v:rect style="width:0;height:1.5pt" o:hralign="center" o:hrstd="t" o:hr="t"/>
        </w:pict>
      </w:r>
    </w:p>
    <w:bookmarkEnd w:id="52"/>
    <w:bookmarkStart w:id="53" w:name="xiv.-parallel-translation-matrix"/>
    <w:p>
      <w:pPr>
        <w:pStyle w:val="Heading1"/>
      </w:pPr>
      <w:r>
        <w:t xml:space="preserve">XIV. PARALLEL TRANSLATION MATRIX</w:t>
      </w:r>
    </w:p>
    <w:p>
      <w:pPr>
        <w:pStyle w:val="FirstParagraph"/>
      </w:pPr>
      <w:r>
        <w:t xml:space="preserve">Whenever translation materially affects meaning, a Parallel Translation Matrix will be created.</w:t>
      </w:r>
    </w:p>
    <w:p>
      <w:pPr>
        <w:pStyle w:val="BodyText"/>
      </w:pPr>
      <w:r>
        <w:t xml:space="preserve">It should include representative translations sufficient to expose meaningful differences.</w:t>
      </w:r>
    </w:p>
    <w:p>
      <w:pPr>
        <w:pStyle w:val="BodyText"/>
      </w:pPr>
      <w:r>
        <w:t xml:space="preserve">Research then returns to the Arabic text to determine why translations differ.</w:t>
      </w:r>
    </w:p>
    <w:p>
      <w:pPr>
        <w:pStyle w:val="BodyText"/>
      </w:pPr>
      <w:r>
        <w:t xml:space="preserve">Translation selection must never be manipulated to favor a predetermined conclusion.</w:t>
      </w:r>
    </w:p>
    <w:p>
      <w:pPr>
        <w:pStyle w:val="BodyText"/>
      </w:pPr>
      <w:r>
        <w:t xml:space="preserve">Significant translation differences become part of the permanent research record.</w:t>
      </w:r>
    </w:p>
    <w:p>
      <w:r>
        <w:pict>
          <v:rect style="width:0;height:1.5pt" o:hralign="center" o:hrstd="t" o:hr="t"/>
        </w:pict>
      </w:r>
    </w:p>
    <w:bookmarkEnd w:id="53"/>
    <w:bookmarkStart w:id="54" w:name="xv.-quran-research-dictionary"/>
    <w:p>
      <w:pPr>
        <w:pStyle w:val="Heading1"/>
      </w:pPr>
      <w:r>
        <w:t xml:space="preserve">XV. QURAN RESEARCH DICTIONARY</w:t>
      </w:r>
    </w:p>
    <w:p>
      <w:pPr>
        <w:pStyle w:val="FirstParagraph"/>
      </w:pPr>
      <w:r>
        <w:t xml:space="preserve">A cumulative Arabic research dictionary will be maintained.</w:t>
      </w:r>
    </w:p>
    <w:p>
      <w:pPr>
        <w:pStyle w:val="BodyText"/>
      </w:pPr>
      <w:r>
        <w:t xml:space="preserve">Entries should contain where relevant:</w:t>
      </w:r>
    </w:p>
    <w:p>
      <w:pPr>
        <w:pStyle w:val="Compact"/>
        <w:numPr>
          <w:ilvl w:val="0"/>
          <w:numId w:val="1020"/>
        </w:numPr>
      </w:pPr>
      <w:r>
        <w:t xml:space="preserve">Arabic spelling;</w:t>
      </w:r>
    </w:p>
    <w:p>
      <w:pPr>
        <w:pStyle w:val="Compact"/>
        <w:numPr>
          <w:ilvl w:val="0"/>
          <w:numId w:val="1020"/>
        </w:numPr>
      </w:pPr>
      <w:r>
        <w:t xml:space="preserve">transliteration;</w:t>
      </w:r>
    </w:p>
    <w:p>
      <w:pPr>
        <w:pStyle w:val="Compact"/>
        <w:numPr>
          <w:ilvl w:val="0"/>
          <w:numId w:val="1020"/>
        </w:numPr>
      </w:pPr>
      <w:r>
        <w:t xml:space="preserve">root;</w:t>
      </w:r>
    </w:p>
    <w:p>
      <w:pPr>
        <w:pStyle w:val="Compact"/>
        <w:numPr>
          <w:ilvl w:val="0"/>
          <w:numId w:val="1020"/>
        </w:numPr>
      </w:pPr>
      <w:r>
        <w:t xml:space="preserve">morphology;</w:t>
      </w:r>
    </w:p>
    <w:p>
      <w:pPr>
        <w:pStyle w:val="Compact"/>
        <w:numPr>
          <w:ilvl w:val="0"/>
          <w:numId w:val="1020"/>
        </w:numPr>
      </w:pPr>
      <w:r>
        <w:t xml:space="preserve">basic meaning;</w:t>
      </w:r>
    </w:p>
    <w:p>
      <w:pPr>
        <w:pStyle w:val="Compact"/>
        <w:numPr>
          <w:ilvl w:val="0"/>
          <w:numId w:val="1020"/>
        </w:numPr>
      </w:pPr>
      <w:r>
        <w:t xml:space="preserve">semantic range;</w:t>
      </w:r>
    </w:p>
    <w:p>
      <w:pPr>
        <w:pStyle w:val="Compact"/>
        <w:numPr>
          <w:ilvl w:val="0"/>
          <w:numId w:val="1020"/>
        </w:numPr>
      </w:pPr>
      <w:r>
        <w:t xml:space="preserve">Quranic occurrences;</w:t>
      </w:r>
    </w:p>
    <w:p>
      <w:pPr>
        <w:pStyle w:val="Compact"/>
        <w:numPr>
          <w:ilvl w:val="0"/>
          <w:numId w:val="1020"/>
        </w:numPr>
      </w:pPr>
      <w:r>
        <w:t xml:space="preserve">contextual usage;</w:t>
      </w:r>
    </w:p>
    <w:p>
      <w:pPr>
        <w:pStyle w:val="Compact"/>
        <w:numPr>
          <w:ilvl w:val="0"/>
          <w:numId w:val="1020"/>
        </w:numPr>
      </w:pPr>
      <w:r>
        <w:t xml:space="preserve">significant translation differences;</w:t>
      </w:r>
    </w:p>
    <w:p>
      <w:pPr>
        <w:pStyle w:val="Compact"/>
        <w:numPr>
          <w:ilvl w:val="0"/>
          <w:numId w:val="1020"/>
        </w:numPr>
      </w:pPr>
      <w:r>
        <w:t xml:space="preserve">theological importance;</w:t>
      </w:r>
    </w:p>
    <w:p>
      <w:pPr>
        <w:pStyle w:val="Compact"/>
        <w:numPr>
          <w:ilvl w:val="0"/>
          <w:numId w:val="1020"/>
        </w:numPr>
      </w:pPr>
      <w:r>
        <w:t xml:space="preserve">related Hebrew/Greek terms when genuinely comparable;</w:t>
      </w:r>
    </w:p>
    <w:p>
      <w:pPr>
        <w:pStyle w:val="Compact"/>
        <w:numPr>
          <w:ilvl w:val="0"/>
          <w:numId w:val="1020"/>
        </w:numPr>
      </w:pPr>
      <w:r>
        <w:t xml:space="preserve">discovery relationships;</w:t>
      </w:r>
    </w:p>
    <w:p>
      <w:pPr>
        <w:pStyle w:val="Compact"/>
        <w:numPr>
          <w:ilvl w:val="0"/>
          <w:numId w:val="1020"/>
        </w:numPr>
      </w:pPr>
      <w:r>
        <w:t xml:space="preserve">and cross-references.</w:t>
      </w:r>
    </w:p>
    <w:p>
      <w:pPr>
        <w:pStyle w:val="FirstParagraph"/>
      </w:pPr>
      <w:r>
        <w:t xml:space="preserve">Definitions must emerge from evidence rather than modern assumptions.</w:t>
      </w:r>
    </w:p>
    <w:p>
      <w:r>
        <w:pict>
          <v:rect style="width:0;height:1.5pt" o:hralign="center" o:hrstd="t" o:hr="t"/>
        </w:pict>
      </w:r>
    </w:p>
    <w:bookmarkEnd w:id="54"/>
    <w:bookmarkStart w:id="55" w:name="xvi.-narrative-sourceparallel-tracker"/>
    <w:p>
      <w:pPr>
        <w:pStyle w:val="Heading1"/>
      </w:pPr>
      <w:r>
        <w:t xml:space="preserve">XVI. NARRATIVE SOURCE/PARALLEL TRACKER</w:t>
      </w:r>
    </w:p>
    <w:p>
      <w:pPr>
        <w:pStyle w:val="FirstParagraph"/>
      </w:pPr>
      <w:r>
        <w:t xml:space="preserve">Whenever a Quranic narrative parallels material found elsewhere, relevant earlier or contemporary sources may be investigated.</w:t>
      </w:r>
    </w:p>
    <w:p>
      <w:pPr>
        <w:pStyle w:val="BodyText"/>
      </w:pPr>
      <w:r>
        <w:t xml:space="preserve">Potential sources include:</w:t>
      </w:r>
    </w:p>
    <w:p>
      <w:pPr>
        <w:pStyle w:val="Compact"/>
        <w:numPr>
          <w:ilvl w:val="0"/>
          <w:numId w:val="1021"/>
        </w:numPr>
      </w:pPr>
      <w:r>
        <w:t xml:space="preserve">Hebrew Bible;</w:t>
      </w:r>
    </w:p>
    <w:p>
      <w:pPr>
        <w:pStyle w:val="Compact"/>
        <w:numPr>
          <w:ilvl w:val="0"/>
          <w:numId w:val="1021"/>
        </w:numPr>
      </w:pPr>
      <w:r>
        <w:t xml:space="preserve">New Testament;</w:t>
      </w:r>
    </w:p>
    <w:p>
      <w:pPr>
        <w:pStyle w:val="Compact"/>
        <w:numPr>
          <w:ilvl w:val="0"/>
          <w:numId w:val="1021"/>
        </w:numPr>
      </w:pPr>
      <w:r>
        <w:t xml:space="preserve">Jewish interpretive traditions;</w:t>
      </w:r>
    </w:p>
    <w:p>
      <w:pPr>
        <w:pStyle w:val="Compact"/>
        <w:numPr>
          <w:ilvl w:val="0"/>
          <w:numId w:val="1021"/>
        </w:numPr>
      </w:pPr>
      <w:r>
        <w:t xml:space="preserve">rabbinic literature;</w:t>
      </w:r>
    </w:p>
    <w:p>
      <w:pPr>
        <w:pStyle w:val="Compact"/>
        <w:numPr>
          <w:ilvl w:val="0"/>
          <w:numId w:val="1021"/>
        </w:numPr>
      </w:pPr>
      <w:r>
        <w:t xml:space="preserve">Christian apocrypha;</w:t>
      </w:r>
    </w:p>
    <w:p>
      <w:pPr>
        <w:pStyle w:val="Compact"/>
        <w:numPr>
          <w:ilvl w:val="0"/>
          <w:numId w:val="1021"/>
        </w:numPr>
      </w:pPr>
      <w:r>
        <w:t xml:space="preserve">Syriac Christian literature;</w:t>
      </w:r>
    </w:p>
    <w:p>
      <w:pPr>
        <w:pStyle w:val="Compact"/>
        <w:numPr>
          <w:ilvl w:val="0"/>
          <w:numId w:val="1021"/>
        </w:numPr>
      </w:pPr>
      <w:r>
        <w:t xml:space="preserve">late-antique traditions;</w:t>
      </w:r>
    </w:p>
    <w:p>
      <w:pPr>
        <w:pStyle w:val="Compact"/>
        <w:numPr>
          <w:ilvl w:val="0"/>
          <w:numId w:val="1021"/>
        </w:numPr>
      </w:pPr>
      <w:r>
        <w:t xml:space="preserve">Arabian traditions;</w:t>
      </w:r>
    </w:p>
    <w:p>
      <w:pPr>
        <w:pStyle w:val="Compact"/>
        <w:numPr>
          <w:ilvl w:val="0"/>
          <w:numId w:val="1021"/>
        </w:numPr>
      </w:pPr>
      <w:r>
        <w:t xml:space="preserve">and other historically relevant material.</w:t>
      </w:r>
    </w:p>
    <w:p>
      <w:pPr>
        <w:pStyle w:val="FirstParagraph"/>
      </w:pPr>
      <w:r>
        <w:t xml:space="preserve">Similarity alone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demonstrate borrowing.</w:t>
      </w:r>
    </w:p>
    <w:p>
      <w:pPr>
        <w:pStyle w:val="BodyText"/>
      </w:pPr>
      <w:r>
        <w:t xml:space="preserve">Historical dependency requires evidence.</w:t>
      </w:r>
    </w:p>
    <w:p>
      <w:pPr>
        <w:pStyle w:val="BodyText"/>
      </w:pPr>
      <w:r>
        <w:t xml:space="preserve">Each finding must distinguish:</w:t>
      </w:r>
    </w:p>
    <w:p>
      <w:pPr>
        <w:pStyle w:val="Compact"/>
        <w:numPr>
          <w:ilvl w:val="0"/>
          <w:numId w:val="1022"/>
        </w:numPr>
      </w:pPr>
      <w:r>
        <w:t xml:space="preserve">similarity;</w:t>
      </w:r>
    </w:p>
    <w:p>
      <w:pPr>
        <w:pStyle w:val="Compact"/>
        <w:numPr>
          <w:ilvl w:val="0"/>
          <w:numId w:val="1022"/>
        </w:numPr>
      </w:pPr>
      <w:r>
        <w:t xml:space="preserve">possible relationship;</w:t>
      </w:r>
    </w:p>
    <w:p>
      <w:pPr>
        <w:pStyle w:val="Compact"/>
        <w:numPr>
          <w:ilvl w:val="0"/>
          <w:numId w:val="1022"/>
        </w:numPr>
      </w:pPr>
      <w:r>
        <w:t xml:space="preserve">probable relationship;</w:t>
      </w:r>
    </w:p>
    <w:p>
      <w:pPr>
        <w:pStyle w:val="Compact"/>
        <w:numPr>
          <w:ilvl w:val="0"/>
          <w:numId w:val="1022"/>
        </w:numPr>
      </w:pPr>
      <w:r>
        <w:t xml:space="preserve">and demonstrable dependency.</w:t>
      </w:r>
    </w:p>
    <w:p>
      <w:r>
        <w:pict>
          <v:rect style="width:0;height:1.5pt" o:hralign="center" o:hrstd="t" o:hr="t"/>
        </w:pict>
      </w:r>
    </w:p>
    <w:bookmarkEnd w:id="55"/>
    <w:bookmarkStart w:id="56" w:name="xvii.-historical-context"/>
    <w:p>
      <w:pPr>
        <w:pStyle w:val="Heading1"/>
      </w:pPr>
      <w:r>
        <w:t xml:space="preserve">XVII. HISTORICAL CONTEXT</w:t>
      </w:r>
    </w:p>
    <w:p>
      <w:pPr>
        <w:pStyle w:val="FirstParagraph"/>
      </w:pPr>
      <w:r>
        <w:t xml:space="preserve">Relevant historical investigation may include:</w:t>
      </w:r>
    </w:p>
    <w:p>
      <w:pPr>
        <w:pStyle w:val="Compact"/>
        <w:numPr>
          <w:ilvl w:val="0"/>
          <w:numId w:val="1023"/>
        </w:numPr>
      </w:pPr>
      <w:r>
        <w:t xml:space="preserve">pre-Islamic Arabia;</w:t>
      </w:r>
    </w:p>
    <w:p>
      <w:pPr>
        <w:pStyle w:val="Compact"/>
        <w:numPr>
          <w:ilvl w:val="0"/>
          <w:numId w:val="1023"/>
        </w:numPr>
      </w:pPr>
      <w:r>
        <w:t xml:space="preserve">Arabian Judaism;</w:t>
      </w:r>
    </w:p>
    <w:p>
      <w:pPr>
        <w:pStyle w:val="Compact"/>
        <w:numPr>
          <w:ilvl w:val="0"/>
          <w:numId w:val="1023"/>
        </w:numPr>
      </w:pPr>
      <w:r>
        <w:t xml:space="preserve">Arabian Christianity;</w:t>
      </w:r>
    </w:p>
    <w:p>
      <w:pPr>
        <w:pStyle w:val="Compact"/>
        <w:numPr>
          <w:ilvl w:val="0"/>
          <w:numId w:val="1023"/>
        </w:numPr>
      </w:pPr>
      <w:r>
        <w:t xml:space="preserve">Byzantine Christianity;</w:t>
      </w:r>
    </w:p>
    <w:p>
      <w:pPr>
        <w:pStyle w:val="Compact"/>
        <w:numPr>
          <w:ilvl w:val="0"/>
          <w:numId w:val="1023"/>
        </w:numPr>
      </w:pPr>
      <w:r>
        <w:t xml:space="preserve">Syriac Christianity;</w:t>
      </w:r>
    </w:p>
    <w:p>
      <w:pPr>
        <w:pStyle w:val="Compact"/>
        <w:numPr>
          <w:ilvl w:val="0"/>
          <w:numId w:val="1023"/>
        </w:numPr>
      </w:pPr>
      <w:r>
        <w:t xml:space="preserve">Jewish communities;</w:t>
      </w:r>
    </w:p>
    <w:p>
      <w:pPr>
        <w:pStyle w:val="Compact"/>
        <w:numPr>
          <w:ilvl w:val="0"/>
          <w:numId w:val="1023"/>
        </w:numPr>
      </w:pPr>
      <w:r>
        <w:t xml:space="preserve">religious practices;</w:t>
      </w:r>
    </w:p>
    <w:p>
      <w:pPr>
        <w:pStyle w:val="Compact"/>
        <w:numPr>
          <w:ilvl w:val="0"/>
          <w:numId w:val="1023"/>
        </w:numPr>
      </w:pPr>
      <w:r>
        <w:t xml:space="preserve">political events;</w:t>
      </w:r>
    </w:p>
    <w:p>
      <w:pPr>
        <w:pStyle w:val="Compact"/>
        <w:numPr>
          <w:ilvl w:val="0"/>
          <w:numId w:val="1023"/>
        </w:numPr>
      </w:pPr>
      <w:r>
        <w:t xml:space="preserve">geography;</w:t>
      </w:r>
    </w:p>
    <w:p>
      <w:pPr>
        <w:pStyle w:val="Compact"/>
        <w:numPr>
          <w:ilvl w:val="0"/>
          <w:numId w:val="1023"/>
        </w:numPr>
      </w:pPr>
      <w:r>
        <w:t xml:space="preserve">languages;</w:t>
      </w:r>
    </w:p>
    <w:p>
      <w:pPr>
        <w:pStyle w:val="Compact"/>
        <w:numPr>
          <w:ilvl w:val="0"/>
          <w:numId w:val="1023"/>
        </w:numPr>
      </w:pPr>
      <w:r>
        <w:t xml:space="preserve">trade;</w:t>
      </w:r>
    </w:p>
    <w:p>
      <w:pPr>
        <w:pStyle w:val="Compact"/>
        <w:numPr>
          <w:ilvl w:val="0"/>
          <w:numId w:val="1023"/>
        </w:numPr>
      </w:pPr>
      <w:r>
        <w:t xml:space="preserve">and surrounding late-antique culture.</w:t>
      </w:r>
    </w:p>
    <w:p>
      <w:pPr>
        <w:pStyle w:val="FirstParagraph"/>
      </w:pPr>
      <w:r>
        <w:t xml:space="preserve">Historical reconstruction must remain distinguishable from Quranic statements.</w:t>
      </w:r>
    </w:p>
    <w:p>
      <w:r>
        <w:pict>
          <v:rect style="width:0;height:1.5pt" o:hralign="center" o:hrstd="t" o:hr="t"/>
        </w:pict>
      </w:r>
    </w:p>
    <w:bookmarkEnd w:id="56"/>
    <w:bookmarkStart w:id="57" w:name="xviii.-historical-claim-audit"/>
    <w:p>
      <w:pPr>
        <w:pStyle w:val="Heading1"/>
      </w:pPr>
      <w:r>
        <w:t xml:space="preserve">XVIII. HISTORICAL CLAIM AUDIT</w:t>
      </w:r>
    </w:p>
    <w:p>
      <w:pPr>
        <w:pStyle w:val="FirstParagraph"/>
      </w:pPr>
      <w:r>
        <w:t xml:space="preserve">Historically testable Quranic claims may receive formal investigation.</w:t>
      </w:r>
    </w:p>
    <w:p>
      <w:pPr>
        <w:pStyle w:val="BodyText"/>
      </w:pPr>
      <w:r>
        <w:t xml:space="preserve">Each audit should consider available:</w:t>
      </w:r>
    </w:p>
    <w:p>
      <w:pPr>
        <w:pStyle w:val="Compact"/>
        <w:numPr>
          <w:ilvl w:val="0"/>
          <w:numId w:val="1024"/>
        </w:numPr>
      </w:pPr>
      <w:r>
        <w:t xml:space="preserve">archaeological evidence;</w:t>
      </w:r>
    </w:p>
    <w:p>
      <w:pPr>
        <w:pStyle w:val="Compact"/>
        <w:numPr>
          <w:ilvl w:val="0"/>
          <w:numId w:val="1024"/>
        </w:numPr>
      </w:pPr>
      <w:r>
        <w:t xml:space="preserve">manuscript evidence;</w:t>
      </w:r>
    </w:p>
    <w:p>
      <w:pPr>
        <w:pStyle w:val="Compact"/>
        <w:numPr>
          <w:ilvl w:val="0"/>
          <w:numId w:val="1024"/>
        </w:numPr>
      </w:pPr>
      <w:r>
        <w:t xml:space="preserve">inscriptions;</w:t>
      </w:r>
    </w:p>
    <w:p>
      <w:pPr>
        <w:pStyle w:val="Compact"/>
        <w:numPr>
          <w:ilvl w:val="0"/>
          <w:numId w:val="1024"/>
        </w:numPr>
      </w:pPr>
      <w:r>
        <w:t xml:space="preserve">contemporary or near-contemporary literature;</w:t>
      </w:r>
    </w:p>
    <w:p>
      <w:pPr>
        <w:pStyle w:val="Compact"/>
        <w:numPr>
          <w:ilvl w:val="0"/>
          <w:numId w:val="1024"/>
        </w:numPr>
      </w:pPr>
      <w:r>
        <w:t xml:space="preserve">geography;</w:t>
      </w:r>
    </w:p>
    <w:p>
      <w:pPr>
        <w:pStyle w:val="Compact"/>
        <w:numPr>
          <w:ilvl w:val="0"/>
          <w:numId w:val="1024"/>
        </w:numPr>
      </w:pPr>
      <w:r>
        <w:t xml:space="preserve">chronology;</w:t>
      </w:r>
    </w:p>
    <w:p>
      <w:pPr>
        <w:pStyle w:val="Compact"/>
        <w:numPr>
          <w:ilvl w:val="0"/>
          <w:numId w:val="1024"/>
        </w:numPr>
      </w:pPr>
      <w:r>
        <w:t xml:space="preserve">and relevant historical scholarship.</w:t>
      </w:r>
    </w:p>
    <w:p>
      <w:pPr>
        <w:pStyle w:val="FirstParagraph"/>
      </w:pPr>
      <w:r>
        <w:t xml:space="preserve">Possible classifications include:</w:t>
      </w:r>
    </w:p>
    <w:p>
      <w:pPr>
        <w:pStyle w:val="Compact"/>
        <w:numPr>
          <w:ilvl w:val="0"/>
          <w:numId w:val="1025"/>
        </w:numPr>
      </w:pPr>
      <w:r>
        <w:t xml:space="preserve">historically supported;</w:t>
      </w:r>
    </w:p>
    <w:p>
      <w:pPr>
        <w:pStyle w:val="Compact"/>
        <w:numPr>
          <w:ilvl w:val="0"/>
          <w:numId w:val="1025"/>
        </w:numPr>
      </w:pPr>
      <w:r>
        <w:t xml:space="preserve">consistent with available evidence;</w:t>
      </w:r>
    </w:p>
    <w:p>
      <w:pPr>
        <w:pStyle w:val="Compact"/>
        <w:numPr>
          <w:ilvl w:val="0"/>
          <w:numId w:val="1025"/>
        </w:numPr>
      </w:pPr>
      <w:r>
        <w:t xml:space="preserve">plausible but unverified;</w:t>
      </w:r>
    </w:p>
    <w:p>
      <w:pPr>
        <w:pStyle w:val="Compact"/>
        <w:numPr>
          <w:ilvl w:val="0"/>
          <w:numId w:val="1025"/>
        </w:numPr>
      </w:pPr>
      <w:r>
        <w:t xml:space="preserve">insufficient evidence;</w:t>
      </w:r>
    </w:p>
    <w:p>
      <w:pPr>
        <w:pStyle w:val="Compact"/>
        <w:numPr>
          <w:ilvl w:val="0"/>
          <w:numId w:val="1025"/>
        </w:numPr>
      </w:pPr>
      <w:r>
        <w:t xml:space="preserve">disputed;</w:t>
      </w:r>
    </w:p>
    <w:p>
      <w:pPr>
        <w:pStyle w:val="Compact"/>
        <w:numPr>
          <w:ilvl w:val="0"/>
          <w:numId w:val="1025"/>
        </w:numPr>
      </w:pPr>
      <w:r>
        <w:t xml:space="preserve">in tension with available evidence;</w:t>
      </w:r>
    </w:p>
    <w:p>
      <w:pPr>
        <w:pStyle w:val="Compact"/>
        <w:numPr>
          <w:ilvl w:val="0"/>
          <w:numId w:val="1025"/>
        </w:numPr>
      </w:pPr>
      <w:r>
        <w:t xml:space="preserve">or contradicted by strong historical evidence.</w:t>
      </w:r>
    </w:p>
    <w:p>
      <w:pPr>
        <w:pStyle w:val="FirstParagraph"/>
      </w:pPr>
      <w:r>
        <w:t xml:space="preserve">Absence of evidence must not automatically be treated as evidence of absence.</w:t>
      </w:r>
    </w:p>
    <w:p>
      <w:r>
        <w:pict>
          <v:rect style="width:0;height:1.5pt" o:hralign="center" o:hrstd="t" o:hr="t"/>
        </w:pict>
      </w:r>
    </w:p>
    <w:bookmarkEnd w:id="57"/>
    <w:bookmarkStart w:id="58" w:name="xix.-manuscript-and-textual-history"/>
    <w:p>
      <w:pPr>
        <w:pStyle w:val="Heading1"/>
      </w:pPr>
      <w:r>
        <w:t xml:space="preserve">XIX. MANUSCRIPT AND TEXTUAL HISTORY</w:t>
      </w:r>
    </w:p>
    <w:p>
      <w:pPr>
        <w:pStyle w:val="FirstParagraph"/>
      </w:pPr>
      <w:r>
        <w:t xml:space="preserve">A permanent research track will examine the transmission and preservation of the Quran.</w:t>
      </w:r>
    </w:p>
    <w:p>
      <w:pPr>
        <w:pStyle w:val="BodyText"/>
      </w:pPr>
      <w:r>
        <w:t xml:space="preserve">Subjects include:</w:t>
      </w:r>
    </w:p>
    <w:p>
      <w:pPr>
        <w:pStyle w:val="Compact"/>
        <w:numPr>
          <w:ilvl w:val="0"/>
          <w:numId w:val="1026"/>
        </w:numPr>
      </w:pPr>
      <w:r>
        <w:t xml:space="preserve">oral transmission;</w:t>
      </w:r>
    </w:p>
    <w:p>
      <w:pPr>
        <w:pStyle w:val="Compact"/>
        <w:numPr>
          <w:ilvl w:val="0"/>
          <w:numId w:val="1026"/>
        </w:numPr>
      </w:pPr>
      <w:r>
        <w:t xml:space="preserve">early written material;</w:t>
      </w:r>
    </w:p>
    <w:p>
      <w:pPr>
        <w:pStyle w:val="Compact"/>
        <w:numPr>
          <w:ilvl w:val="0"/>
          <w:numId w:val="1026"/>
        </w:numPr>
      </w:pPr>
      <w:r>
        <w:t xml:space="preserve">traditional collection accounts;</w:t>
      </w:r>
    </w:p>
    <w:p>
      <w:pPr>
        <w:pStyle w:val="Compact"/>
        <w:numPr>
          <w:ilvl w:val="0"/>
          <w:numId w:val="1026"/>
        </w:numPr>
      </w:pPr>
      <w:r>
        <w:t xml:space="preserve">Abu Bakr;</w:t>
      </w:r>
    </w:p>
    <w:p>
      <w:pPr>
        <w:pStyle w:val="Compact"/>
        <w:numPr>
          <w:ilvl w:val="0"/>
          <w:numId w:val="1026"/>
        </w:numPr>
      </w:pPr>
      <w:r>
        <w:t xml:space="preserve">Uthman;</w:t>
      </w:r>
    </w:p>
    <w:p>
      <w:pPr>
        <w:pStyle w:val="Compact"/>
        <w:numPr>
          <w:ilvl w:val="0"/>
          <w:numId w:val="1026"/>
        </w:numPr>
      </w:pPr>
      <w:r>
        <w:t xml:space="preserve">standardization;</w:t>
      </w:r>
    </w:p>
    <w:p>
      <w:pPr>
        <w:pStyle w:val="Compact"/>
        <w:numPr>
          <w:ilvl w:val="0"/>
          <w:numId w:val="1026"/>
        </w:numPr>
      </w:pPr>
      <w:r>
        <w:t xml:space="preserve">early manuscripts;</w:t>
      </w:r>
    </w:p>
    <w:p>
      <w:pPr>
        <w:pStyle w:val="Compact"/>
        <w:numPr>
          <w:ilvl w:val="0"/>
          <w:numId w:val="1026"/>
        </w:numPr>
      </w:pPr>
      <w:r>
        <w:t xml:space="preserve">consonantal text;</w:t>
      </w:r>
    </w:p>
    <w:p>
      <w:pPr>
        <w:pStyle w:val="Compact"/>
        <w:numPr>
          <w:ilvl w:val="0"/>
          <w:numId w:val="1026"/>
        </w:numPr>
      </w:pPr>
      <w:r>
        <w:t xml:space="preserve">diacritics;</w:t>
      </w:r>
    </w:p>
    <w:p>
      <w:pPr>
        <w:pStyle w:val="Compact"/>
        <w:numPr>
          <w:ilvl w:val="0"/>
          <w:numId w:val="1026"/>
        </w:numPr>
      </w:pPr>
      <w:r>
        <w:t xml:space="preserve">qira’at;</w:t>
      </w:r>
    </w:p>
    <w:p>
      <w:pPr>
        <w:pStyle w:val="Compact"/>
        <w:numPr>
          <w:ilvl w:val="0"/>
          <w:numId w:val="1026"/>
        </w:numPr>
      </w:pPr>
      <w:r>
        <w:t xml:space="preserve">canonical readings;</w:t>
      </w:r>
    </w:p>
    <w:p>
      <w:pPr>
        <w:pStyle w:val="Compact"/>
        <w:numPr>
          <w:ilvl w:val="0"/>
          <w:numId w:val="1026"/>
        </w:numPr>
      </w:pPr>
      <w:r>
        <w:t xml:space="preserve">textual variants;</w:t>
      </w:r>
    </w:p>
    <w:p>
      <w:pPr>
        <w:pStyle w:val="Compact"/>
        <w:numPr>
          <w:ilvl w:val="0"/>
          <w:numId w:val="1026"/>
        </w:numPr>
      </w:pPr>
      <w:r>
        <w:t xml:space="preserve">manuscript dating;</w:t>
      </w:r>
    </w:p>
    <w:p>
      <w:pPr>
        <w:pStyle w:val="Compact"/>
        <w:numPr>
          <w:ilvl w:val="0"/>
          <w:numId w:val="1026"/>
        </w:numPr>
      </w:pPr>
      <w:r>
        <w:t xml:space="preserve">and claims of perfect preservation.</w:t>
      </w:r>
    </w:p>
    <w:p>
      <w:pPr>
        <w:pStyle w:val="FirstParagraph"/>
      </w:pPr>
      <w:r>
        <w:t xml:space="preserve">Traditional Islamic accounts, physical manuscript evidence, and modern scholarship must remain distinguishable.</w:t>
      </w:r>
    </w:p>
    <w:p>
      <w:r>
        <w:pict>
          <v:rect style="width:0;height:1.5pt" o:hralign="center" o:hrstd="t" o:hr="t"/>
        </w:pict>
      </w:r>
    </w:p>
    <w:bookmarkEnd w:id="58"/>
    <w:bookmarkStart w:id="59" w:name="xx.-sourcetradition-provenance-ledger"/>
    <w:p>
      <w:pPr>
        <w:pStyle w:val="Heading1"/>
      </w:pPr>
      <w:r>
        <w:t xml:space="preserve">XX. SOURCE/TRADITION PROVENANCE LEDGER</w:t>
      </w:r>
    </w:p>
    <w:p>
      <w:pPr>
        <w:pStyle w:val="FirstParagraph"/>
      </w:pPr>
      <w:r>
        <w:t xml:space="preserve">Every important extra-Quranic claim must identify its source category.</w:t>
      </w:r>
    </w:p>
    <w:p>
      <w:pPr>
        <w:pStyle w:val="BodyText"/>
      </w:pPr>
      <w:r>
        <w:t xml:space="preserve">Possible categories include:</w:t>
      </w:r>
    </w:p>
    <w:p>
      <w:pPr>
        <w:pStyle w:val="BodyText"/>
      </w:pPr>
      <w:r>
        <w:rPr>
          <w:b/>
          <w:bCs/>
        </w:rPr>
        <w:t xml:space="preserve">QURAN</w:t>
      </w:r>
      <w:r>
        <w:br/>
      </w:r>
      <w:r>
        <w:rPr>
          <w:b/>
          <w:bCs/>
        </w:rPr>
        <w:t xml:space="preserve">HADITH</w:t>
      </w:r>
      <w:r>
        <w:br/>
      </w:r>
      <w:r>
        <w:rPr>
          <w:b/>
          <w:bCs/>
        </w:rPr>
        <w:t xml:space="preserve">SIRAH</w:t>
      </w:r>
      <w:r>
        <w:br/>
      </w:r>
      <w:r>
        <w:rPr>
          <w:b/>
          <w:bCs/>
        </w:rPr>
        <w:t xml:space="preserve">TAFSIR</w:t>
      </w:r>
      <w:r>
        <w:br/>
      </w:r>
      <w:r>
        <w:rPr>
          <w:b/>
          <w:bCs/>
        </w:rPr>
        <w:t xml:space="preserve">FIQH/JURISPRUDENCE</w:t>
      </w:r>
      <w:r>
        <w:br/>
      </w:r>
      <w:r>
        <w:rPr>
          <w:b/>
          <w:bCs/>
        </w:rPr>
        <w:t xml:space="preserve">CLASSICAL ISLAMIC THEOLOGY</w:t>
      </w:r>
      <w:r>
        <w:br/>
      </w:r>
      <w:r>
        <w:rPr>
          <w:b/>
          <w:bCs/>
        </w:rPr>
        <w:t xml:space="preserve">MODERN ISLAMIC INTERPRETATION</w:t>
      </w:r>
      <w:r>
        <w:br/>
      </w:r>
      <w:r>
        <w:rPr>
          <w:b/>
          <w:bCs/>
        </w:rPr>
        <w:t xml:space="preserve">BIBLE</w:t>
      </w:r>
      <w:r>
        <w:br/>
      </w:r>
      <w:r>
        <w:rPr>
          <w:b/>
          <w:bCs/>
        </w:rPr>
        <w:t xml:space="preserve">JEWISH TRADITION</w:t>
      </w:r>
      <w:r>
        <w:br/>
      </w:r>
      <w:r>
        <w:rPr>
          <w:b/>
          <w:bCs/>
        </w:rPr>
        <w:t xml:space="preserve">CHRISTIAN TRADITION</w:t>
      </w:r>
      <w:r>
        <w:br/>
      </w:r>
      <w:r>
        <w:rPr>
          <w:b/>
          <w:bCs/>
        </w:rPr>
        <w:t xml:space="preserve">HISTORICAL EVIDENCE</w:t>
      </w:r>
      <w:r>
        <w:br/>
      </w:r>
      <w:r>
        <w:rPr>
          <w:b/>
          <w:bCs/>
        </w:rPr>
        <w:t xml:space="preserve">MODERN ACADEMIC SCHOLARSHIP</w:t>
      </w:r>
    </w:p>
    <w:p>
      <w:pPr>
        <w:pStyle w:val="BodyText"/>
      </w:pPr>
      <w:r>
        <w:t xml:space="preserve">This prevents statements originating in later tradition from silently becoming statements attributed to the Quran.</w:t>
      </w:r>
    </w:p>
    <w:p>
      <w:r>
        <w:pict>
          <v:rect style="width:0;height:1.5pt" o:hralign="center" o:hrstd="t" o:hr="t"/>
        </w:pict>
      </w:r>
    </w:p>
    <w:bookmarkEnd w:id="59"/>
    <w:bookmarkStart w:id="60" w:name="xxi.-hadith-sirah-and-tafsir"/>
    <w:p>
      <w:pPr>
        <w:pStyle w:val="Heading1"/>
      </w:pPr>
      <w:r>
        <w:t xml:space="preserve">XXI. HADITH, SIRAH, AND TAFSIR</w:t>
      </w:r>
    </w:p>
    <w:p>
      <w:pPr>
        <w:pStyle w:val="FirstParagraph"/>
      </w:pPr>
      <w:r>
        <w:t xml:space="preserve">Hadith, Sirah, and Tafsir are valuable historical and interpretive sources but are not automatically Quranic evidence.</w:t>
      </w:r>
    </w:p>
    <w:p>
      <w:pPr>
        <w:pStyle w:val="BodyText"/>
      </w:pPr>
      <w:r>
        <w:t xml:space="preserve">Whenever they are used, provenance must be explicitly identified.</w:t>
      </w:r>
    </w:p>
    <w:p>
      <w:pPr>
        <w:pStyle w:val="BodyText"/>
      </w:pPr>
      <w:r>
        <w:t xml:space="preserve">Where authenticity, dating, transmission, or interpretation is disputed, that uncertainty must be recorded.</w:t>
      </w:r>
    </w:p>
    <w:p>
      <w:r>
        <w:pict>
          <v:rect style="width:0;height:1.5pt" o:hralign="center" o:hrstd="t" o:hr="t"/>
        </w:pict>
      </w:r>
    </w:p>
    <w:bookmarkEnd w:id="60"/>
    <w:bookmarkStart w:id="61" w:name="xxii.-claims-audit"/>
    <w:p>
      <w:pPr>
        <w:pStyle w:val="Heading1"/>
      </w:pPr>
      <w:r>
        <w:t xml:space="preserve">XXII. CLAIMS AUDIT</w:t>
      </w:r>
    </w:p>
    <w:p>
      <w:pPr>
        <w:pStyle w:val="FirstParagraph"/>
      </w:pPr>
      <w:r>
        <w:t xml:space="preserve">Common claims about Islam, Christianity, the Quran, or Bible will not automatically be accepted.</w:t>
      </w:r>
    </w:p>
    <w:p>
      <w:pPr>
        <w:pStyle w:val="BodyText"/>
      </w:pPr>
      <w:r>
        <w:t xml:space="preserve">Important claims receive permanent identifiers:</w:t>
      </w:r>
    </w:p>
    <w:p>
      <w:pPr>
        <w:pStyle w:val="BodyText"/>
      </w:pPr>
      <w:r>
        <w:rPr>
          <w:b/>
          <w:bCs/>
        </w:rPr>
        <w:t xml:space="preserve">QCA-0001, QCA-0002, QCA-0003…</w:t>
      </w:r>
    </w:p>
    <w:p>
      <w:pPr>
        <w:pStyle w:val="BodyText"/>
      </w:pPr>
      <w:r>
        <w:t xml:space="preserve">Examples might include:</w:t>
      </w:r>
    </w:p>
    <w:p>
      <w:pPr>
        <w:pStyle w:val="Compact"/>
        <w:numPr>
          <w:ilvl w:val="0"/>
          <w:numId w:val="1027"/>
        </w:numPr>
      </w:pPr>
      <w:r>
        <w:t xml:space="preserve">“The Bible was corrupted.”</w:t>
      </w:r>
    </w:p>
    <w:p>
      <w:pPr>
        <w:pStyle w:val="Compact"/>
        <w:numPr>
          <w:ilvl w:val="0"/>
          <w:numId w:val="1027"/>
        </w:numPr>
      </w:pPr>
      <w:r>
        <w:t xml:space="preserve">“The Quran has never changed.”</w:t>
      </w:r>
    </w:p>
    <w:p>
      <w:pPr>
        <w:pStyle w:val="Compact"/>
        <w:numPr>
          <w:ilvl w:val="0"/>
          <w:numId w:val="1027"/>
        </w:numPr>
      </w:pPr>
      <w:r>
        <w:t xml:space="preserve">“The Quran says Jesus was not crucified.”</w:t>
      </w:r>
    </w:p>
    <w:p>
      <w:pPr>
        <w:pStyle w:val="Compact"/>
        <w:numPr>
          <w:ilvl w:val="0"/>
          <w:numId w:val="1027"/>
        </w:numPr>
      </w:pPr>
      <w:r>
        <w:t xml:space="preserve">“Muhammad is predicted in the Bible.”</w:t>
      </w:r>
    </w:p>
    <w:p>
      <w:pPr>
        <w:pStyle w:val="Compact"/>
        <w:numPr>
          <w:ilvl w:val="0"/>
          <w:numId w:val="1027"/>
        </w:numPr>
      </w:pPr>
      <w:r>
        <w:t xml:space="preserve">“Islam and Christianity worship exactly the same conception of God.”</w:t>
      </w:r>
    </w:p>
    <w:p>
      <w:pPr>
        <w:pStyle w:val="FirstParagraph"/>
      </w:pPr>
      <w:r>
        <w:t xml:space="preserve">Each audit will determine:</w:t>
      </w:r>
    </w:p>
    <w:p>
      <w:pPr>
        <w:pStyle w:val="Compact"/>
        <w:numPr>
          <w:ilvl w:val="0"/>
          <w:numId w:val="1028"/>
        </w:numPr>
      </w:pPr>
      <w:r>
        <w:t xml:space="preserve">Precisely what is being claimed.</w:t>
      </w:r>
    </w:p>
    <w:p>
      <w:pPr>
        <w:pStyle w:val="Compact"/>
        <w:numPr>
          <w:ilvl w:val="0"/>
          <w:numId w:val="1028"/>
        </w:numPr>
      </w:pPr>
      <w:r>
        <w:t xml:space="preserve">Where the claim originates.</w:t>
      </w:r>
    </w:p>
    <w:p>
      <w:pPr>
        <w:pStyle w:val="Compact"/>
        <w:numPr>
          <w:ilvl w:val="0"/>
          <w:numId w:val="1028"/>
        </w:numPr>
      </w:pPr>
      <w:r>
        <w:t xml:space="preserve">Whether the Quran actually states it.</w:t>
      </w:r>
    </w:p>
    <w:p>
      <w:pPr>
        <w:pStyle w:val="Compact"/>
        <w:numPr>
          <w:ilvl w:val="0"/>
          <w:numId w:val="1028"/>
        </w:numPr>
      </w:pPr>
      <w:r>
        <w:t xml:space="preserve">Relevant Arabic evidence.</w:t>
      </w:r>
    </w:p>
    <w:p>
      <w:pPr>
        <w:pStyle w:val="Compact"/>
        <w:numPr>
          <w:ilvl w:val="0"/>
          <w:numId w:val="1028"/>
        </w:numPr>
      </w:pPr>
      <w:r>
        <w:t xml:space="preserve">Relevant biblical evidence.</w:t>
      </w:r>
    </w:p>
    <w:p>
      <w:pPr>
        <w:pStyle w:val="Compact"/>
        <w:numPr>
          <w:ilvl w:val="0"/>
          <w:numId w:val="1028"/>
        </w:numPr>
      </w:pPr>
      <w:r>
        <w:t xml:space="preserve">Relevant Islamic traditional evidence.</w:t>
      </w:r>
    </w:p>
    <w:p>
      <w:pPr>
        <w:pStyle w:val="Compact"/>
        <w:numPr>
          <w:ilvl w:val="0"/>
          <w:numId w:val="1028"/>
        </w:numPr>
      </w:pPr>
      <w:r>
        <w:t xml:space="preserve">Relevant historical evidence.</w:t>
      </w:r>
    </w:p>
    <w:p>
      <w:pPr>
        <w:pStyle w:val="Compact"/>
        <w:numPr>
          <w:ilvl w:val="0"/>
          <w:numId w:val="1028"/>
        </w:numPr>
      </w:pPr>
      <w:r>
        <w:t xml:space="preserve">Strong arguments supporting the claim.</w:t>
      </w:r>
    </w:p>
    <w:p>
      <w:pPr>
        <w:pStyle w:val="Compact"/>
        <w:numPr>
          <w:ilvl w:val="0"/>
          <w:numId w:val="1028"/>
        </w:numPr>
      </w:pPr>
      <w:r>
        <w:t xml:space="preserve">Strong arguments opposing the claim.</w:t>
      </w:r>
    </w:p>
    <w:p>
      <w:pPr>
        <w:pStyle w:val="Compact"/>
        <w:numPr>
          <w:ilvl w:val="0"/>
          <w:numId w:val="1028"/>
        </w:numPr>
      </w:pPr>
      <w:r>
        <w:t xml:space="preserve">Final evidence classification.</w:t>
      </w:r>
    </w:p>
    <w:p>
      <w:pPr>
        <w:pStyle w:val="FirstParagraph"/>
      </w:pPr>
      <w:r>
        <w:t xml:space="preserve">Claims may remain unresolved.</w:t>
      </w:r>
    </w:p>
    <w:p>
      <w:r>
        <w:pict>
          <v:rect style="width:0;height:1.5pt" o:hralign="center" o:hrstd="t" o:hr="t"/>
        </w:pict>
      </w:r>
    </w:p>
    <w:bookmarkEnd w:id="61"/>
    <w:bookmarkStart w:id="62" w:name="xxiii.-major-figure-dossiers"/>
    <w:p>
      <w:pPr>
        <w:pStyle w:val="Heading1"/>
      </w:pPr>
      <w:r>
        <w:t xml:space="preserve">XXIII. MAJOR-FIGURE DOSSIERS</w:t>
      </w:r>
    </w:p>
    <w:p>
      <w:pPr>
        <w:pStyle w:val="FirstParagraph"/>
      </w:pPr>
      <w:r>
        <w:t xml:space="preserve">Cumulative dossiers will be maintained for important individuals.</w:t>
      </w:r>
    </w:p>
    <w:p>
      <w:pPr>
        <w:pStyle w:val="BodyText"/>
      </w:pPr>
      <w:r>
        <w:t xml:space="preserve">At minimum, major dossiers should include:</w:t>
      </w:r>
    </w:p>
    <w:p>
      <w:pPr>
        <w:pStyle w:val="Compact"/>
        <w:numPr>
          <w:ilvl w:val="0"/>
          <w:numId w:val="1029"/>
        </w:numPr>
      </w:pPr>
      <w:r>
        <w:t xml:space="preserve">God/Allah — theological profile rather than human biography;</w:t>
      </w:r>
    </w:p>
    <w:p>
      <w:pPr>
        <w:pStyle w:val="Compact"/>
        <w:numPr>
          <w:ilvl w:val="0"/>
          <w:numId w:val="1029"/>
        </w:numPr>
      </w:pPr>
      <w:r>
        <w:t xml:space="preserve">Adam;</w:t>
      </w:r>
    </w:p>
    <w:p>
      <w:pPr>
        <w:pStyle w:val="Compact"/>
        <w:numPr>
          <w:ilvl w:val="0"/>
          <w:numId w:val="1029"/>
        </w:numPr>
      </w:pPr>
      <w:r>
        <w:t xml:space="preserve">Noah;</w:t>
      </w:r>
    </w:p>
    <w:p>
      <w:pPr>
        <w:pStyle w:val="Compact"/>
        <w:numPr>
          <w:ilvl w:val="0"/>
          <w:numId w:val="1029"/>
        </w:numPr>
      </w:pPr>
      <w:r>
        <w:t xml:space="preserve">Abraham;</w:t>
      </w:r>
    </w:p>
    <w:p>
      <w:pPr>
        <w:pStyle w:val="Compact"/>
        <w:numPr>
          <w:ilvl w:val="0"/>
          <w:numId w:val="1029"/>
        </w:numPr>
      </w:pPr>
      <w:r>
        <w:t xml:space="preserve">Ishmael;</w:t>
      </w:r>
    </w:p>
    <w:p>
      <w:pPr>
        <w:pStyle w:val="Compact"/>
        <w:numPr>
          <w:ilvl w:val="0"/>
          <w:numId w:val="1029"/>
        </w:numPr>
      </w:pPr>
      <w:r>
        <w:t xml:space="preserve">Isaac;</w:t>
      </w:r>
    </w:p>
    <w:p>
      <w:pPr>
        <w:pStyle w:val="Compact"/>
        <w:numPr>
          <w:ilvl w:val="0"/>
          <w:numId w:val="1029"/>
        </w:numPr>
      </w:pPr>
      <w:r>
        <w:t xml:space="preserve">Jacob;</w:t>
      </w:r>
    </w:p>
    <w:p>
      <w:pPr>
        <w:pStyle w:val="Compact"/>
        <w:numPr>
          <w:ilvl w:val="0"/>
          <w:numId w:val="1029"/>
        </w:numPr>
      </w:pPr>
      <w:r>
        <w:t xml:space="preserve">Joseph;</w:t>
      </w:r>
    </w:p>
    <w:p>
      <w:pPr>
        <w:pStyle w:val="Compact"/>
        <w:numPr>
          <w:ilvl w:val="0"/>
          <w:numId w:val="1029"/>
        </w:numPr>
      </w:pPr>
      <w:r>
        <w:t xml:space="preserve">Moses;</w:t>
      </w:r>
    </w:p>
    <w:p>
      <w:pPr>
        <w:pStyle w:val="Compact"/>
        <w:numPr>
          <w:ilvl w:val="0"/>
          <w:numId w:val="1029"/>
        </w:numPr>
      </w:pPr>
      <w:r>
        <w:t xml:space="preserve">Aaron;</w:t>
      </w:r>
    </w:p>
    <w:p>
      <w:pPr>
        <w:pStyle w:val="Compact"/>
        <w:numPr>
          <w:ilvl w:val="0"/>
          <w:numId w:val="1029"/>
        </w:numPr>
      </w:pPr>
      <w:r>
        <w:t xml:space="preserve">David;</w:t>
      </w:r>
    </w:p>
    <w:p>
      <w:pPr>
        <w:pStyle w:val="Compact"/>
        <w:numPr>
          <w:ilvl w:val="0"/>
          <w:numId w:val="1029"/>
        </w:numPr>
      </w:pPr>
      <w:r>
        <w:t xml:space="preserve">Solomon;</w:t>
      </w:r>
    </w:p>
    <w:p>
      <w:pPr>
        <w:pStyle w:val="Compact"/>
        <w:numPr>
          <w:ilvl w:val="0"/>
          <w:numId w:val="1029"/>
        </w:numPr>
      </w:pPr>
      <w:r>
        <w:t xml:space="preserve">Mary;</w:t>
      </w:r>
    </w:p>
    <w:p>
      <w:pPr>
        <w:pStyle w:val="Compact"/>
        <w:numPr>
          <w:ilvl w:val="0"/>
          <w:numId w:val="1029"/>
        </w:numPr>
      </w:pPr>
      <w:r>
        <w:t xml:space="preserve">John the Baptist;</w:t>
      </w:r>
    </w:p>
    <w:p>
      <w:pPr>
        <w:pStyle w:val="Compact"/>
        <w:numPr>
          <w:ilvl w:val="0"/>
          <w:numId w:val="1029"/>
        </w:numPr>
      </w:pPr>
      <w:r>
        <w:t xml:space="preserve">Jesus;</w:t>
      </w:r>
    </w:p>
    <w:p>
      <w:pPr>
        <w:pStyle w:val="Compact"/>
        <w:numPr>
          <w:ilvl w:val="0"/>
          <w:numId w:val="1029"/>
        </w:numPr>
      </w:pPr>
      <w:r>
        <w:t xml:space="preserve">and Muhammad.</w:t>
      </w:r>
    </w:p>
    <w:p>
      <w:pPr>
        <w:pStyle w:val="FirstParagraph"/>
      </w:pPr>
      <w:r>
        <w:t xml:space="preserve">Other figures may be incorporated within this existing dossier system when warranted without creating a new research architecture.</w:t>
      </w:r>
    </w:p>
    <w:p>
      <w:pPr>
        <w:pStyle w:val="BodyText"/>
      </w:pPr>
      <w:r>
        <w:t xml:space="preserve">Every relevant Quranic passage will accumulate within the appropriate dossier.</w:t>
      </w:r>
    </w:p>
    <w:p>
      <w:pPr>
        <w:pStyle w:val="BodyText"/>
      </w:pPr>
      <w:r>
        <w:t xml:space="preserve">Particular attention will be given to the</w:t>
      </w:r>
      <w:r>
        <w:t xml:space="preserve"> </w:t>
      </w:r>
      <w:r>
        <w:rPr>
          <w:b/>
          <w:bCs/>
        </w:rPr>
        <w:t xml:space="preserve">Jesus Dossier</w:t>
      </w:r>
      <w:r>
        <w:t xml:space="preserve"> </w:t>
      </w:r>
      <w:r>
        <w:t xml:space="preserve">because Jesus represents one of the central points of comparison between Christianity and Islam.</w:t>
      </w:r>
    </w:p>
    <w:p>
      <w:r>
        <w:pict>
          <v:rect style="width:0;height:1.5pt" o:hralign="center" o:hrstd="t" o:hr="t"/>
        </w:pict>
      </w:r>
    </w:p>
    <w:bookmarkEnd w:id="62"/>
    <w:bookmarkStart w:id="63" w:name="xxiv.-discovery-identification-system"/>
    <w:p>
      <w:pPr>
        <w:pStyle w:val="Heading1"/>
      </w:pPr>
      <w:r>
        <w:t xml:space="preserve">XXIV. DISCOVERY IDENTIFICATION SYSTEM</w:t>
      </w:r>
    </w:p>
    <w:p>
      <w:pPr>
        <w:pStyle w:val="FirstParagraph"/>
      </w:pPr>
      <w:r>
        <w:t xml:space="preserve">Every significant research discovery receives a permanent identifier:</w:t>
      </w:r>
    </w:p>
    <w:p>
      <w:pPr>
        <w:pStyle w:val="BodyText"/>
      </w:pPr>
      <w:r>
        <w:rPr>
          <w:b/>
          <w:bCs/>
        </w:rPr>
        <w:t xml:space="preserve">QDISC-0001, QDISC-0002, QDISC-0003…</w:t>
      </w:r>
    </w:p>
    <w:p>
      <w:pPr>
        <w:pStyle w:val="BodyText"/>
      </w:pPr>
      <w:r>
        <w:t xml:space="preserve">Each substantive discovery record contains:</w:t>
      </w:r>
    </w:p>
    <w:p>
      <w:pPr>
        <w:pStyle w:val="Compact"/>
        <w:numPr>
          <w:ilvl w:val="0"/>
          <w:numId w:val="1030"/>
        </w:numPr>
      </w:pPr>
      <w:r>
        <w:t xml:space="preserve">ID;</w:t>
      </w:r>
    </w:p>
    <w:p>
      <w:pPr>
        <w:pStyle w:val="Compact"/>
        <w:numPr>
          <w:ilvl w:val="0"/>
          <w:numId w:val="1030"/>
        </w:numPr>
      </w:pPr>
      <w:r>
        <w:t xml:space="preserve">title;</w:t>
      </w:r>
    </w:p>
    <w:p>
      <w:pPr>
        <w:pStyle w:val="Compact"/>
        <w:numPr>
          <w:ilvl w:val="0"/>
          <w:numId w:val="1030"/>
        </w:numPr>
      </w:pPr>
      <w:r>
        <w:t xml:space="preserve">surah/verse;</w:t>
      </w:r>
    </w:p>
    <w:p>
      <w:pPr>
        <w:pStyle w:val="Compact"/>
        <w:numPr>
          <w:ilvl w:val="0"/>
          <w:numId w:val="1030"/>
        </w:numPr>
      </w:pPr>
      <w:r>
        <w:t xml:space="preserve">discovery statement;</w:t>
      </w:r>
    </w:p>
    <w:p>
      <w:pPr>
        <w:pStyle w:val="Compact"/>
        <w:numPr>
          <w:ilvl w:val="0"/>
          <w:numId w:val="1030"/>
        </w:numPr>
      </w:pPr>
      <w:r>
        <w:t xml:space="preserve">supporting passages;</w:t>
      </w:r>
    </w:p>
    <w:p>
      <w:pPr>
        <w:pStyle w:val="Compact"/>
        <w:numPr>
          <w:ilvl w:val="0"/>
          <w:numId w:val="1030"/>
        </w:numPr>
      </w:pPr>
      <w:r>
        <w:t xml:space="preserve">Arabic evidence where relevant;</w:t>
      </w:r>
    </w:p>
    <w:p>
      <w:pPr>
        <w:pStyle w:val="Compact"/>
        <w:numPr>
          <w:ilvl w:val="0"/>
          <w:numId w:val="1030"/>
        </w:numPr>
      </w:pPr>
      <w:r>
        <w:t xml:space="preserve">biblical evidence where relevant;</w:t>
      </w:r>
    </w:p>
    <w:p>
      <w:pPr>
        <w:pStyle w:val="Compact"/>
        <w:numPr>
          <w:ilvl w:val="0"/>
          <w:numId w:val="1030"/>
        </w:numPr>
      </w:pPr>
      <w:r>
        <w:t xml:space="preserve">historical evidence where relevant;</w:t>
      </w:r>
    </w:p>
    <w:p>
      <w:pPr>
        <w:pStyle w:val="Compact"/>
        <w:numPr>
          <w:ilvl w:val="0"/>
          <w:numId w:val="1030"/>
        </w:numPr>
      </w:pPr>
      <w:r>
        <w:t xml:space="preserve">provenance;</w:t>
      </w:r>
    </w:p>
    <w:p>
      <w:pPr>
        <w:pStyle w:val="Compact"/>
        <w:numPr>
          <w:ilvl w:val="0"/>
          <w:numId w:val="1030"/>
        </w:numPr>
      </w:pPr>
      <w:r>
        <w:t xml:space="preserve">evidence classification;</w:t>
      </w:r>
    </w:p>
    <w:p>
      <w:pPr>
        <w:pStyle w:val="Compact"/>
        <w:numPr>
          <w:ilvl w:val="0"/>
          <w:numId w:val="1030"/>
        </w:numPr>
      </w:pPr>
      <w:r>
        <w:t xml:space="preserve">alternative interpretations;</w:t>
      </w:r>
    </w:p>
    <w:p>
      <w:pPr>
        <w:pStyle w:val="Compact"/>
        <w:numPr>
          <w:ilvl w:val="0"/>
          <w:numId w:val="1030"/>
        </w:numPr>
      </w:pPr>
      <w:r>
        <w:t xml:space="preserve">QRQ relationships;</w:t>
      </w:r>
    </w:p>
    <w:p>
      <w:pPr>
        <w:pStyle w:val="Compact"/>
        <w:numPr>
          <w:ilvl w:val="0"/>
          <w:numId w:val="1030"/>
        </w:numPr>
      </w:pPr>
      <w:r>
        <w:t xml:space="preserve">Dictionary relationships;</w:t>
      </w:r>
    </w:p>
    <w:p>
      <w:pPr>
        <w:pStyle w:val="Compact"/>
        <w:numPr>
          <w:ilvl w:val="0"/>
          <w:numId w:val="1030"/>
        </w:numPr>
      </w:pPr>
      <w:r>
        <w:t xml:space="preserve">dossier relationships;</w:t>
      </w:r>
    </w:p>
    <w:p>
      <w:pPr>
        <w:pStyle w:val="Compact"/>
        <w:numPr>
          <w:ilvl w:val="0"/>
          <w:numId w:val="1030"/>
        </w:numPr>
      </w:pPr>
      <w:r>
        <w:t xml:space="preserve">QB relationships;</w:t>
      </w:r>
    </w:p>
    <w:p>
      <w:pPr>
        <w:pStyle w:val="Compact"/>
        <w:numPr>
          <w:ilvl w:val="0"/>
          <w:numId w:val="1030"/>
        </w:numPr>
      </w:pPr>
      <w:r>
        <w:t xml:space="preserve">QI relationships;</w:t>
      </w:r>
    </w:p>
    <w:p>
      <w:pPr>
        <w:pStyle w:val="Compact"/>
        <w:numPr>
          <w:ilvl w:val="0"/>
          <w:numId w:val="1030"/>
        </w:numPr>
      </w:pPr>
      <w:r>
        <w:t xml:space="preserve">QCA relationships;</w:t>
      </w:r>
    </w:p>
    <w:p>
      <w:pPr>
        <w:pStyle w:val="Compact"/>
        <w:numPr>
          <w:ilvl w:val="0"/>
          <w:numId w:val="1030"/>
        </w:numPr>
      </w:pPr>
      <w:r>
        <w:t xml:space="preserve">and cross-references.</w:t>
      </w:r>
    </w:p>
    <w:p>
      <w:pPr>
        <w:pStyle w:val="FirstParagraph"/>
      </w:pPr>
      <w:r>
        <w:t xml:space="preserve">Discovery IDs are permanent and never reused.</w:t>
      </w:r>
    </w:p>
    <w:p>
      <w:r>
        <w:pict>
          <v:rect style="width:0;height:1.5pt" o:hralign="center" o:hrstd="t" o:hr="t"/>
        </w:pict>
      </w:r>
    </w:p>
    <w:bookmarkEnd w:id="63"/>
    <w:bookmarkStart w:id="64" w:name="xxv.-argument-fairness-standard"/>
    <w:p>
      <w:pPr>
        <w:pStyle w:val="Heading1"/>
      </w:pPr>
      <w:r>
        <w:t xml:space="preserve">XXV. ARGUMENT FAIRNESS STANDARD</w:t>
      </w:r>
    </w:p>
    <w:p>
      <w:pPr>
        <w:pStyle w:val="FirstParagraph"/>
      </w:pPr>
      <w:r>
        <w:t xml:space="preserve">Important disputed issues must be investigated using the strongest reasonable interpretations available.</w:t>
      </w:r>
    </w:p>
    <w:p>
      <w:pPr>
        <w:pStyle w:val="BodyText"/>
      </w:pPr>
      <w:r>
        <w:t xml:space="preserve">No position may be rejected through an obviously weak version of its argument.</w:t>
      </w:r>
    </w:p>
    <w:p>
      <w:pPr>
        <w:pStyle w:val="BodyText"/>
      </w:pPr>
      <w:r>
        <w:t xml:space="preserve">The governing question is:</w:t>
      </w:r>
    </w:p>
    <w:p>
      <w:pPr>
        <w:pStyle w:val="BlockText"/>
      </w:pPr>
      <w:r>
        <w:rPr>
          <w:b/>
          <w:bCs/>
        </w:rPr>
        <w:t xml:space="preserve">What is the strongest evidence supporting each interpretation, and which explanation best accounts for all available evidence?</w:t>
      </w:r>
    </w:p>
    <w:p>
      <w:pPr>
        <w:pStyle w:val="FirstParagraph"/>
      </w:pPr>
      <w:r>
        <w:t xml:space="preserve">This applies equally to:</w:t>
      </w:r>
    </w:p>
    <w:p>
      <w:pPr>
        <w:pStyle w:val="Compact"/>
        <w:numPr>
          <w:ilvl w:val="0"/>
          <w:numId w:val="1031"/>
        </w:numPr>
      </w:pPr>
      <w:r>
        <w:t xml:space="preserve">Muslim claims;</w:t>
      </w:r>
    </w:p>
    <w:p>
      <w:pPr>
        <w:pStyle w:val="Compact"/>
        <w:numPr>
          <w:ilvl w:val="0"/>
          <w:numId w:val="1031"/>
        </w:numPr>
      </w:pPr>
      <w:r>
        <w:t xml:space="preserve">Christian claims;</w:t>
      </w:r>
    </w:p>
    <w:p>
      <w:pPr>
        <w:pStyle w:val="Compact"/>
        <w:numPr>
          <w:ilvl w:val="0"/>
          <w:numId w:val="1031"/>
        </w:numPr>
      </w:pPr>
      <w:r>
        <w:t xml:space="preserve">Jewish claims;</w:t>
      </w:r>
    </w:p>
    <w:p>
      <w:pPr>
        <w:pStyle w:val="Compact"/>
        <w:numPr>
          <w:ilvl w:val="0"/>
          <w:numId w:val="1031"/>
        </w:numPr>
      </w:pPr>
      <w:r>
        <w:t xml:space="preserve">secular claims;</w:t>
      </w:r>
    </w:p>
    <w:p>
      <w:pPr>
        <w:pStyle w:val="Compact"/>
        <w:numPr>
          <w:ilvl w:val="0"/>
          <w:numId w:val="1031"/>
        </w:numPr>
      </w:pPr>
      <w:r>
        <w:t xml:space="preserve">and academic theories.</w:t>
      </w:r>
    </w:p>
    <w:p>
      <w:r>
        <w:pict>
          <v:rect style="width:0;height:1.5pt" o:hralign="center" o:hrstd="t" o:hr="t"/>
        </w:pict>
      </w:r>
    </w:p>
    <w:bookmarkEnd w:id="64"/>
    <w:bookmarkStart w:id="65" w:name="xxvi.-uncertainty-standard"/>
    <w:p>
      <w:pPr>
        <w:pStyle w:val="Heading1"/>
      </w:pPr>
      <w:r>
        <w:t xml:space="preserve">XXVI. UNCERTAINTY STANDARD</w:t>
      </w:r>
    </w:p>
    <w:p>
      <w:pPr>
        <w:pStyle w:val="FirstParagraph"/>
      </w:pPr>
      <w:r>
        <w:t xml:space="preserve">The project must be willing to conclude:</w:t>
      </w:r>
    </w:p>
    <w:p>
      <w:pPr>
        <w:pStyle w:val="BlockText"/>
      </w:pPr>
      <w:r>
        <w:rPr>
          <w:b/>
          <w:bCs/>
        </w:rPr>
        <w:t xml:space="preserve">The available evidence does not presently establish an answer.</w:t>
      </w:r>
    </w:p>
    <w:p>
      <w:pPr>
        <w:pStyle w:val="FirstParagraph"/>
      </w:pPr>
      <w:r>
        <w:t xml:space="preserve">Uncertainty is preferable to manufactured certainty.</w:t>
      </w:r>
    </w:p>
    <w:p>
      <w:pPr>
        <w:pStyle w:val="BodyText"/>
      </w:pPr>
      <w:r>
        <w:t xml:space="preserve">Open questions remain active and may be revisited when additional evidence emerges later in the Quran.</w:t>
      </w:r>
    </w:p>
    <w:p>
      <w:r>
        <w:pict>
          <v:rect style="width:0;height:1.5pt" o:hralign="center" o:hrstd="t" o:hr="t"/>
        </w:pict>
      </w:r>
    </w:p>
    <w:bookmarkEnd w:id="65"/>
    <w:bookmarkStart w:id="66" w:name="xxvii.-surah-by-surah-workflow"/>
    <w:p>
      <w:pPr>
        <w:pStyle w:val="Heading1"/>
      </w:pPr>
      <w:r>
        <w:t xml:space="preserve">XXVII. SURAH-BY-SURAH WORKFLOW</w:t>
      </w:r>
    </w:p>
    <w:p>
      <w:pPr>
        <w:pStyle w:val="FirstParagraph"/>
      </w:pPr>
      <w:r>
        <w:t xml:space="preserve">Every surah will receive standardized investigation containing, where applicable:</w:t>
      </w:r>
    </w:p>
    <w:p>
      <w:pPr>
        <w:pStyle w:val="Compact"/>
        <w:numPr>
          <w:ilvl w:val="0"/>
          <w:numId w:val="1032"/>
        </w:numPr>
      </w:pPr>
      <w:r>
        <w:t xml:space="preserve">Surah Overview</w:t>
      </w:r>
    </w:p>
    <w:p>
      <w:pPr>
        <w:pStyle w:val="Compact"/>
        <w:numPr>
          <w:ilvl w:val="0"/>
          <w:numId w:val="1032"/>
        </w:numPr>
      </w:pPr>
      <w:r>
        <w:t xml:space="preserve">Structural Analysis</w:t>
      </w:r>
    </w:p>
    <w:p>
      <w:pPr>
        <w:pStyle w:val="Compact"/>
        <w:numPr>
          <w:ilvl w:val="0"/>
          <w:numId w:val="1032"/>
        </w:numPr>
      </w:pPr>
      <w:r>
        <w:t xml:space="preserve">Verse-by-Verse Investigation</w:t>
      </w:r>
    </w:p>
    <w:p>
      <w:pPr>
        <w:pStyle w:val="Compact"/>
        <w:numPr>
          <w:ilvl w:val="0"/>
          <w:numId w:val="1032"/>
        </w:numPr>
      </w:pPr>
      <w:r>
        <w:t xml:space="preserve">Arabic Language Analysis</w:t>
      </w:r>
    </w:p>
    <w:p>
      <w:pPr>
        <w:pStyle w:val="Compact"/>
        <w:numPr>
          <w:ilvl w:val="0"/>
          <w:numId w:val="1032"/>
        </w:numPr>
      </w:pPr>
      <w:r>
        <w:t xml:space="preserve">Parallel Translation Analysis</w:t>
      </w:r>
    </w:p>
    <w:p>
      <w:pPr>
        <w:pStyle w:val="Compact"/>
        <w:numPr>
          <w:ilvl w:val="0"/>
          <w:numId w:val="1032"/>
        </w:numPr>
      </w:pPr>
      <w:r>
        <w:t xml:space="preserve">Theological Findings</w:t>
      </w:r>
    </w:p>
    <w:p>
      <w:pPr>
        <w:pStyle w:val="Compact"/>
        <w:numPr>
          <w:ilvl w:val="0"/>
          <w:numId w:val="1032"/>
        </w:numPr>
      </w:pPr>
      <w:r>
        <w:t xml:space="preserve">Internal Quran Cross-References</w:t>
      </w:r>
    </w:p>
    <w:p>
      <w:pPr>
        <w:pStyle w:val="Compact"/>
        <w:numPr>
          <w:ilvl w:val="0"/>
          <w:numId w:val="1032"/>
        </w:numPr>
      </w:pPr>
      <w:r>
        <w:t xml:space="preserve">Biblical Cross-References</w:t>
      </w:r>
    </w:p>
    <w:p>
      <w:pPr>
        <w:pStyle w:val="Compact"/>
        <w:numPr>
          <w:ilvl w:val="0"/>
          <w:numId w:val="1032"/>
        </w:numPr>
      </w:pPr>
      <w:r>
        <w:t xml:space="preserve">Agreement/Difference Analysis</w:t>
      </w:r>
    </w:p>
    <w:p>
      <w:pPr>
        <w:pStyle w:val="Compact"/>
        <w:numPr>
          <w:ilvl w:val="0"/>
          <w:numId w:val="1032"/>
        </w:numPr>
      </w:pPr>
      <w:r>
        <w:t xml:space="preserve">Historical Context</w:t>
      </w:r>
    </w:p>
    <w:p>
      <w:pPr>
        <w:pStyle w:val="Compact"/>
        <w:numPr>
          <w:ilvl w:val="0"/>
          <w:numId w:val="1032"/>
        </w:numPr>
      </w:pPr>
      <w:r>
        <w:t xml:space="preserve">Narrative Parallels</w:t>
      </w:r>
    </w:p>
    <w:p>
      <w:pPr>
        <w:pStyle w:val="Compact"/>
        <w:numPr>
          <w:ilvl w:val="0"/>
          <w:numId w:val="1032"/>
        </w:numPr>
      </w:pPr>
      <w:r>
        <w:t xml:space="preserve">Core Research Question Evaluation</w:t>
      </w:r>
    </w:p>
    <w:p>
      <w:pPr>
        <w:pStyle w:val="Compact"/>
        <w:numPr>
          <w:ilvl w:val="0"/>
          <w:numId w:val="1032"/>
        </w:numPr>
      </w:pPr>
      <w:r>
        <w:t xml:space="preserve">QDISC Updates</w:t>
      </w:r>
    </w:p>
    <w:p>
      <w:pPr>
        <w:pStyle w:val="Compact"/>
        <w:numPr>
          <w:ilvl w:val="0"/>
          <w:numId w:val="1032"/>
        </w:numPr>
      </w:pPr>
      <w:r>
        <w:t xml:space="preserve">QB Updates</w:t>
      </w:r>
    </w:p>
    <w:p>
      <w:pPr>
        <w:pStyle w:val="Compact"/>
        <w:numPr>
          <w:ilvl w:val="0"/>
          <w:numId w:val="1032"/>
        </w:numPr>
      </w:pPr>
      <w:r>
        <w:t xml:space="preserve">QI Updates</w:t>
      </w:r>
    </w:p>
    <w:p>
      <w:pPr>
        <w:pStyle w:val="Compact"/>
        <w:numPr>
          <w:ilvl w:val="0"/>
          <w:numId w:val="1032"/>
        </w:numPr>
      </w:pPr>
      <w:r>
        <w:t xml:space="preserve">QCA Updates</w:t>
      </w:r>
    </w:p>
    <w:p>
      <w:pPr>
        <w:pStyle w:val="Compact"/>
        <w:numPr>
          <w:ilvl w:val="0"/>
          <w:numId w:val="1032"/>
        </w:numPr>
      </w:pPr>
      <w:r>
        <w:t xml:space="preserve">Dictionary Updates</w:t>
      </w:r>
    </w:p>
    <w:p>
      <w:pPr>
        <w:pStyle w:val="Compact"/>
        <w:numPr>
          <w:ilvl w:val="0"/>
          <w:numId w:val="1032"/>
        </w:numPr>
      </w:pPr>
      <w:r>
        <w:t xml:space="preserve">Major-Figure Dossier Updates</w:t>
      </w:r>
    </w:p>
    <w:p>
      <w:pPr>
        <w:pStyle w:val="Compact"/>
        <w:numPr>
          <w:ilvl w:val="0"/>
          <w:numId w:val="1032"/>
        </w:numPr>
      </w:pPr>
      <w:r>
        <w:t xml:space="preserve">Provenance Ledger Updates</w:t>
      </w:r>
    </w:p>
    <w:p>
      <w:pPr>
        <w:pStyle w:val="Compact"/>
        <w:numPr>
          <w:ilvl w:val="0"/>
          <w:numId w:val="1032"/>
        </w:numPr>
      </w:pPr>
      <w:r>
        <w:t xml:space="preserve">Historical Claim Audit Updates</w:t>
      </w:r>
    </w:p>
    <w:p>
      <w:pPr>
        <w:pStyle w:val="Compact"/>
        <w:numPr>
          <w:ilvl w:val="0"/>
          <w:numId w:val="1032"/>
        </w:numPr>
      </w:pPr>
      <w:r>
        <w:t xml:space="preserve">Executive Surah Summary</w:t>
      </w:r>
    </w:p>
    <w:p>
      <w:pPr>
        <w:pStyle w:val="FirstParagraph"/>
      </w:pPr>
      <w:r>
        <w:t xml:space="preserve">Not every surah must artificially produce findings in every category.</w:t>
      </w:r>
    </w:p>
    <w:p>
      <w:pPr>
        <w:pStyle w:val="BodyText"/>
      </w:pPr>
      <w:r>
        <w:rPr>
          <w:b/>
          <w:bCs/>
        </w:rPr>
        <w:t xml:space="preserve">No discovery will be invented merely to fill a category.</w:t>
      </w:r>
    </w:p>
    <w:p>
      <w:r>
        <w:pict>
          <v:rect style="width:0;height:1.5pt" o:hralign="center" o:hrstd="t" o:hr="t"/>
        </w:pict>
      </w:r>
    </w:p>
    <w:bookmarkEnd w:id="66"/>
    <w:bookmarkStart w:id="67" w:name="xxviii.-cumulative-research-repository"/>
    <w:p>
      <w:pPr>
        <w:pStyle w:val="Heading1"/>
      </w:pPr>
      <w:r>
        <w:t xml:space="preserve">XXVIII. CUMULATIVE RESEARCH REPOSITORY</w:t>
      </w:r>
    </w:p>
    <w:p>
      <w:pPr>
        <w:pStyle w:val="FirstParagraph"/>
      </w:pPr>
      <w:r>
        <w:t xml:space="preserve">The project will maintain: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Master Quran Research Journal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Arabic Language Research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Core Research Questions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Quran Research Dictionary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Theological/Thematic Architecture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Quran Discovery Catalog — QDISC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Internal Quran Cross-Reference Atlas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Bible–Quran Cross-Scripture Comparison Atlas — QB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Internal Tension Register — QI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Claims Audit — QCA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Historical and Textual Research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Source/Tradition Provenance Ledger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Narrative Source/Parallel Tracker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Major-Figure Dossiers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Comprehensive Quran Research Synthesis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Surah Completion Records</w:t>
      </w:r>
    </w:p>
    <w:p>
      <w:pPr>
        <w:pStyle w:val="FirstParagraph"/>
      </w:pPr>
      <w:r>
        <w:t xml:space="preserve">These are cumulative research assets.</w:t>
      </w:r>
    </w:p>
    <w:p>
      <w:pPr>
        <w:pStyle w:val="BodyText"/>
      </w:pPr>
      <w:r>
        <w:t xml:space="preserve">Research must be recorded as it occurs rather than reconstructed after Surah 114.</w:t>
      </w:r>
    </w:p>
    <w:p>
      <w:r>
        <w:pict>
          <v:rect style="width:0;height:1.5pt" o:hralign="center" o:hrstd="t" o:hr="t"/>
        </w:pict>
      </w:r>
    </w:p>
    <w:bookmarkEnd w:id="67"/>
    <w:bookmarkStart w:id="70" w:name="xxix.-checkpoint-architecture"/>
    <w:p>
      <w:pPr>
        <w:pStyle w:val="Heading1"/>
      </w:pPr>
      <w:r>
        <w:t xml:space="preserve">XXIX. CHECKPOINT ARCHITECTURE</w:t>
      </w:r>
    </w:p>
    <w:p>
      <w:pPr>
        <w:pStyle w:val="FirstParagraph"/>
      </w:pPr>
      <w:r>
        <w:t xml:space="preserve">Because Quranic surahs vary enormously in length, checkpoints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operate simply every fixed number of surahs.</w:t>
      </w:r>
    </w:p>
    <w:p>
      <w:pPr>
        <w:pStyle w:val="BodyText"/>
      </w:pPr>
      <w:r>
        <w:t xml:space="preserve">Checkpoint boundaries will primarily reflect:</w:t>
      </w:r>
    </w:p>
    <w:p>
      <w:pPr>
        <w:pStyle w:val="Compact"/>
        <w:numPr>
          <w:ilvl w:val="0"/>
          <w:numId w:val="1034"/>
        </w:numPr>
      </w:pPr>
      <w:r>
        <w:t xml:space="preserve">verse volume;</w:t>
      </w:r>
    </w:p>
    <w:p>
      <w:pPr>
        <w:pStyle w:val="Compact"/>
        <w:numPr>
          <w:ilvl w:val="0"/>
          <w:numId w:val="1034"/>
        </w:numPr>
      </w:pPr>
      <w:r>
        <w:t xml:space="preserve">research volume;</w:t>
      </w:r>
    </w:p>
    <w:p>
      <w:pPr>
        <w:pStyle w:val="Compact"/>
        <w:numPr>
          <w:ilvl w:val="0"/>
          <w:numId w:val="1034"/>
        </w:numPr>
      </w:pPr>
      <w:r>
        <w:t xml:space="preserve">thematic complexity;</w:t>
      </w:r>
    </w:p>
    <w:p>
      <w:pPr>
        <w:pStyle w:val="Compact"/>
        <w:numPr>
          <w:ilvl w:val="0"/>
          <w:numId w:val="1034"/>
        </w:numPr>
      </w:pPr>
      <w:r>
        <w:t xml:space="preserve">and preservation requirements.</w:t>
      </w:r>
    </w:p>
    <w:p>
      <w:pPr>
        <w:pStyle w:val="FirstParagraph"/>
      </w:pPr>
      <w:r>
        <w:t xml:space="preserve">The system will use two levels:</w:t>
      </w:r>
    </w:p>
    <w:bookmarkStart w:id="68" w:name="incremental-checkpoints"/>
    <w:p>
      <w:pPr>
        <w:pStyle w:val="Heading3"/>
      </w:pPr>
      <w:r>
        <w:t xml:space="preserve">Incremental Checkpoints</w:t>
      </w:r>
    </w:p>
    <w:p>
      <w:pPr>
        <w:pStyle w:val="FirstParagraph"/>
      </w:pPr>
      <w:r>
        <w:t xml:space="preserve">Created after a manageable body of new research has accumulated.</w:t>
      </w:r>
    </w:p>
    <w:p>
      <w:pPr>
        <w:pStyle w:val="BodyText"/>
      </w:pPr>
      <w:r>
        <w:t xml:space="preserve">They preserve all new substantive research since the previous checkpoint.</w:t>
      </w:r>
    </w:p>
    <w:bookmarkEnd w:id="68"/>
    <w:bookmarkStart w:id="69" w:name="cumulative-integration-checkpoints"/>
    <w:p>
      <w:pPr>
        <w:pStyle w:val="Heading3"/>
      </w:pPr>
      <w:r>
        <w:t xml:space="preserve">Cumulative Integration Checkpoints</w:t>
      </w:r>
    </w:p>
    <w:p>
      <w:pPr>
        <w:pStyle w:val="FirstParagraph"/>
      </w:pPr>
      <w:r>
        <w:t xml:space="preserve">Created at predetermined major milestones.</w:t>
      </w:r>
    </w:p>
    <w:p>
      <w:pPr>
        <w:pStyle w:val="BodyText"/>
      </w:pPr>
      <w:r>
        <w:t xml:space="preserve">They integrate and verify the cumulative repository.</w:t>
      </w:r>
    </w:p>
    <w:p>
      <w:pPr>
        <w:pStyle w:val="BodyText"/>
      </w:pPr>
      <w:r>
        <w:t xml:space="preserve">Before Surah 1 begins, the initial milestone schedule will be established.</w:t>
      </w:r>
    </w:p>
    <w:p>
      <w:pPr>
        <w:pStyle w:val="BodyText"/>
      </w:pPr>
      <w:r>
        <w:t xml:space="preserve">After that schedule is frozen, it will not be casually redesigned during the project.</w:t>
      </w:r>
    </w:p>
    <w:p>
      <w:pPr>
        <w:pStyle w:val="BodyText"/>
      </w:pPr>
      <w:r>
        <w:t xml:space="preserve">Every checkpoint requires:</w:t>
      </w:r>
    </w:p>
    <w:p>
      <w:pPr>
        <w:pStyle w:val="Compact"/>
        <w:numPr>
          <w:ilvl w:val="0"/>
          <w:numId w:val="1035"/>
        </w:numPr>
      </w:pPr>
      <w:r>
        <w:t xml:space="preserve">completeness verification;</w:t>
      </w:r>
    </w:p>
    <w:p>
      <w:pPr>
        <w:pStyle w:val="Compact"/>
        <w:numPr>
          <w:ilvl w:val="0"/>
          <w:numId w:val="1035"/>
        </w:numPr>
      </w:pPr>
      <w:r>
        <w:t xml:space="preserve">permanent-ID verification;</w:t>
      </w:r>
    </w:p>
    <w:p>
      <w:pPr>
        <w:pStyle w:val="Compact"/>
        <w:numPr>
          <w:ilvl w:val="0"/>
          <w:numId w:val="1035"/>
        </w:numPr>
      </w:pPr>
      <w:r>
        <w:t xml:space="preserve">cross-reference verification;</w:t>
      </w:r>
    </w:p>
    <w:p>
      <w:pPr>
        <w:pStyle w:val="Compact"/>
        <w:numPr>
          <w:ilvl w:val="0"/>
          <w:numId w:val="1035"/>
        </w:numPr>
      </w:pPr>
      <w:r>
        <w:t xml:space="preserve">continuity verification;</w:t>
      </w:r>
    </w:p>
    <w:p>
      <w:pPr>
        <w:pStyle w:val="Compact"/>
        <w:numPr>
          <w:ilvl w:val="0"/>
          <w:numId w:val="1035"/>
        </w:numPr>
      </w:pPr>
      <w:r>
        <w:t xml:space="preserve">and confirmation that no substantive discoveries remain only in chat.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eb7bd99a06f320eed6ea5d1365b088ae6dd205e"/>
    <w:p>
      <w:pPr>
        <w:pStyle w:val="Heading1"/>
      </w:pPr>
      <w:r>
        <w:t xml:space="preserve">XXX. FINAL CLAIM-TO-EVIDENCE TRACEABILITY</w:t>
      </w:r>
    </w:p>
    <w:p>
      <w:pPr>
        <w:pStyle w:val="FirstParagraph"/>
      </w:pPr>
      <w:r>
        <w:t xml:space="preserve">Every major conclusion appearing in the final Comprehensive Quran Research Synthesis must trace backward to the evidence establishing it.</w:t>
      </w:r>
    </w:p>
    <w:p>
      <w:pPr>
        <w:pStyle w:val="BodyText"/>
      </w:pPr>
      <w:r>
        <w:t xml:space="preserve">Where applicable, conclusions should connect to:</w:t>
      </w:r>
    </w:p>
    <w:p>
      <w:pPr>
        <w:pStyle w:val="Compact"/>
        <w:numPr>
          <w:ilvl w:val="0"/>
          <w:numId w:val="1036"/>
        </w:numPr>
      </w:pPr>
      <w:r>
        <w:t xml:space="preserve">QDISC records;</w:t>
      </w:r>
    </w:p>
    <w:p>
      <w:pPr>
        <w:pStyle w:val="Compact"/>
        <w:numPr>
          <w:ilvl w:val="0"/>
          <w:numId w:val="1036"/>
        </w:numPr>
      </w:pPr>
      <w:r>
        <w:t xml:space="preserve">QB records;</w:t>
      </w:r>
    </w:p>
    <w:p>
      <w:pPr>
        <w:pStyle w:val="Compact"/>
        <w:numPr>
          <w:ilvl w:val="0"/>
          <w:numId w:val="1036"/>
        </w:numPr>
      </w:pPr>
      <w:r>
        <w:t xml:space="preserve">QI records;</w:t>
      </w:r>
    </w:p>
    <w:p>
      <w:pPr>
        <w:pStyle w:val="Compact"/>
        <w:numPr>
          <w:ilvl w:val="0"/>
          <w:numId w:val="1036"/>
        </w:numPr>
      </w:pPr>
      <w:r>
        <w:t xml:space="preserve">QCA records;</w:t>
      </w:r>
    </w:p>
    <w:p>
      <w:pPr>
        <w:pStyle w:val="Compact"/>
        <w:numPr>
          <w:ilvl w:val="0"/>
          <w:numId w:val="1036"/>
        </w:numPr>
      </w:pPr>
      <w:r>
        <w:t xml:space="preserve">Quranic passages;</w:t>
      </w:r>
    </w:p>
    <w:p>
      <w:pPr>
        <w:pStyle w:val="Compact"/>
        <w:numPr>
          <w:ilvl w:val="0"/>
          <w:numId w:val="1036"/>
        </w:numPr>
      </w:pPr>
      <w:r>
        <w:t xml:space="preserve">Arabic analysis;</w:t>
      </w:r>
    </w:p>
    <w:p>
      <w:pPr>
        <w:pStyle w:val="Compact"/>
        <w:numPr>
          <w:ilvl w:val="0"/>
          <w:numId w:val="1036"/>
        </w:numPr>
      </w:pPr>
      <w:r>
        <w:t xml:space="preserve">biblical passages;</w:t>
      </w:r>
    </w:p>
    <w:p>
      <w:pPr>
        <w:pStyle w:val="Compact"/>
        <w:numPr>
          <w:ilvl w:val="0"/>
          <w:numId w:val="1036"/>
        </w:numPr>
      </w:pPr>
      <w:r>
        <w:t xml:space="preserve">original biblical-language analysis;</w:t>
      </w:r>
    </w:p>
    <w:p>
      <w:pPr>
        <w:pStyle w:val="Compact"/>
        <w:numPr>
          <w:ilvl w:val="0"/>
          <w:numId w:val="1036"/>
        </w:numPr>
      </w:pPr>
      <w:r>
        <w:t xml:space="preserve">historical audits;</w:t>
      </w:r>
    </w:p>
    <w:p>
      <w:pPr>
        <w:pStyle w:val="Compact"/>
        <w:numPr>
          <w:ilvl w:val="0"/>
          <w:numId w:val="1036"/>
        </w:numPr>
      </w:pPr>
      <w:r>
        <w:t xml:space="preserve">provenance records;</w:t>
      </w:r>
    </w:p>
    <w:p>
      <w:pPr>
        <w:pStyle w:val="Compact"/>
        <w:numPr>
          <w:ilvl w:val="0"/>
          <w:numId w:val="1036"/>
        </w:numPr>
      </w:pPr>
      <w:r>
        <w:t xml:space="preserve">and scholarly sources.</w:t>
      </w:r>
    </w:p>
    <w:p>
      <w:pPr>
        <w:pStyle w:val="FirstParagraph"/>
      </w:pPr>
      <w:r>
        <w:rPr>
          <w:b/>
          <w:bCs/>
        </w:rPr>
        <w:t xml:space="preserve">No major conclusion may suddenly appear at the end of the project without having been established in the underlying research.</w:t>
      </w:r>
    </w:p>
    <w:p>
      <w:r>
        <w:pict>
          <v:rect style="width:0;height:1.5pt" o:hralign="center" o:hrstd="t" o:hr="t"/>
        </w:pict>
      </w:r>
    </w:p>
    <w:bookmarkEnd w:id="71"/>
    <w:bookmarkStart w:id="72" w:name="xxxi.-source-hierarchy"/>
    <w:p>
      <w:pPr>
        <w:pStyle w:val="Heading1"/>
      </w:pPr>
      <w:r>
        <w:t xml:space="preserve">XXXI. SOURCE HIERARCHY</w:t>
      </w:r>
    </w:p>
    <w:p>
      <w:pPr>
        <w:pStyle w:val="FirstParagraph"/>
      </w:pPr>
      <w:r>
        <w:t xml:space="preserve">Research should prioritize approximately:</w:t>
      </w:r>
    </w:p>
    <w:p>
      <w:pPr>
        <w:pStyle w:val="Compact"/>
        <w:numPr>
          <w:ilvl w:val="0"/>
          <w:numId w:val="1037"/>
        </w:numPr>
      </w:pPr>
      <w:r>
        <w:t xml:space="preserve">Quranic Arabic text.</w:t>
      </w:r>
    </w:p>
    <w:p>
      <w:pPr>
        <w:pStyle w:val="Compact"/>
        <w:numPr>
          <w:ilvl w:val="0"/>
          <w:numId w:val="1037"/>
        </w:numPr>
      </w:pPr>
      <w:r>
        <w:t xml:space="preserve">Internal Quranic evidence.</w:t>
      </w:r>
    </w:p>
    <w:p>
      <w:pPr>
        <w:pStyle w:val="Compact"/>
        <w:numPr>
          <w:ilvl w:val="0"/>
          <w:numId w:val="1037"/>
        </w:numPr>
      </w:pPr>
      <w:r>
        <w:t xml:space="preserve">Biblical Hebrew/Aramaic/Greek where relevant.</w:t>
      </w:r>
    </w:p>
    <w:p>
      <w:pPr>
        <w:pStyle w:val="Compact"/>
        <w:numPr>
          <w:ilvl w:val="0"/>
          <w:numId w:val="1037"/>
        </w:numPr>
      </w:pPr>
      <w:r>
        <w:t xml:space="preserve">Manuscripts and primary historical evidence.</w:t>
      </w:r>
    </w:p>
    <w:p>
      <w:pPr>
        <w:pStyle w:val="Compact"/>
        <w:numPr>
          <w:ilvl w:val="0"/>
          <w:numId w:val="1037"/>
        </w:numPr>
      </w:pPr>
      <w:r>
        <w:t xml:space="preserve">Early Islamic sources.</w:t>
      </w:r>
    </w:p>
    <w:p>
      <w:pPr>
        <w:pStyle w:val="Compact"/>
        <w:numPr>
          <w:ilvl w:val="0"/>
          <w:numId w:val="1037"/>
        </w:numPr>
      </w:pPr>
      <w:r>
        <w:t xml:space="preserve">Classical Islamic scholarship.</w:t>
      </w:r>
    </w:p>
    <w:p>
      <w:pPr>
        <w:pStyle w:val="Compact"/>
        <w:numPr>
          <w:ilvl w:val="0"/>
          <w:numId w:val="1037"/>
        </w:numPr>
      </w:pPr>
      <w:r>
        <w:t xml:space="preserve">Relevant Jewish and Christian historical sources.</w:t>
      </w:r>
    </w:p>
    <w:p>
      <w:pPr>
        <w:pStyle w:val="Compact"/>
        <w:numPr>
          <w:ilvl w:val="0"/>
          <w:numId w:val="1037"/>
        </w:numPr>
      </w:pPr>
      <w:r>
        <w:t xml:space="preserve">Peer-reviewed/respected modern scholarship.</w:t>
      </w:r>
    </w:p>
    <w:p>
      <w:pPr>
        <w:pStyle w:val="Compact"/>
        <w:numPr>
          <w:ilvl w:val="0"/>
          <w:numId w:val="1037"/>
        </w:numPr>
      </w:pPr>
      <w:r>
        <w:t xml:space="preserve">Modern Muslim/Christian/Jewish scholarship.</w:t>
      </w:r>
    </w:p>
    <w:p>
      <w:pPr>
        <w:pStyle w:val="Compact"/>
        <w:numPr>
          <w:ilvl w:val="0"/>
          <w:numId w:val="1037"/>
        </w:numPr>
      </w:pPr>
      <w:r>
        <w:t xml:space="preserve">General reference material.</w:t>
      </w:r>
    </w:p>
    <w:p>
      <w:pPr>
        <w:pStyle w:val="FirstParagraph"/>
      </w:pPr>
      <w:r>
        <w:t xml:space="preserve">Popular apologetics or polemics may identify research questions but do not constitute final proof.</w:t>
      </w:r>
    </w:p>
    <w:p>
      <w:r>
        <w:pict>
          <v:rect style="width:0;height:1.5pt" o:hralign="center" o:hrstd="t" o:hr="t"/>
        </w:pict>
      </w:r>
    </w:p>
    <w:bookmarkEnd w:id="72"/>
    <w:bookmarkStart w:id="73" w:name="X2a981b7f8de4c8a4d704bdfcbc4328caaa76c77"/>
    <w:p>
      <w:pPr>
        <w:pStyle w:val="Heading1"/>
      </w:pPr>
      <w:r>
        <w:t xml:space="preserve">XXXII. SEPARATION FROM THE THOUGHT PROJECT</w:t>
      </w:r>
    </w:p>
    <w:p>
      <w:pPr>
        <w:pStyle w:val="FirstParagraph"/>
      </w:pPr>
      <w:r>
        <w:t xml:space="preserve">The Quran Research Project remains separate from The Thought Project.</w:t>
      </w:r>
    </w:p>
    <w:p>
      <w:pPr>
        <w:pStyle w:val="BodyText"/>
      </w:pPr>
      <w:r>
        <w:t xml:space="preserve">Findings from the Quran will not silently modify conclusions established during Bible research.</w:t>
      </w:r>
    </w:p>
    <w:p>
      <w:pPr>
        <w:pStyle w:val="BodyText"/>
      </w:pPr>
      <w:r>
        <w:t xml:space="preserve">Connections will instead be recorded through the Quran project’s comparison systems.</w:t>
      </w:r>
    </w:p>
    <w:p>
      <w:pPr>
        <w:pStyle w:val="BodyText"/>
      </w:pPr>
      <w:r>
        <w:t xml:space="preserve">This protects the evidentiary integrity of both projects.</w:t>
      </w:r>
    </w:p>
    <w:p>
      <w:r>
        <w:pict>
          <v:rect style="width:0;height:1.5pt" o:hralign="center" o:hrstd="t" o:hr="t"/>
        </w:pict>
      </w:r>
    </w:p>
    <w:bookmarkEnd w:id="73"/>
    <w:bookmarkStart w:id="74" w:name="xxxiii.-final-project-objective"/>
    <w:p>
      <w:pPr>
        <w:pStyle w:val="Heading1"/>
      </w:pPr>
      <w:r>
        <w:t xml:space="preserve">XXXIII. FINAL PROJECT OBJECTIVE</w:t>
      </w:r>
    </w:p>
    <w:p>
      <w:pPr>
        <w:pStyle w:val="FirstParagraph"/>
      </w:pPr>
      <w:r>
        <w:t xml:space="preserve">After all 114 surahs have been investigated, the repository should allow evidence-based answers to questions including:</w:t>
      </w:r>
    </w:p>
    <w:p>
      <w:pPr>
        <w:pStyle w:val="Compact"/>
        <w:numPr>
          <w:ilvl w:val="0"/>
          <w:numId w:val="1038"/>
        </w:numPr>
      </w:pPr>
      <w:r>
        <w:t xml:space="preserve">What does the Quran actually teach?</w:t>
      </w:r>
    </w:p>
    <w:p>
      <w:pPr>
        <w:pStyle w:val="Compact"/>
        <w:numPr>
          <w:ilvl w:val="0"/>
          <w:numId w:val="1038"/>
        </w:numPr>
      </w:pPr>
      <w:r>
        <w:t xml:space="preserve">How does the Quran describe God?</w:t>
      </w:r>
    </w:p>
    <w:p>
      <w:pPr>
        <w:pStyle w:val="Compact"/>
        <w:numPr>
          <w:ilvl w:val="0"/>
          <w:numId w:val="1038"/>
        </w:numPr>
      </w:pPr>
      <w:r>
        <w:t xml:space="preserve">Who is Jesus according to the Quran?</w:t>
      </w:r>
    </w:p>
    <w:p>
      <w:pPr>
        <w:pStyle w:val="Compact"/>
        <w:numPr>
          <w:ilvl w:val="0"/>
          <w:numId w:val="1038"/>
        </w:numPr>
      </w:pPr>
      <w:r>
        <w:t xml:space="preserve">Who is Muhammad according to the Quran?</w:t>
      </w:r>
    </w:p>
    <w:p>
      <w:pPr>
        <w:pStyle w:val="Compact"/>
        <w:numPr>
          <w:ilvl w:val="0"/>
          <w:numId w:val="1038"/>
        </w:numPr>
      </w:pPr>
      <w:r>
        <w:t xml:space="preserve">What is salvation according to the Quran?</w:t>
      </w:r>
    </w:p>
    <w:p>
      <w:pPr>
        <w:pStyle w:val="Compact"/>
        <w:numPr>
          <w:ilvl w:val="0"/>
          <w:numId w:val="1038"/>
        </w:numPr>
      </w:pPr>
      <w:r>
        <w:t xml:space="preserve">What is sin according to the Quran?</w:t>
      </w:r>
    </w:p>
    <w:p>
      <w:pPr>
        <w:pStyle w:val="Compact"/>
        <w:numPr>
          <w:ilvl w:val="0"/>
          <w:numId w:val="1038"/>
        </w:numPr>
      </w:pPr>
      <w:r>
        <w:t xml:space="preserve">What does the Quran say concerning previous Scripture?</w:t>
      </w:r>
    </w:p>
    <w:p>
      <w:pPr>
        <w:pStyle w:val="Compact"/>
        <w:numPr>
          <w:ilvl w:val="0"/>
          <w:numId w:val="1038"/>
        </w:numPr>
      </w:pPr>
      <w:r>
        <w:t xml:space="preserve">Does the Quran teach textual corruption of previous Scripture?</w:t>
      </w:r>
    </w:p>
    <w:p>
      <w:pPr>
        <w:pStyle w:val="Compact"/>
        <w:numPr>
          <w:ilvl w:val="0"/>
          <w:numId w:val="1038"/>
        </w:numPr>
      </w:pPr>
      <w:r>
        <w:t xml:space="preserve">How does Quranic biblical history compare with the Bible?</w:t>
      </w:r>
    </w:p>
    <w:p>
      <w:pPr>
        <w:pStyle w:val="Compact"/>
        <w:numPr>
          <w:ilvl w:val="0"/>
          <w:numId w:val="1038"/>
        </w:numPr>
      </w:pPr>
      <w:r>
        <w:t xml:space="preserve">Where do Christianity and Islam genuinely agree?</w:t>
      </w:r>
    </w:p>
    <w:p>
      <w:pPr>
        <w:pStyle w:val="Compact"/>
        <w:numPr>
          <w:ilvl w:val="0"/>
          <w:numId w:val="1038"/>
        </w:numPr>
      </w:pPr>
      <w:r>
        <w:t xml:space="preserve">Where do they partially agree?</w:t>
      </w:r>
    </w:p>
    <w:p>
      <w:pPr>
        <w:pStyle w:val="Compact"/>
        <w:numPr>
          <w:ilvl w:val="0"/>
          <w:numId w:val="1038"/>
        </w:numPr>
      </w:pPr>
      <w:r>
        <w:t xml:space="preserve">Where do they fundamentally disagree?</w:t>
      </w:r>
    </w:p>
    <w:p>
      <w:pPr>
        <w:pStyle w:val="Compact"/>
        <w:numPr>
          <w:ilvl w:val="0"/>
          <w:numId w:val="1038"/>
        </w:numPr>
      </w:pPr>
      <w:r>
        <w:t xml:space="preserve">Which alleged contradictions disappear under investigation?</w:t>
      </w:r>
    </w:p>
    <w:p>
      <w:pPr>
        <w:pStyle w:val="Compact"/>
        <w:numPr>
          <w:ilvl w:val="0"/>
          <w:numId w:val="1038"/>
        </w:numPr>
      </w:pPr>
      <w:r>
        <w:t xml:space="preserve">Which remain unresolved?</w:t>
      </w:r>
    </w:p>
    <w:p>
      <w:pPr>
        <w:pStyle w:val="Compact"/>
        <w:numPr>
          <w:ilvl w:val="0"/>
          <w:numId w:val="1038"/>
        </w:numPr>
      </w:pPr>
      <w:r>
        <w:t xml:space="preserve">Which constitute genuine textual incompatibilities?</w:t>
      </w:r>
    </w:p>
    <w:p>
      <w:pPr>
        <w:pStyle w:val="Compact"/>
        <w:numPr>
          <w:ilvl w:val="0"/>
          <w:numId w:val="1038"/>
        </w:numPr>
      </w:pPr>
      <w:r>
        <w:t xml:space="preserve">How internally consistent is the Quran?</w:t>
      </w:r>
    </w:p>
    <w:p>
      <w:pPr>
        <w:pStyle w:val="Compact"/>
        <w:numPr>
          <w:ilvl w:val="0"/>
          <w:numId w:val="1038"/>
        </w:numPr>
      </w:pPr>
      <w:r>
        <w:t xml:space="preserve">What role does abrogation play?</w:t>
      </w:r>
    </w:p>
    <w:p>
      <w:pPr>
        <w:pStyle w:val="Compact"/>
        <w:numPr>
          <w:ilvl w:val="0"/>
          <w:numId w:val="1038"/>
        </w:numPr>
      </w:pPr>
      <w:r>
        <w:t xml:space="preserve">How does Quranic teaching develop chronologically?</w:t>
      </w:r>
    </w:p>
    <w:p>
      <w:pPr>
        <w:pStyle w:val="Compact"/>
        <w:numPr>
          <w:ilvl w:val="0"/>
          <w:numId w:val="1038"/>
        </w:numPr>
      </w:pPr>
      <w:r>
        <w:t xml:space="preserve">What is historically known about Quranic transmission?</w:t>
      </w:r>
    </w:p>
    <w:p>
      <w:pPr>
        <w:pStyle w:val="Compact"/>
        <w:numPr>
          <w:ilvl w:val="0"/>
          <w:numId w:val="1038"/>
        </w:numPr>
      </w:pPr>
      <w:r>
        <w:t xml:space="preserve">What does manuscript evidence demonstrate concerning preservation?</w:t>
      </w:r>
    </w:p>
    <w:p>
      <w:pPr>
        <w:pStyle w:val="Compact"/>
        <w:numPr>
          <w:ilvl w:val="0"/>
          <w:numId w:val="1038"/>
        </w:numPr>
      </w:pPr>
      <w:r>
        <w:t xml:space="preserve">Which commonly repeated claims about Islam or the Quran are supported by evidence?</w:t>
      </w:r>
    </w:p>
    <w:p>
      <w:pPr>
        <w:pStyle w:val="Compact"/>
        <w:numPr>
          <w:ilvl w:val="0"/>
          <w:numId w:val="1038"/>
        </w:numPr>
      </w:pPr>
      <w:r>
        <w:t xml:space="preserve">Which are unsupported or overstated?</w:t>
      </w:r>
    </w:p>
    <w:p>
      <w:pPr>
        <w:pStyle w:val="Compact"/>
        <w:numPr>
          <w:ilvl w:val="0"/>
          <w:numId w:val="1038"/>
        </w:numPr>
      </w:pPr>
      <w:r>
        <w:t xml:space="preserve">Which conclusions are firmly established?</w:t>
      </w:r>
    </w:p>
    <w:p>
      <w:pPr>
        <w:pStyle w:val="Compact"/>
        <w:numPr>
          <w:ilvl w:val="0"/>
          <w:numId w:val="1038"/>
        </w:numPr>
      </w:pPr>
      <w:r>
        <w:t xml:space="preserve">Which remain uncertain?</w:t>
      </w:r>
    </w:p>
    <w:p>
      <w:pPr>
        <w:pStyle w:val="FirstParagraph"/>
      </w:pPr>
      <w:r>
        <w:t xml:space="preserve">Every major answer should be traceable through the repository to its supporting evidence.</w:t>
      </w:r>
    </w:p>
    <w:p>
      <w:r>
        <w:pict>
          <v:rect style="width:0;height:1.5pt" o:hralign="center" o:hrstd="t" o:hr="t"/>
        </w:pict>
      </w:r>
    </w:p>
    <w:bookmarkEnd w:id="74"/>
    <w:bookmarkStart w:id="76" w:name="xxxiv.-governance-and-freeze-rule"/>
    <w:p>
      <w:pPr>
        <w:pStyle w:val="Heading1"/>
      </w:pPr>
      <w:r>
        <w:t xml:space="preserve">XXXIV. GOVERNANCE AND FREEZE RULE</w:t>
      </w:r>
    </w:p>
    <w:p>
      <w:pPr>
        <w:pStyle w:val="FirstParagraph"/>
      </w:pPr>
      <w:r>
        <w:t xml:space="preserve">Once the owner explicitly approves this Constitution:</w:t>
      </w:r>
    </w:p>
    <w:bookmarkStart w:id="75" w:name="the-constitution-becomes-frozen."/>
    <w:p>
      <w:pPr>
        <w:pStyle w:val="Heading2"/>
      </w:pPr>
      <w:r>
        <w:t xml:space="preserve">THE CONSTITUTION BECOMES FROZEN.</w:t>
      </w:r>
    </w:p>
    <w:p>
      <w:pPr>
        <w:pStyle w:val="FirstParagraph"/>
      </w:pPr>
      <w:r>
        <w:t xml:space="preserve">After freezing:</w:t>
      </w:r>
    </w:p>
    <w:p>
      <w:pPr>
        <w:pStyle w:val="Compact"/>
        <w:numPr>
          <w:ilvl w:val="0"/>
          <w:numId w:val="1039"/>
        </w:numPr>
      </w:pPr>
      <w:r>
        <w:t xml:space="preserve">No new tracking systems will be casually introduced.</w:t>
      </w:r>
    </w:p>
    <w:p>
      <w:pPr>
        <w:pStyle w:val="Compact"/>
        <w:numPr>
          <w:ilvl w:val="0"/>
          <w:numId w:val="1039"/>
        </w:numPr>
      </w:pPr>
      <w:r>
        <w:t xml:space="preserve">No new research repositories will be created simply because another organization later appears attractive.</w:t>
      </w:r>
    </w:p>
    <w:p>
      <w:pPr>
        <w:pStyle w:val="Compact"/>
        <w:numPr>
          <w:ilvl w:val="0"/>
          <w:numId w:val="1039"/>
        </w:numPr>
      </w:pPr>
      <w:r>
        <w:t xml:space="preserve">No established ID systems will be replaced.</w:t>
      </w:r>
    </w:p>
    <w:p>
      <w:pPr>
        <w:pStyle w:val="Compact"/>
        <w:numPr>
          <w:ilvl w:val="0"/>
          <w:numId w:val="1039"/>
        </w:numPr>
      </w:pPr>
      <w:r>
        <w:t xml:space="preserve">No evidence standards will be silently changed.</w:t>
      </w:r>
    </w:p>
    <w:p>
      <w:pPr>
        <w:pStyle w:val="Compact"/>
        <w:numPr>
          <w:ilvl w:val="0"/>
          <w:numId w:val="1039"/>
        </w:numPr>
      </w:pPr>
      <w:r>
        <w:t xml:space="preserve">No required research categories will be silently dropped.</w:t>
      </w:r>
    </w:p>
    <w:p>
      <w:pPr>
        <w:pStyle w:val="Compact"/>
        <w:numPr>
          <w:ilvl w:val="0"/>
          <w:numId w:val="1039"/>
        </w:numPr>
      </w:pPr>
      <w:r>
        <w:t xml:space="preserve">No substantive simplification will occur without owner approval.</w:t>
      </w:r>
    </w:p>
    <w:p>
      <w:pPr>
        <w:pStyle w:val="FirstParagraph"/>
      </w:pPr>
      <w:r>
        <w:t xml:space="preserve">A genuinely unforeseen defect may require correction, but it must be:</w:t>
      </w:r>
    </w:p>
    <w:p>
      <w:pPr>
        <w:pStyle w:val="Compact"/>
        <w:numPr>
          <w:ilvl w:val="0"/>
          <w:numId w:val="1040"/>
        </w:numPr>
      </w:pPr>
      <w:r>
        <w:t xml:space="preserve">identified explicitly;</w:t>
      </w:r>
    </w:p>
    <w:p>
      <w:pPr>
        <w:pStyle w:val="Compact"/>
        <w:numPr>
          <w:ilvl w:val="0"/>
          <w:numId w:val="1040"/>
        </w:numPr>
      </w:pPr>
      <w:r>
        <w:t xml:space="preserve">explained;</w:t>
      </w:r>
    </w:p>
    <w:p>
      <w:pPr>
        <w:pStyle w:val="Compact"/>
        <w:numPr>
          <w:ilvl w:val="0"/>
          <w:numId w:val="1040"/>
        </w:numPr>
      </w:pPr>
      <w:r>
        <w:t xml:space="preserve">evaluated for effects upon previous research;</w:t>
      </w:r>
    </w:p>
    <w:p>
      <w:pPr>
        <w:pStyle w:val="Compact"/>
        <w:numPr>
          <w:ilvl w:val="0"/>
          <w:numId w:val="1040"/>
        </w:numPr>
      </w:pPr>
      <w:r>
        <w:t xml:space="preserve">approved by the owner;</w:t>
      </w:r>
    </w:p>
    <w:p>
      <w:pPr>
        <w:pStyle w:val="Compact"/>
        <w:numPr>
          <w:ilvl w:val="0"/>
          <w:numId w:val="1040"/>
        </w:numPr>
      </w:pPr>
      <w:r>
        <w:t xml:space="preserve">documented as a formal amendment;</w:t>
      </w:r>
    </w:p>
    <w:p>
      <w:pPr>
        <w:pStyle w:val="Compact"/>
        <w:numPr>
          <w:ilvl w:val="0"/>
          <w:numId w:val="1040"/>
        </w:numPr>
      </w:pPr>
      <w:r>
        <w:t xml:space="preserve">and applied consistently.</w:t>
      </w:r>
    </w:p>
    <w:p>
      <w:pPr>
        <w:pStyle w:val="FirstParagraph"/>
      </w:pPr>
      <w:r>
        <w:rPr>
          <w:b/>
          <w:bCs/>
        </w:rPr>
        <w:t xml:space="preserve">New information belongs inside the architecture.</w:t>
      </w:r>
    </w:p>
    <w:p>
      <w:pPr>
        <w:pStyle w:val="BodyText"/>
      </w:pPr>
      <w:r>
        <w:rPr>
          <w:b/>
          <w:bCs/>
        </w:rPr>
        <w:t xml:space="preserve">New information does not automatically justify new architecture.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xxv.-no-midstream-redesign-rule"/>
    <w:p>
      <w:pPr>
        <w:pStyle w:val="Heading1"/>
      </w:pPr>
      <w:r>
        <w:t xml:space="preserve">XXXV. NO-MIDSTREAM-REDESIGN RULE</w:t>
      </w:r>
    </w:p>
    <w:p>
      <w:pPr>
        <w:pStyle w:val="FirstParagraph"/>
      </w:pPr>
      <w:r>
        <w:t xml:space="preserve">The planning stage ends when this Constitution and the initial checkpoint schedule are frozen.</w:t>
      </w:r>
    </w:p>
    <w:p>
      <w:pPr>
        <w:pStyle w:val="BodyText"/>
      </w:pPr>
      <w:r>
        <w:t xml:space="preserve">Once Surah 1 research begins, the project’s purpose changes from:</w:t>
      </w:r>
    </w:p>
    <w:p>
      <w:pPr>
        <w:pStyle w:val="BlockText"/>
      </w:pPr>
      <w:r>
        <w:rPr>
          <w:b/>
          <w:bCs/>
        </w:rPr>
        <w:t xml:space="preserve">designing the research system</w:t>
      </w:r>
    </w:p>
    <w:p>
      <w:pPr>
        <w:pStyle w:val="FirstParagraph"/>
      </w:pPr>
      <w:r>
        <w:t xml:space="preserve">to:</w:t>
      </w:r>
    </w:p>
    <w:p>
      <w:pPr>
        <w:pStyle w:val="BlockText"/>
      </w:pPr>
      <w:r>
        <w:rPr>
          <w:b/>
          <w:bCs/>
        </w:rPr>
        <w:t xml:space="preserve">executing the research system.</w:t>
      </w:r>
    </w:p>
    <w:p>
      <w:pPr>
        <w:pStyle w:val="FirstParagraph"/>
      </w:pPr>
      <w:r>
        <w:t xml:space="preserve">A new discovery that does not perfectly fit an anticipated category should first be accommodated within the existing repository and cross-reference architecture.</w:t>
      </w:r>
    </w:p>
    <w:p>
      <w:pPr>
        <w:pStyle w:val="BodyText"/>
      </w:pPr>
      <w:r>
        <w:t xml:space="preserve">The project will not repeatedly redesign itself while research is underway.</w:t>
      </w:r>
    </w:p>
    <w:p>
      <w:r>
        <w:pict>
          <v:rect style="width:0;height:1.5pt" o:hralign="center" o:hrstd="t" o:hr="t"/>
        </w:pict>
      </w:r>
    </w:p>
    <w:bookmarkEnd w:id="77"/>
    <w:bookmarkStart w:id="78" w:name="xxxvi.-final-quality-standard"/>
    <w:p>
      <w:pPr>
        <w:pStyle w:val="Heading1"/>
      </w:pPr>
      <w:r>
        <w:t xml:space="preserve">XXXVI. FINAL QUALITY STANDARD</w:t>
      </w:r>
    </w:p>
    <w:p>
      <w:pPr>
        <w:pStyle w:val="FirstParagraph"/>
      </w:pPr>
      <w:r>
        <w:t xml:space="preserve">The Quran Research Project must be:</w:t>
      </w:r>
    </w:p>
    <w:p>
      <w:pPr>
        <w:pStyle w:val="BodyText"/>
      </w:pPr>
      <w:r>
        <w:rPr>
          <w:b/>
          <w:bCs/>
        </w:rPr>
        <w:t xml:space="preserve">Text-centered.</w:t>
      </w:r>
      <w:r>
        <w:br/>
      </w:r>
      <w:r>
        <w:rPr>
          <w:b/>
          <w:bCs/>
        </w:rPr>
        <w:t xml:space="preserve">Original-language aware.</w:t>
      </w:r>
      <w:r>
        <w:br/>
      </w:r>
      <w:r>
        <w:rPr>
          <w:b/>
          <w:bCs/>
        </w:rPr>
        <w:t xml:space="preserve">Historically informed.</w:t>
      </w:r>
      <w:r>
        <w:br/>
      </w:r>
      <w:r>
        <w:rPr>
          <w:b/>
          <w:bCs/>
        </w:rPr>
        <w:t xml:space="preserve">Source-transparent.</w:t>
      </w:r>
      <w:r>
        <w:br/>
      </w:r>
      <w:r>
        <w:rPr>
          <w:b/>
          <w:bCs/>
        </w:rPr>
        <w:t xml:space="preserve">Cross-referenced.</w:t>
      </w:r>
      <w:r>
        <w:br/>
      </w:r>
      <w:r>
        <w:rPr>
          <w:b/>
          <w:bCs/>
        </w:rPr>
        <w:t xml:space="preserve">Cumulative.</w:t>
      </w:r>
      <w:r>
        <w:br/>
      </w:r>
      <w:r>
        <w:rPr>
          <w:b/>
          <w:bCs/>
        </w:rPr>
        <w:t xml:space="preserve">Recoverable.</w:t>
      </w:r>
      <w:r>
        <w:br/>
      </w:r>
      <w:r>
        <w:rPr>
          <w:b/>
          <w:bCs/>
        </w:rPr>
        <w:t xml:space="preserve">Evidence-classified.</w:t>
      </w:r>
      <w:r>
        <w:br/>
      </w:r>
      <w:r>
        <w:rPr>
          <w:b/>
          <w:bCs/>
        </w:rPr>
        <w:t xml:space="preserve">Fair to competing interpretations.</w:t>
      </w:r>
      <w:r>
        <w:br/>
      </w:r>
      <w:r>
        <w:rPr>
          <w:b/>
          <w:bCs/>
        </w:rPr>
        <w:t xml:space="preserve">Explicit about uncertainty.</w:t>
      </w:r>
      <w:r>
        <w:br/>
      </w:r>
      <w:r>
        <w:rPr>
          <w:b/>
          <w:bCs/>
        </w:rPr>
        <w:t xml:space="preserve">Consistent from Surah 1 through Surah 114.</w:t>
      </w:r>
      <w:r>
        <w:br/>
      </w:r>
      <w:r>
        <w:rPr>
          <w:b/>
          <w:bCs/>
        </w:rPr>
        <w:t xml:space="preserve">And completely traceable from final conclusion back to evidence.</w:t>
      </w:r>
    </w:p>
    <w:p>
      <w:r>
        <w:pict>
          <v:rect style="width:0;height:1.5pt" o:hralign="center" o:hrstd="t" o:hr="t"/>
        </w:pict>
      </w:r>
    </w:p>
    <w:bookmarkEnd w:id="78"/>
    <w:bookmarkStart w:id="79" w:name="xxxvii.-foundational-principle"/>
    <w:p>
      <w:pPr>
        <w:pStyle w:val="Heading1"/>
      </w:pPr>
      <w:r>
        <w:t xml:space="preserve">XXXVII. FOUNDATIONAL PRINCIPLE</w:t>
      </w:r>
    </w:p>
    <w:p>
      <w:pPr>
        <w:pStyle w:val="BlockText"/>
      </w:pPr>
      <w:r>
        <w:rPr>
          <w:b/>
          <w:bCs/>
        </w:rPr>
        <w:t xml:space="preserve">Read what the text says.</w:t>
      </w:r>
    </w:p>
    <w:p>
      <w:pPr>
        <w:pStyle w:val="BlockText"/>
      </w:pPr>
      <w:r>
        <w:rPr>
          <w:b/>
          <w:bCs/>
        </w:rPr>
        <w:t xml:space="preserve">Examine what the original language permits.</w:t>
      </w:r>
    </w:p>
    <w:p>
      <w:pPr>
        <w:pStyle w:val="BlockText"/>
      </w:pPr>
      <w:r>
        <w:rPr>
          <w:b/>
          <w:bCs/>
        </w:rPr>
        <w:t xml:space="preserve">Determine where a claim actually originates.</w:t>
      </w:r>
    </w:p>
    <w:p>
      <w:pPr>
        <w:pStyle w:val="BlockText"/>
      </w:pPr>
      <w:r>
        <w:rPr>
          <w:b/>
          <w:bCs/>
        </w:rPr>
        <w:t xml:space="preserve">Compare claims with the relevant evidence.</w:t>
      </w:r>
    </w:p>
    <w:p>
      <w:pPr>
        <w:pStyle w:val="BlockText"/>
      </w:pPr>
      <w:r>
        <w:rPr>
          <w:b/>
          <w:bCs/>
        </w:rPr>
        <w:t xml:space="preserve">Represent competing interpretations fairly.</w:t>
      </w:r>
    </w:p>
    <w:p>
      <w:pPr>
        <w:pStyle w:val="BlockText"/>
      </w:pPr>
      <w:r>
        <w:rPr>
          <w:b/>
          <w:bCs/>
        </w:rPr>
        <w:t xml:space="preserve">Distinguish text from tradition.</w:t>
      </w:r>
    </w:p>
    <w:p>
      <w:pPr>
        <w:pStyle w:val="BlockText"/>
      </w:pPr>
      <w:r>
        <w:rPr>
          <w:b/>
          <w:bCs/>
        </w:rPr>
        <w:t xml:space="preserve">Distinguish evidence from inference.</w:t>
      </w:r>
    </w:p>
    <w:p>
      <w:pPr>
        <w:pStyle w:val="BlockText"/>
      </w:pPr>
      <w:r>
        <w:rPr>
          <w:b/>
          <w:bCs/>
        </w:rPr>
        <w:t xml:space="preserve">Record disagreements rather than hiding them.</w:t>
      </w:r>
    </w:p>
    <w:p>
      <w:pPr>
        <w:pStyle w:val="BlockText"/>
      </w:pPr>
      <w:r>
        <w:rPr>
          <w:b/>
          <w:bCs/>
        </w:rPr>
        <w:t xml:space="preserve">Admit uncertainty when the evidence is uncertain.</w:t>
      </w:r>
    </w:p>
    <w:p>
      <w:pPr>
        <w:pStyle w:val="BlockText"/>
      </w:pPr>
      <w:r>
        <w:rPr>
          <w:b/>
          <w:bCs/>
        </w:rPr>
        <w:t xml:space="preserve">Follow the evidence wherever it leads.</w:t>
      </w:r>
    </w:p>
    <w:p>
      <w:r>
        <w:pict>
          <v:rect style="width:0;height:1.5pt" o:hralign="center" o:hrstd="t" o:hr="t"/>
        </w:pict>
      </w:r>
    </w:p>
    <w:bookmarkEnd w:id="79"/>
    <w:bookmarkStart w:id="80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rPr>
          <w:b/>
          <w:bCs/>
        </w:rPr>
        <w:t xml:space="preserve">Quran Research Constitution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FINAL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16, 2026</w:t>
      </w:r>
      <w:r>
        <w:br/>
      </w:r>
      <w:r>
        <w:rPr>
          <w:b/>
          <w:bCs/>
        </w:rPr>
        <w:t xml:space="preserve">Research Order:</w:t>
      </w:r>
      <w:r>
        <w:t xml:space="preserve"> </w:t>
      </w:r>
      <w:r>
        <w:t xml:space="preserve">Canonical — Surah 1 → Surah 114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OWNER APPROVAL AND FREEZE</w:t>
      </w:r>
    </w:p>
    <w:p>
      <w:pPr>
        <w:pStyle w:val="BodyText"/>
      </w:pPr>
      <w:r>
        <w:t xml:space="preserve">Upon explicit owner approval:</w:t>
      </w:r>
    </w:p>
    <w:p>
      <w:pPr>
        <w:pStyle w:val="BlockText"/>
      </w:pPr>
      <w:r>
        <w:rPr>
          <w:b/>
          <w:bCs/>
        </w:rPr>
        <w:t xml:space="preserve">FROZEN — QURAN RESEARCH CONSTITUTION v1.0</w:t>
      </w:r>
    </w:p>
    <w:p>
      <w:pPr>
        <w:pStyle w:val="FirstParagraph"/>
      </w:pPr>
      <w:r>
        <w:t xml:space="preserve">No additional research architecture will be introduced during the project except through the formal amendment procedure defined by this Constitution.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