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S001 — AL-FĀTIḤAH (THE OPENING)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Canonical position: </w:t>
      </w:r>
      <w:r>
        <w:rPr>
          <w:rFonts w:ascii="Calibri" w:hAnsi="Calibri" w:eastAsia="Calibri"/>
          <w:b w:val="0"/>
          <w:i w:val="0"/>
          <w:color w:val="222222"/>
          <w:sz w:val="22"/>
        </w:rPr>
        <w:t>Surah 1 of 114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Verses in standard Kufan count: </w:t>
      </w:r>
      <w:r>
        <w:rPr>
          <w:rFonts w:ascii="Calibri" w:hAnsi="Calibri" w:eastAsia="Calibri"/>
          <w:b w:val="0"/>
          <w:i w:val="0"/>
          <w:color w:val="222222"/>
          <w:sz w:val="22"/>
        </w:rPr>
        <w:t>7 (basmala counted as v.1)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Traditional chronology: </w:t>
      </w:r>
      <w:r>
        <w:rPr>
          <w:rFonts w:ascii="Calibri" w:hAnsi="Calibri" w:eastAsia="Calibri"/>
          <w:b w:val="0"/>
          <w:i w:val="0"/>
          <w:color w:val="222222"/>
          <w:sz w:val="22"/>
        </w:rPr>
        <w:t>Meccan — commonly listed among the earliest; exact serial number in revelation lists varies (often ~5th). Certainty: traditional, not internally dated by the surah.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Checkpoint: </w:t>
      </w:r>
      <w:r>
        <w:rPr>
          <w:rFonts w:ascii="Calibri" w:hAnsi="Calibri" w:eastAsia="Calibri"/>
          <w:b w:val="0"/>
          <w:i w:val="0"/>
          <w:color w:val="222222"/>
          <w:sz w:val="22"/>
        </w:rPr>
        <w:t>Complete short-surah packet (CUM-00 system test)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Evidence 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10 September 2026</w:t>
      </w:r>
    </w:p>
    <w:p>
      <w:pPr>
        <w:pStyle w:val="Heading1"/>
      </w:pPr>
      <w:r>
        <w:rPr>
          <w:rFonts w:ascii="Calibri" w:hAnsi="Calibri"/>
          <w:color w:val="1B3A4B"/>
        </w:rPr>
        <w:t>1. Surah Overview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Al-Fatihah is a short liturgical unit of praise and petition. It names God, ascribes praise and mercy and eschatological authority to God, then switches from third-person description to second-person address: exclusive worship and help-seeking, then a request for guidance on a path defined by favor and by two rejected alternatives (those subjected to anger; those who go astray).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surah does not narrate an event, name Muhammad, name Jesus, name earlier books, or issue a legal ruling. Later Islamic practice treats it as the required opening of ritual prayer. That liturgical use is Level 3–4 (early/classical tradition), not a Level 1 statement inside these seven verses.</w:t>
      </w:r>
    </w:p>
    <w:p>
      <w:pPr>
        <w:pStyle w:val="Heading1"/>
      </w:pPr>
      <w:r>
        <w:rPr>
          <w:rFonts w:ascii="Calibri" w:hAnsi="Calibri"/>
          <w:color w:val="1B3A4B"/>
        </w:rPr>
        <w:t>2. Structural Analysis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Two-movement structure is the most economical reading of the Arabic: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A. vv.1–4 — Identification and praise of God (basmala + hamd + mercy + eschatological sovereignty).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B. vv.5–7 — Address to God: exclusive worship and aid; petition for guidance; triple path-classification (favored / angered-upon / astray).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v.5 is the hinge: iyyaka (“You [alone]”) fronted twice. Classical tafsir often splits the surah as “half for God, half for the servant.” That split is a later pedagogical frame (Level 4) that maps reasonably onto the grammar but is not stated by the text.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Verse-count dispute: most printed muṣḥafs following the Kufan tradition count the basmala as 1:1 and close at seven verses. Some other counting traditions treat the basmala as a header and split v.7, still totaling seven. This is a recitation/codex convention issue, not a different wording of the prayer body. Classification: OPEN on which count is “original”; DIRECT that the wording block is stable.</w:t>
      </w:r>
    </w:p>
    <w:p>
      <w:pPr>
        <w:pStyle w:val="Heading1"/>
      </w:pPr>
      <w:r>
        <w:rPr>
          <w:rFonts w:ascii="Calibri" w:hAnsi="Calibri"/>
          <w:color w:val="1B3A4B"/>
        </w:rPr>
        <w:t>3. Verse-by-Verse Investigation</w:t>
      </w:r>
    </w:p>
    <w:p>
      <w:pPr>
        <w:pStyle w:val="Heading2"/>
      </w:pPr>
      <w:r>
        <w:rPr>
          <w:rFonts w:ascii="Calibri" w:hAnsi="Calibri"/>
          <w:color w:val="1B3A4B"/>
        </w:rPr>
        <w:t>1:1  bismi llāhi l-raḥmāni l-raḥīm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“In the name of Allah, the Raḥmān, the Raḥīm.” Formula of invocation. Allah is the proper name used throughout the Quran for God. Al-Raḥmān and al-Raḥīm share root r-ḥ-m (mercy; also raḥim, womb). Traditional distinction: Raḥmān as expansive/universal mercy, Raḥīm as enduring or particular mercy. That distinction is classical exegesis (Level 4), widely repeated, not parsed by 1:1 itself. DIRECT: God is named and two mercy epithets are applied.</w:t>
      </w:r>
    </w:p>
    <w:p>
      <w:pPr>
        <w:pStyle w:val="Heading2"/>
      </w:pPr>
      <w:r>
        <w:rPr>
          <w:rFonts w:ascii="Calibri" w:hAnsi="Calibri"/>
          <w:color w:val="1B3A4B"/>
        </w:rPr>
        <w:t>1:2  al-ḥamdu li-llāhi rabbi l-ʿālamīn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“The praise is for Allah, rabb of the ʿālamīn.” Al-ḥamd is praise/commendation with the definite article (the praise, not merely a praise). Rabb covers lord, owner, fosterer, master — not only “deity.” ʿĀlamīn is plural of ʿālam (world/realm/class of beings). English “worlds / universe / all beings” all sit inside the semantic range. DIRECT: praise is ascribed to Allah as rabb of the ʿālamīn.</w:t>
      </w:r>
    </w:p>
    <w:p>
      <w:pPr>
        <w:pStyle w:val="Heading2"/>
      </w:pPr>
      <w:r>
        <w:rPr>
          <w:rFonts w:ascii="Calibri" w:hAnsi="Calibri"/>
          <w:color w:val="1B3A4B"/>
        </w:rPr>
        <w:t>1:3  al-raḥmāni l-raḥīm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Repeats the two mercy names without Allah. Reinforces mercy after lordship. DIRECT repetition. SYNTHESIS: mercy is not a minor attribute in this opening unit.</w:t>
      </w:r>
    </w:p>
    <w:p>
      <w:pPr>
        <w:pStyle w:val="Heading2"/>
      </w:pPr>
      <w:r>
        <w:rPr>
          <w:rFonts w:ascii="Calibri" w:hAnsi="Calibri"/>
          <w:color w:val="1B3A4B"/>
        </w:rPr>
        <w:t>1:4  māliki / maliki yawmi l-dīn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Two canonical readings of the first word exist: mālik (owner/possessor) and malik (king). Both are among the accepted qirāʾāt. Yawm al-dīn: dīn here is widely read as requital/judgment rather than “religion” in the modern institutional sense, though dīn’s Quranic range includes religion, debt, custom, and requital. Immediate phrase is eschatological. DIRECT: God is mālik or malik of the Day of dīn. OPEN: whether the authorial/performative intention was one reading only.</w:t>
      </w:r>
    </w:p>
    <w:p>
      <w:pPr>
        <w:pStyle w:val="Heading2"/>
      </w:pPr>
      <w:r>
        <w:rPr>
          <w:rFonts w:ascii="Calibri" w:hAnsi="Calibri"/>
          <w:color w:val="1B3A4B"/>
        </w:rPr>
        <w:t>1:5  iyyāka naʿbudu wa-iyyāka nastaʿīn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Object fronted twice with iyyāka (“You”). Naʿbudu from ʿ-b-d (serve/worship/enslave oneself to). Nastaʿīn from ʿ-w-n (seek help). First-person plural. The grammar strongly marks exclusivity of the object; English “alone” is an interpretive tightening that most translators add because of the fronting. DIRECT: the speakers worship and seek help from the addressee. STRONG PATTERN (grammar): exclusivity of that object. The speakers are not identified by name.</w:t>
      </w:r>
    </w:p>
    <w:p>
      <w:pPr>
        <w:pStyle w:val="Heading2"/>
      </w:pPr>
      <w:r>
        <w:rPr>
          <w:rFonts w:ascii="Calibri" w:hAnsi="Calibri"/>
          <w:color w:val="1B3A4B"/>
        </w:rPr>
        <w:t>1:6  ihdinā l-ṣirāṭa l-mustaqīm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“Guide us (to/on) the straight path.” Ihdinā is a request for hidāyah (guidance). Ṣirāṭ is a path/road (loanword likely from Latin via Greek/Aramaic strata of late antique Near East — linguistic history, not a Level 1 theological claim). Mustaqīm: straight, upright, correct. DIRECT: the speakers ask God to guide them on a straight path.</w:t>
      </w:r>
    </w:p>
    <w:p>
      <w:pPr>
        <w:pStyle w:val="Heading2"/>
      </w:pPr>
      <w:r>
        <w:rPr>
          <w:rFonts w:ascii="Calibri" w:hAnsi="Calibri"/>
          <w:color w:val="1B3A4B"/>
        </w:rPr>
        <w:t>1:7  ṣirāṭa lladhīna anʿamta ʿalayhim ghayri l-maghḍūbi ʿalayhim wa-lā l-ḍāllīn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path is defined by three groups: (1) those You have favored; (2) not those angered-upon; (3) nor those who go astray. Anʿamta is second-person: God is the subject of favor. Al-maghḍūbi ʿalayhim is a passive participle plus preposition: “those upon whom anger has fallen.” The text does not name the agent of anger in this clause, though the surah’s addressee is God. Al-ḍāllīn: those who stray/err. DIRECT: three-way classification of paths/people. The Quran in this surah does not name Jews, Christians, or any ethnicity. Identification of group (2) with Jews and group (3) with Christians is a widespread traditional tafsir claim (Level 3–4) and is audited as QCA-0002.</w:t>
      </w:r>
    </w:p>
    <w:p>
      <w:pPr>
        <w:pStyle w:val="Heading1"/>
      </w:pPr>
      <w:r>
        <w:rPr>
          <w:rFonts w:ascii="Calibri" w:hAnsi="Calibri"/>
          <w:color w:val="1B3A4B"/>
        </w:rPr>
        <w:t>4. Arabic Language Analysis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Observation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Fronting iyyāka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Marks the object as exclusive focus; strongest grammatical basis for “You alone.”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Shift of person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vv.1–4 describe God; vv.5–7 address God. Standard hymnic move.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Passive maghḍūb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Does not say “those You are angry with” in so many words; agent is implicit.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Qira'ah 1:4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mālik vs malik — both canonical; sense adjacent (owner vs king) not opposite.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Root r-ḥ-m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Mercy vocabulary dominates the opening (1:1, 1:3).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Plural voice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naʿbudu / nastaʿīn / ihdinā — communal or generic “we,” not specified.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5. Parallel Translation Analysis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Material splits worth recording (not every synonym).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Locus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How translations split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Return to Arabic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Allah / God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SI, Pickthall keep Allah; Arberry, Haleem often God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Proper name vs generic English theos/god convention. Not a doctrinal split in 1:1–2.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Raḥmān / Raḥīm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SI: Entirely / Especially Merciful; Haleem: Lord of Mercy / Giver of Mercy; Pickthall: Beneficent / Merciful; YA: Most Gracious / Most Merciful; Arberry: Merciful / Compassionate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All render mercy. The SI/Haleem extra precision is interpretive, not forced by morphology alone.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rabb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Lord / Cherisher and Sustainer (YA)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YA unpacks rabb; others keep Lord.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ʿālamīn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worlds / all Being / universe / 'Alamin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Plural worlds/beings is safer than a modern “universe” as a single cosmos.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mālik / malik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Master / Owner / Sovereign / King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Reflects the qira'ah and the translator’s pick. Record both readings.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dīn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Judgment / Recompense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Requital sense is strong here; “religion” would under-read yawm.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iyyāka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Thee / You (alone)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“Alone” is grammatical inference from fronting.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maghḍūb / ḍāllīn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earn Thine anger / go astray; those who evoke anger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None of the core five insert “Jews” or “Christians” in the translation line.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6. Theological Findings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God is one addressee, merciful, praiseworthy, lord of the worlds, and eschatological judge/owner. Worship and help-seeking are directed to that addressee. Human need for guidance is assumed. Moral/religious space is divided into favored, angered-upon, and astray. Salvation language in the later systematic sense (atonement, justification) is not present. Intercession is not mentioned. Muhammad is not mentioned.</w:t>
      </w:r>
    </w:p>
    <w:p>
      <w:pPr>
        <w:pStyle w:val="Heading1"/>
      </w:pPr>
      <w:r>
        <w:rPr>
          <w:rFonts w:ascii="Calibri" w:hAnsi="Calibri"/>
          <w:color w:val="1B3A4B"/>
        </w:rPr>
        <w:t>7. Internal Quran Cross-References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At this stage only forward pointers, not yet investigated in-project: rabb al-ʿālamīn recurs often; al-Raḥmān is a major name (e.g. Surah 55); ṣirāṭ mustaqīm recurs; yawm al-dīn and dīn-as-requital recur; exclusive worship theme will be tested against later legal and polemical passages. No internal tension (QI) is claimed from S001 alone.</w:t>
      </w:r>
    </w:p>
    <w:p>
      <w:pPr>
        <w:pStyle w:val="Heading1"/>
      </w:pPr>
      <w:r>
        <w:rPr>
          <w:rFonts w:ascii="Calibri" w:hAnsi="Calibri"/>
          <w:color w:val="1B3A4B"/>
        </w:rPr>
        <w:t>8. Biblical Cross-References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Genre-level resemblance, not quotation: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Psalmic praise of the LORD as king and refuge (e.g. Psalm 24; 86; 145). Petition “teach me thy way / lead me” (Psalm 25; 27). The Lord’s Prayer (Matthew 6:9–13 / Luke 11:2–4): address to God, name/hallowing, petition for divine action, moral path. These are structural and thematic analogies. S001 does not cite them. No shared wording that would demonstrate literary dependence has been established here.</w:t>
      </w:r>
    </w:p>
    <w:p>
      <w:pPr>
        <w:pStyle w:val="Heading1"/>
      </w:pPr>
      <w:r>
        <w:rPr>
          <w:rFonts w:ascii="Calibri" w:hAnsi="Calibri"/>
          <w:color w:val="1B3A4B"/>
        </w:rPr>
        <w:t>9. Agreement / Difference Analysis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AGREEMENT (limited, thematic): a merciful, praiseworthy God; prayer for guidance; coming judgment. PARTIAL AGREEMENT with biblical prayer: communal petition to one God, without the Lord’s Prayer’s “Father” language and without S001’s three-group path formula. OMISSION: no Jesus, no Spirit, no covenant name YHWH, no Israel, no church. DIRECT CONTRADICTION: none declared from S001 alone. See QB-0001.</w:t>
      </w:r>
    </w:p>
    <w:p>
      <w:pPr>
        <w:pStyle w:val="Heading1"/>
      </w:pPr>
      <w:r>
        <w:rPr>
          <w:rFonts w:ascii="Calibri" w:hAnsi="Calibri"/>
          <w:color w:val="1B3A4B"/>
        </w:rPr>
        <w:t>10. Historical Context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If the traditional Meccan early dating is accepted, the unit is a short monotheistic prayer in a polytheistic cultic environment. The text itself does not date itself. Pre-Islamic Arabic already used Allah for a high god; the Quranic move is to attach exclusive worship and eschatological ownership to that name. Certainty on extra-textual setting: traditional + historically plausible; not proven by S001 wording.</w:t>
      </w:r>
    </w:p>
    <w:p>
      <w:pPr>
        <w:pStyle w:val="Heading1"/>
      </w:pPr>
      <w:r>
        <w:rPr>
          <w:rFonts w:ascii="Calibri" w:hAnsi="Calibri"/>
          <w:color w:val="1B3A4B"/>
        </w:rPr>
        <w:t>11. Narrative Parallels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No narrative in this surah. No finding.</w:t>
      </w:r>
    </w:p>
    <w:p>
      <w:pPr>
        <w:pStyle w:val="Heading1"/>
      </w:pPr>
      <w:r>
        <w:rPr>
          <w:rFonts w:ascii="Calibri" w:hAnsi="Calibri"/>
          <w:color w:val="1B3A4B"/>
        </w:rPr>
        <w:t>12. Core Research Question Evaluation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QRQ</w:t>
            </w:r>
          </w:p>
        </w:tc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S001 contribution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QRQ-0001 God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Primary data: names, mercy, lordship, judgment-day sovereignty, exclusive worship/help.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QRQ-0002 Jesus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 finding.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QRQ-0003 Earlier Scripture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 finding.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QRQ-0004 Muhammad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 finding.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QRQ-0005 Revelation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 finding on mechanism. The surah is itself treated by Muslims as revealed speech; that claim is external to these verses.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QRQ-0006 Salvation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Guidance requested; favor mentioned; no atonement mechanics.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QRQ-0007 Sin / nature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Astray / angered-upon imply failure; no Adamic fall.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QRQ-0008 Afterlife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Yawm al-din named; paradise/hell not described.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QRQ-0009 Biblical people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 finding.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QRQ-0010 Continuity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 explicit claim to confirm or replace earlier books.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13. QDISC Updates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QDISC-0001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S001 is a two-movement praise-and-petition unit directing exclusive worship and help-seeking to Allah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DIRECT + grammar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QDISC-0002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1:4 has two canonical readings, malik and malik, with adjacent not opposite senses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DIRECT (textual history)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QDISC-0003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Kufan verse count treats basmala as 1:1; other counts exist; wording of the prayer body is the same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OPEN on originality of count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QDISC-0004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1:7 names no ethnicity or religion; “Jews / Christians” reading is later tafsir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DIRECT on silence of text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14. QB Updates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 so far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QB-0001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Fatiha and biblical prayer (Psalms / Lord’s Prayer): shared petition-to-one-God genre without demonstrated dependence or contradiction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PARTIAL AGREEMENT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15. QI Updates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No finding in this unit. No QI issued.</w:t>
      </w:r>
    </w:p>
    <w:p>
      <w:pPr>
        <w:pStyle w:val="Heading1"/>
      </w:pPr>
      <w:r>
        <w:rPr>
          <w:rFonts w:ascii="Calibri" w:hAnsi="Calibri"/>
          <w:color w:val="1B3A4B"/>
        </w:rPr>
        <w:t>16. QCA Updates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Claim audited</w:t>
            </w:r>
          </w:p>
        </w:tc>
        <w:tc>
          <w:tcPr>
            <w:tcW w:type="dxa" w:w="321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 so far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QCA-0001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“Islam and Christianity worship exactly the same conception of God.”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OPEN. S001 describes a single merciful eschatological Lord. That is compatible with overlap and insufficient to prove identity of conception. Later Christology/tawhid passages required.</w:t>
            </w:r>
          </w:p>
        </w:tc>
      </w:tr>
      <w:tr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QCA-0002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“Quran 1:7 refers to Jews as those under anger and Christians as those who go astray.”</w:t>
            </w:r>
          </w:p>
        </w:tc>
        <w:tc>
          <w:tcPr>
            <w:tcW w:type="dxa" w:w="321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Not a Level 1 Quranic statement. Widespread in hadith/tafsir (Level 3–4). Text itself is unnamed groups. Status: claim originates in tradition, not in the wording of 1:7.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17. Dictionary Updates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First-pass entries logged in Registers_Master.xlsx sheet Dictionary: Allah, Rabb, Rahman, Rahim, Hamd, Alamin, Malik, Malik_king, Yawm, Din, Ibadah, Istiana, Sirat, Mustaqim, Anama, Maghdub, Dallin, Iyyaka.</w:t>
      </w:r>
    </w:p>
    <w:p>
      <w:pPr>
        <w:pStyle w:val="Heading1"/>
      </w:pPr>
      <w:r>
        <w:rPr>
          <w:rFonts w:ascii="Calibri" w:hAnsi="Calibri"/>
          <w:color w:val="1B3A4B"/>
        </w:rPr>
        <w:t>18. Major-Figure Dossier Updates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God/Allah dossier opened with S001 profile. Jesus dossier remains a shell. Muhammad dossier not opened (figure unnamed).</w:t>
      </w:r>
    </w:p>
    <w:p>
      <w:pPr>
        <w:pStyle w:val="Heading1"/>
      </w:pPr>
      <w:r>
        <w:rPr>
          <w:rFonts w:ascii="Calibri" w:hAnsi="Calibri"/>
          <w:color w:val="1B3A4B"/>
        </w:rPr>
        <w:t>19. Provenance Ledger Updates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Statement type</w:t>
            </w:r>
          </w:p>
        </w:tc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Provenance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Wording and grammar of S001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QURAN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malik / malik double reading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QURAN qira'at + MODERN ACADEMIC / CLASSICAL description of readings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Fatiha required in salat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HADITH / FIQH — not used as Level 1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Jews/Christians identification of 1:7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HADITH / TAFSIR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Psalm / Lord’s Prayer analogy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BIBLE (comparison) + CAREFUL SYNTHESIS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Early Meccan dating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TAFSIR / SIRAH chronology lists — traditional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20. Historical Claim Audit Updates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No historically testable event-claim inside S001 (no battle, no place-name, no dated miracle). Liturgical use in the 7th-century community is historically plausible and universally claimed in Islamic sources; not independently documented by a dated non-Muslim source for this specific prayer in the 610s. Classification: plausible but unverified extra-textually.</w:t>
      </w:r>
    </w:p>
    <w:p>
      <w:pPr>
        <w:pStyle w:val="Heading1"/>
      </w:pPr>
      <w:r>
        <w:rPr>
          <w:rFonts w:ascii="Calibri" w:hAnsi="Calibri"/>
          <w:color w:val="1B3A4B"/>
        </w:rPr>
        <w:t>21. Executive Surah Summary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Al-Fatihah, on its own wording, is a monotheistic praise-petition: Allah is lord of the worlds, merciful, and sovereign of the Day of requital; the speakers worship and seek help from that God alone and ask to be guided on the path of those God has favored, not the path of the angered-upon or the astray. It does not name the Prophet, Jesus, earlier scripture, or any people. Later tradition supplies liturgical function and a common identification of the last two groups; those supplies are recorded, not merged into Level 1.</w:t>
      </w:r>
    </w:p>
    <w:p>
      <w:pPr>
        <w:pStyle w:val="Heading1"/>
      </w:pPr>
      <w:r>
        <w:rPr>
          <w:rFonts w:ascii="Calibri" w:hAnsi="Calibri"/>
          <w:color w:val="1B3A4B"/>
        </w:rPr>
        <w:t>22. Open Questions Carried Forward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• Will later surahs name the maghdub and dallin?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• How will rabb, dīn, ṣirāṭ, and raḥmah be specified or restricted?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• Does exclusive istiʿānah survive later passages that speak of seeking means or the Prophet’s role?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• How does yawm al-dīn relate to detailed judgment scenes still ahead?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LibreOffice-compatible OOXML  ·  Evidence-classified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Constitution v1.0 FROZEN  ·  S001 Al-Fatihah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S001 Al-Fatihah</dc:title>
  <dc:subject>Quran Research Constitution v1.0 FROZEN</dc:subject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