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color w:val="1B3A4B"/>
        </w:rPr>
        <w:t>S002 — AL-BAQARAH — CP09</w:t>
      </w:r>
    </w:p>
    <w:p>
      <w:pPr>
        <w:spacing w:after="40"/>
      </w:pPr>
      <w:r>
        <w:rPr>
          <w:rFonts w:ascii="Calibri" w:hAnsi="Calibri" w:eastAsia="Calibri"/>
          <w:b/>
          <w:i w:val="0"/>
          <w:color w:val="1B3A4B"/>
          <w:sz w:val="22"/>
        </w:rPr>
        <w:t xml:space="preserve">Unit: </w:t>
      </w:r>
      <w:r>
        <w:rPr>
          <w:rFonts w:ascii="Calibri" w:hAnsi="Calibri" w:eastAsia="Calibri"/>
          <w:b w:val="0"/>
          <w:i w:val="0"/>
          <w:color w:val="222222"/>
          <w:sz w:val="22"/>
        </w:rPr>
        <w:t>2:142–162 (21 verses)</w:t>
      </w:r>
    </w:p>
    <w:p>
      <w:pPr>
        <w:spacing w:after="40"/>
      </w:pPr>
      <w:r>
        <w:rPr>
          <w:rFonts w:ascii="Calibri" w:hAnsi="Calibri" w:eastAsia="Calibri"/>
          <w:b/>
          <w:i w:val="0"/>
          <w:color w:val="1B3A4B"/>
          <w:sz w:val="22"/>
        </w:rPr>
        <w:t xml:space="preserve">Why this cut: </w:t>
      </w:r>
      <w:r>
        <w:rPr>
          <w:rFonts w:ascii="Calibri" w:hAnsi="Calibri" w:eastAsia="Calibri"/>
          <w:b w:val="0"/>
          <w:i w:val="0"/>
          <w:color w:val="222222"/>
          <w:sz w:val="22"/>
        </w:rPr>
        <w:t>Qibla unit + Safa/Marwa + slain-not-dead + concealers’ curse. 2:163 starts a tawhid/creation hymn.</w:t>
      </w:r>
    </w:p>
    <w:p>
      <w:pPr>
        <w:spacing w:after="40"/>
      </w:pPr>
      <w:r>
        <w:rPr>
          <w:rFonts w:ascii="Calibri" w:hAnsi="Calibri" w:eastAsia="Calibri"/>
          <w:b/>
          <w:i w:val="0"/>
          <w:color w:val="1B3A4B"/>
          <w:sz w:val="22"/>
        </w:rPr>
        <w:t xml:space="preserve">Date: </w:t>
      </w:r>
      <w:r>
        <w:rPr>
          <w:rFonts w:ascii="Calibri" w:hAnsi="Calibri" w:eastAsia="Calibri"/>
          <w:b w:val="0"/>
          <w:i w:val="0"/>
          <w:color w:val="222222"/>
          <w:sz w:val="22"/>
        </w:rPr>
        <w:t>11 September 2026</w:t>
      </w:r>
    </w:p>
    <w:p>
      <w:pPr>
        <w:pStyle w:val="Heading1"/>
      </w:pPr>
      <w:r>
        <w:rPr>
          <w:rFonts w:ascii="Calibri" w:hAnsi="Calibri"/>
          <w:color w:val="1B3A4B"/>
        </w:rPr>
        <w:t>1. Overview</w:t>
      </w:r>
    </w:p>
    <w:p>
      <w:pPr>
        <w:spacing w:after="160"/>
      </w:pPr>
      <w:r>
        <w:rPr>
          <w:rFonts w:ascii="Calibri" w:hAnsi="Calibri" w:eastAsia="Calibri"/>
          <w:b w:val="0"/>
          <w:i w:val="0"/>
          <w:color w:val="222222"/>
          <w:sz w:val="22"/>
        </w:rPr>
        <w:t>The foolish will ask what turned them from their former qibla. East and west are God’s. You were made a midmost ummah to be witnesses over people, the messenger a witness over you. The former qibla was appointed to know who follows the messenger. We have seen your face turning in the sky; We will turn you to a qibla you please: face the Sacred Mosque; wherever you are, face it. Those given the Book know it is the truth from their Lord. Even if you brought every sign they would not follow your qibla, nor you theirs, nor they one another’s. Those given the Book recognize it as they recognize their sons; a party conceals the truth. Each has a direction. Wherever you go, face the Sacred Mosque so that people have no ḥujjah against you except the ẓālimūn. As We sent among you a messenger from you who recites, purifies, teaches Book and wisdom — remember Me; I remember you. Seek help in patience and prayer. Do not say of those slain in God’s way that they are dead; they are alive but you do not perceive. We will test you with fear, hunger, loss; give good news to the patient who say we belong to God and to Him we return. Ṣafā and Marwah are among God’s shaʿāʾir; ṭawāf between them is no sin (and voluntary good is rewarded). Those who conceal what We sent down of clear proofs and guidance, after We made it clear in the Book — God curses them and the cursers, except those who repent. Those who disbelieve and die as disbelievers: curse of God, angels, and people, abiding.</w:t>
      </w:r>
    </w:p>
    <w:p>
      <w:pPr>
        <w:pStyle w:val="Heading1"/>
      </w:pPr>
      <w:r>
        <w:rPr>
          <w:rFonts w:ascii="Calibri" w:hAnsi="Calibri"/>
          <w:color w:val="1B3A4B"/>
        </w:rPr>
        <w:t>2–3. Investigation</w:t>
      </w:r>
    </w:p>
    <w:p>
      <w:pPr>
        <w:pStyle w:val="Heading2"/>
      </w:pPr>
      <w:r>
        <w:rPr>
          <w:rFonts w:ascii="Calibri" w:hAnsi="Calibri"/>
          <w:color w:val="1B3A4B"/>
        </w:rPr>
        <w:t>2:142–145 the turn</w:t>
      </w:r>
    </w:p>
    <w:p>
      <w:pPr>
        <w:spacing w:after="160"/>
      </w:pPr>
      <w:r>
        <w:rPr>
          <w:rFonts w:ascii="Calibri" w:hAnsi="Calibri" w:eastAsia="Calibri"/>
          <w:b w:val="0"/>
          <w:i w:val="0"/>
          <w:color w:val="222222"/>
          <w:sz w:val="22"/>
        </w:rPr>
        <w:t>Level 1: there was a qibla they used to be on; it is being left; the new orientation is al-masjid al-ḥarām; God owns east and west (echo 2:115). The former qibla is a test of who follows the messenger. People of the Book will not adopt this qibla; you will not adopt theirs; they do not follow one another’s.</w:t>
      </w:r>
    </w:p>
    <w:p>
      <w:pPr>
        <w:spacing w:after="160"/>
      </w:pPr>
      <w:r>
        <w:rPr>
          <w:rFonts w:ascii="Calibri" w:hAnsi="Calibri" w:eastAsia="Calibri"/>
          <w:b w:val="0"/>
          <w:i w:val="0"/>
          <w:color w:val="222222"/>
          <w:sz w:val="22"/>
        </w:rPr>
        <w:t>Sīra/hadith: first Medinan orientation was Bayt al-Maqdis (Jerusalem), then Kaʿba. That identification of the old qibla is not named in 2:142–145. It is the standard historical reading and should stay tagged TRADITION unless a later verse names Jerusalem. 2:144 “a qibla you will be pleased with” plus the face-in-the-sky is the only motive the text gives.</w:t>
      </w:r>
    </w:p>
    <w:p>
      <w:pPr>
        <w:spacing w:after="160"/>
      </w:pPr>
      <w:r>
        <w:rPr>
          <w:rFonts w:ascii="Calibri" w:hAnsi="Calibri" w:eastAsia="Calibri"/>
          <w:b w:val="0"/>
          <w:i w:val="0"/>
          <w:color w:val="222222"/>
          <w:sz w:val="22"/>
        </w:rPr>
        <w:t>Bible comparison: Jewish prayer toward Jerusalem is biblical (1 Kgs 8:29–30, 44; Dan 6:10). Christian orientation later varies (eastward churches). The Quranic move is a sacred-geography transfer from the Israelite axis (if the old qibla is Jerusalem) to the House of 2:125–129. QB-0041: REINTERPRETATION of which sanctuary is the living center. Not a contradiction of 1 Kings 8; it is a rival claim of center.</w:t>
      </w:r>
    </w:p>
    <w:p>
      <w:pPr>
        <w:pStyle w:val="Heading2"/>
      </w:pPr>
      <w:r>
        <w:rPr>
          <w:rFonts w:ascii="Calibri" w:hAnsi="Calibri"/>
          <w:color w:val="1B3A4B"/>
        </w:rPr>
        <w:t>2:143 ummah wasaṭ</w:t>
      </w:r>
    </w:p>
    <w:p>
      <w:pPr>
        <w:spacing w:after="160"/>
      </w:pPr>
      <w:r>
        <w:rPr>
          <w:rFonts w:ascii="Calibri" w:hAnsi="Calibri" w:eastAsia="Calibri"/>
          <w:b w:val="0"/>
          <w:i w:val="0"/>
          <w:color w:val="222222"/>
          <w:sz w:val="22"/>
        </w:rPr>
        <w:t>You were made a midmost/just nation to be witnesses over people, and the messenger a witness over you. Witness language will return in other surahs. Wasaṭ = middle, just, balanced — range is real.</w:t>
      </w:r>
    </w:p>
    <w:p>
      <w:pPr>
        <w:pStyle w:val="Heading2"/>
      </w:pPr>
      <w:r>
        <w:rPr>
          <w:rFonts w:ascii="Calibri" w:hAnsi="Calibri"/>
          <w:color w:val="1B3A4B"/>
        </w:rPr>
        <w:t>2:146 recognize it as they recognize their sons</w:t>
      </w:r>
    </w:p>
    <w:p>
      <w:pPr>
        <w:spacing w:after="160"/>
      </w:pPr>
      <w:r>
        <w:rPr>
          <w:rFonts w:ascii="Calibri" w:hAnsi="Calibri" w:eastAsia="Calibri"/>
          <w:b w:val="0"/>
          <w:i w:val="0"/>
          <w:color w:val="222222"/>
          <w:sz w:val="22"/>
        </w:rPr>
        <w:t>Those whom We gave the Book recognize it (yaʿrifūnahu) as they recognize their sons. A party conceals the truth while they know. The pronoun “it” can be the new direction, the messenger, or the Book — Arabic is not explicit. All three sit in tafsir. Level 1: recognition-as-of-sons + knowing concealment. Thickens 2:42, 2:75, 2:146 as a concealment pattern. QI-0003 still open.</w:t>
      </w:r>
    </w:p>
    <w:p>
      <w:pPr>
        <w:pStyle w:val="Heading2"/>
      </w:pPr>
      <w:r>
        <w:rPr>
          <w:rFonts w:ascii="Calibri" w:hAnsi="Calibri"/>
          <w:color w:val="1B3A4B"/>
        </w:rPr>
        <w:t>2:148–150 each community a direction; no ḥujjah</w:t>
      </w:r>
    </w:p>
    <w:p>
      <w:pPr>
        <w:spacing w:after="160"/>
      </w:pPr>
      <w:r>
        <w:rPr>
          <w:rFonts w:ascii="Calibri" w:hAnsi="Calibri" w:eastAsia="Calibri"/>
          <w:b w:val="0"/>
          <w:i w:val="0"/>
          <w:color w:val="222222"/>
          <w:sz w:val="22"/>
        </w:rPr>
        <w:t>Each has a wijha he turns to; so race to good. Facing the Sacred Mosque wherever you are, so the people will have no argument against you except those who do wrong. Do not fear them; fear Me. I complete My favor.</w:t>
      </w:r>
    </w:p>
    <w:p>
      <w:pPr>
        <w:pStyle w:val="Heading2"/>
      </w:pPr>
      <w:r>
        <w:rPr>
          <w:rFonts w:ascii="Calibri" w:hAnsi="Calibri"/>
          <w:color w:val="1B3A4B"/>
        </w:rPr>
        <w:t>2:151–152 messenger who matches 2:129’s prayer</w:t>
      </w:r>
    </w:p>
    <w:p>
      <w:pPr>
        <w:spacing w:after="160"/>
      </w:pPr>
      <w:r>
        <w:rPr>
          <w:rFonts w:ascii="Calibri" w:hAnsi="Calibri" w:eastAsia="Calibri"/>
          <w:b w:val="0"/>
          <w:i w:val="0"/>
          <w:color w:val="222222"/>
          <w:sz w:val="22"/>
        </w:rPr>
        <w:t>A messenger from you recites Our signs, purifies you, teaches the Book and wisdom and what you did not know. That is the content Abraham and Ishmael asked for in 2:129. Pattern-identification of the addressee with that prayed messenger is now very strong. Still not the proper name Muhammad.</w:t>
      </w:r>
    </w:p>
    <w:p>
      <w:pPr>
        <w:pStyle w:val="Heading2"/>
      </w:pPr>
      <w:r>
        <w:rPr>
          <w:rFonts w:ascii="Calibri" w:hAnsi="Calibri"/>
          <w:color w:val="1B3A4B"/>
        </w:rPr>
        <w:t>2:154–157 slain; trial; istiʿādah formula</w:t>
      </w:r>
    </w:p>
    <w:p>
      <w:pPr>
        <w:spacing w:after="160"/>
      </w:pPr>
      <w:r>
        <w:rPr>
          <w:rFonts w:ascii="Calibri" w:hAnsi="Calibri" w:eastAsia="Calibri"/>
          <w:b w:val="0"/>
          <w:i w:val="0"/>
          <w:color w:val="222222"/>
          <w:sz w:val="22"/>
        </w:rPr>
        <w:t>Do not say of those killed in God’s way “amwāt.” Rather living, but you do not feel it. Testing with fear, hunger, loss of money, lives, crops. Good news to the ṣābirīn who say innā lillāhi wa-innā ilayhi rājiʿūn. Blessings and mercy on those.</w:t>
      </w:r>
    </w:p>
    <w:p>
      <w:pPr>
        <w:spacing w:after="160"/>
      </w:pPr>
      <w:r>
        <w:rPr>
          <w:rFonts w:ascii="Calibri" w:hAnsi="Calibri" w:eastAsia="Calibri"/>
          <w:b w:val="0"/>
          <w:i w:val="0"/>
          <w:color w:val="222222"/>
          <w:sz w:val="22"/>
        </w:rPr>
        <w:t>PARTIAL AGREEMENT with martyr-alive motifs (cf. 2 Maccabees; some NT “to live is Christ”). The Quranic wording is this-world command: do not call them dead. Later theology of barzakh is extra.</w:t>
      </w:r>
    </w:p>
    <w:p>
      <w:pPr>
        <w:pStyle w:val="Heading2"/>
      </w:pPr>
      <w:r>
        <w:rPr>
          <w:rFonts w:ascii="Calibri" w:hAnsi="Calibri"/>
          <w:color w:val="1B3A4B"/>
        </w:rPr>
        <w:t>2:158 Ṣafā and Marwah</w:t>
      </w:r>
    </w:p>
    <w:p>
      <w:pPr>
        <w:spacing w:after="160"/>
      </w:pPr>
      <w:r>
        <w:rPr>
          <w:rFonts w:ascii="Calibri" w:hAnsi="Calibri" w:eastAsia="Calibri"/>
          <w:b w:val="0"/>
          <w:i w:val="0"/>
          <w:color w:val="222222"/>
          <w:sz w:val="22"/>
        </w:rPr>
        <w:t>They are among God’s waymarks. Whoever makes ḥajj or ʿumrah to the House, there is no junāḥ on him to circuit between them. Whoever does good voluntarily — God is thankful, knowing.</w:t>
      </w:r>
    </w:p>
    <w:p>
      <w:pPr>
        <w:spacing w:after="160"/>
      </w:pPr>
      <w:r>
        <w:rPr>
          <w:rFonts w:ascii="Calibri" w:hAnsi="Calibri" w:eastAsia="Calibri"/>
          <w:b w:val="0"/>
          <w:i w:val="0"/>
          <w:color w:val="222222"/>
          <w:sz w:val="22"/>
        </w:rPr>
        <w:t>Sīra: some hesitated because the run was a pre-Islamic rite. That hesitation is not in the verse. Level 1: the two hills are authorized as shaʿāʾir; ṭawāf between them is permitted, not described as invented.</w:t>
      </w:r>
    </w:p>
    <w:p>
      <w:pPr>
        <w:pStyle w:val="Heading2"/>
      </w:pPr>
      <w:r>
        <w:rPr>
          <w:rFonts w:ascii="Calibri" w:hAnsi="Calibri"/>
          <w:color w:val="1B3A4B"/>
        </w:rPr>
        <w:t>2:159–162 concealment curse</w:t>
      </w:r>
    </w:p>
    <w:p>
      <w:pPr>
        <w:spacing w:after="160"/>
      </w:pPr>
      <w:r>
        <w:rPr>
          <w:rFonts w:ascii="Calibri" w:hAnsi="Calibri" w:eastAsia="Calibri"/>
          <w:b w:val="0"/>
          <w:i w:val="0"/>
          <w:color w:val="222222"/>
          <w:sz w:val="22"/>
        </w:rPr>
        <w:t>Those who conceal what We sent down of bayyināt and guidance after We made it clear to people in the Book — God curses them and those who curse, except who repent, put right, and make clear. Those who disbelieve and die as disbelievers: curse of God, angels, and people together; abiding; punishment not lightened.</w:t>
      </w:r>
    </w:p>
    <w:p>
      <w:pPr>
        <w:spacing w:after="160"/>
      </w:pPr>
      <w:r>
        <w:rPr>
          <w:rFonts w:ascii="Calibri" w:hAnsi="Calibri" w:eastAsia="Calibri"/>
          <w:b w:val="0"/>
          <w:i w:val="0"/>
          <w:color w:val="222222"/>
          <w:sz w:val="22"/>
        </w:rPr>
        <w:t>Strongest concealment-curse so far. Exception for tawbah that includes making-clear. Dying on kufr locks the curse. Pair with 2:121 (proper reciters) so the Book-people are still not one block.</w:t>
      </w:r>
    </w:p>
    <w:p>
      <w:pPr>
        <w:pStyle w:val="Heading1"/>
      </w:pPr>
      <w:r>
        <w:rPr>
          <w:rFonts w:ascii="Calibri" w:hAnsi="Calibri"/>
          <w:color w:val="1B3A4B"/>
        </w:rPr>
        <w:t>4–9. Language, theology, comparison, QRQ</w:t>
      </w:r>
    </w:p>
    <w:tbl>
      <w:tblPr>
        <w:tblStyle w:val="TableGrid"/>
        <w:tblW w:type="auto" w:w="0"/>
        <w:tblLook w:firstColumn="1" w:firstRow="1" w:lastColumn="0" w:lastRow="0" w:noHBand="0" w:noVBand="1" w:val="04A0"/>
      </w:tblPr>
      <w:tblGrid>
        <w:gridCol w:w="4896"/>
        <w:gridCol w:w="4896"/>
      </w:tblGrid>
      <w:tr>
        <w:tc>
          <w:tcPr>
            <w:tcW w:type="dxa" w:w="4896"/>
            <w:shd w:fill="1B3A4B" w:val="clear"/>
          </w:tcPr>
          <w:p>
            <w:r/>
            <w:r>
              <w:rPr>
                <w:rFonts w:ascii="Calibri" w:hAnsi="Calibri" w:eastAsia="Calibri"/>
                <w:b/>
                <w:i w:val="0"/>
                <w:color w:val="FFFFFF"/>
                <w:sz w:val="18"/>
              </w:rPr>
              <w:t>Item</w:t>
            </w:r>
          </w:p>
        </w:tc>
        <w:tc>
          <w:tcPr>
            <w:tcW w:type="dxa" w:w="4896"/>
            <w:shd w:fill="1B3A4B" w:val="clear"/>
          </w:tcPr>
          <w:p>
            <w:r/>
            <w:r>
              <w:rPr>
                <w:rFonts w:ascii="Calibri" w:hAnsi="Calibri" w:eastAsia="Calibri"/>
                <w:b/>
                <w:i w:val="0"/>
                <w:color w:val="FFFFFF"/>
                <w:sz w:val="18"/>
              </w:rPr>
              <w:t>Note</w:t>
            </w:r>
          </w:p>
        </w:tc>
      </w:tr>
      <w:tr>
        <w:tc>
          <w:tcPr>
            <w:tcW w:type="dxa" w:w="4896"/>
          </w:tcPr>
          <w:p>
            <w:r/>
            <w:r>
              <w:rPr>
                <w:rFonts w:ascii="Calibri" w:hAnsi="Calibri" w:eastAsia="Calibri"/>
                <w:b w:val="0"/>
                <w:i w:val="0"/>
                <w:color w:val="222222"/>
                <w:sz w:val="18"/>
              </w:rPr>
              <w:t>qibla</w:t>
            </w:r>
          </w:p>
        </w:tc>
        <w:tc>
          <w:tcPr>
            <w:tcW w:type="dxa" w:w="4896"/>
          </w:tcPr>
          <w:p>
            <w:r/>
            <w:r>
              <w:rPr>
                <w:rFonts w:ascii="Calibri" w:hAnsi="Calibri" w:eastAsia="Calibri"/>
                <w:b w:val="0"/>
                <w:i w:val="0"/>
                <w:color w:val="222222"/>
                <w:sz w:val="18"/>
              </w:rPr>
              <w:t>direction faced in worship</w:t>
            </w:r>
          </w:p>
        </w:tc>
      </w:tr>
      <w:tr>
        <w:tc>
          <w:tcPr>
            <w:tcW w:type="dxa" w:w="4896"/>
            <w:shd w:fill="F4F1EA" w:val="clear"/>
          </w:tcPr>
          <w:p>
            <w:r/>
            <w:r>
              <w:rPr>
                <w:rFonts w:ascii="Calibri" w:hAnsi="Calibri" w:eastAsia="Calibri"/>
                <w:b w:val="0"/>
                <w:i w:val="0"/>
                <w:color w:val="222222"/>
                <w:sz w:val="18"/>
              </w:rPr>
              <w:t>al-masjid al-haram</w:t>
            </w:r>
          </w:p>
        </w:tc>
        <w:tc>
          <w:tcPr>
            <w:tcW w:type="dxa" w:w="4896"/>
            <w:shd w:fill="F4F1EA" w:val="clear"/>
          </w:tcPr>
          <w:p>
            <w:r/>
            <w:r>
              <w:rPr>
                <w:rFonts w:ascii="Calibri" w:hAnsi="Calibri" w:eastAsia="Calibri"/>
                <w:b w:val="0"/>
                <w:i w:val="0"/>
                <w:color w:val="222222"/>
                <w:sz w:val="18"/>
              </w:rPr>
              <w:t>the sacred mosque — House complex of 2:125</w:t>
            </w:r>
          </w:p>
        </w:tc>
      </w:tr>
      <w:tr>
        <w:tc>
          <w:tcPr>
            <w:tcW w:type="dxa" w:w="4896"/>
          </w:tcPr>
          <w:p>
            <w:r/>
            <w:r>
              <w:rPr>
                <w:rFonts w:ascii="Calibri" w:hAnsi="Calibri" w:eastAsia="Calibri"/>
                <w:b w:val="0"/>
                <w:i w:val="0"/>
                <w:color w:val="222222"/>
                <w:sz w:val="18"/>
              </w:rPr>
              <w:t>ummah wasat</w:t>
            </w:r>
          </w:p>
        </w:tc>
        <w:tc>
          <w:tcPr>
            <w:tcW w:type="dxa" w:w="4896"/>
          </w:tcPr>
          <w:p>
            <w:r/>
            <w:r>
              <w:rPr>
                <w:rFonts w:ascii="Calibri" w:hAnsi="Calibri" w:eastAsia="Calibri"/>
                <w:b w:val="0"/>
                <w:i w:val="0"/>
                <w:color w:val="222222"/>
                <w:sz w:val="18"/>
              </w:rPr>
              <w:t>midmost / just community</w:t>
            </w:r>
          </w:p>
        </w:tc>
      </w:tr>
      <w:tr>
        <w:tc>
          <w:tcPr>
            <w:tcW w:type="dxa" w:w="4896"/>
            <w:shd w:fill="F4F1EA" w:val="clear"/>
          </w:tcPr>
          <w:p>
            <w:r/>
            <w:r>
              <w:rPr>
                <w:rFonts w:ascii="Calibri" w:hAnsi="Calibri" w:eastAsia="Calibri"/>
                <w:b w:val="0"/>
                <w:i w:val="0"/>
                <w:color w:val="222222"/>
                <w:sz w:val="18"/>
              </w:rPr>
              <w:t>ya'rifunahu kama ya'rifuna abna'ahum</w:t>
            </w:r>
          </w:p>
        </w:tc>
        <w:tc>
          <w:tcPr>
            <w:tcW w:type="dxa" w:w="4896"/>
            <w:shd w:fill="F4F1EA" w:val="clear"/>
          </w:tcPr>
          <w:p>
            <w:r/>
            <w:r>
              <w:rPr>
                <w:rFonts w:ascii="Calibri" w:hAnsi="Calibri" w:eastAsia="Calibri"/>
                <w:b w:val="0"/>
                <w:i w:val="0"/>
                <w:color w:val="222222"/>
                <w:sz w:val="18"/>
              </w:rPr>
              <w:t>recognize it as they recognize their sons</w:t>
            </w:r>
          </w:p>
        </w:tc>
      </w:tr>
      <w:tr>
        <w:tc>
          <w:tcPr>
            <w:tcW w:type="dxa" w:w="4896"/>
          </w:tcPr>
          <w:p>
            <w:r/>
            <w:r>
              <w:rPr>
                <w:rFonts w:ascii="Calibri" w:hAnsi="Calibri" w:eastAsia="Calibri"/>
                <w:b w:val="0"/>
                <w:i w:val="0"/>
                <w:color w:val="222222"/>
                <w:sz w:val="18"/>
              </w:rPr>
              <w:t>sha'a'ir</w:t>
            </w:r>
          </w:p>
        </w:tc>
        <w:tc>
          <w:tcPr>
            <w:tcW w:type="dxa" w:w="4896"/>
          </w:tcPr>
          <w:p>
            <w:r/>
            <w:r>
              <w:rPr>
                <w:rFonts w:ascii="Calibri" w:hAnsi="Calibri" w:eastAsia="Calibri"/>
                <w:b w:val="0"/>
                <w:i w:val="0"/>
                <w:color w:val="222222"/>
                <w:sz w:val="18"/>
              </w:rPr>
              <w:t>waymarks / rites</w:t>
            </w:r>
          </w:p>
        </w:tc>
      </w:tr>
      <w:tr>
        <w:tc>
          <w:tcPr>
            <w:tcW w:type="dxa" w:w="4896"/>
            <w:shd w:fill="F4F1EA" w:val="clear"/>
          </w:tcPr>
          <w:p>
            <w:r/>
            <w:r>
              <w:rPr>
                <w:rFonts w:ascii="Calibri" w:hAnsi="Calibri" w:eastAsia="Calibri"/>
                <w:b w:val="0"/>
                <w:i w:val="0"/>
                <w:color w:val="222222"/>
                <w:sz w:val="18"/>
              </w:rPr>
              <w:t>la junaha</w:t>
            </w:r>
          </w:p>
        </w:tc>
        <w:tc>
          <w:tcPr>
            <w:tcW w:type="dxa" w:w="4896"/>
            <w:shd w:fill="F4F1EA" w:val="clear"/>
          </w:tcPr>
          <w:p>
            <w:r/>
            <w:r>
              <w:rPr>
                <w:rFonts w:ascii="Calibri" w:hAnsi="Calibri" w:eastAsia="Calibri"/>
                <w:b w:val="0"/>
                <w:i w:val="0"/>
                <w:color w:val="222222"/>
                <w:sz w:val="18"/>
              </w:rPr>
              <w:t>no fault / no sin</w:t>
            </w:r>
          </w:p>
        </w:tc>
      </w:tr>
      <w:tr>
        <w:tc>
          <w:tcPr>
            <w:tcW w:type="dxa" w:w="4896"/>
          </w:tcPr>
          <w:p>
            <w:r/>
            <w:r>
              <w:rPr>
                <w:rFonts w:ascii="Calibri" w:hAnsi="Calibri" w:eastAsia="Calibri"/>
                <w:b w:val="0"/>
                <w:i w:val="0"/>
                <w:color w:val="222222"/>
                <w:sz w:val="18"/>
              </w:rPr>
              <w:t>innā lillahi wa-innā ilayhi raji'un</w:t>
            </w:r>
          </w:p>
        </w:tc>
        <w:tc>
          <w:tcPr>
            <w:tcW w:type="dxa" w:w="4896"/>
          </w:tcPr>
          <w:p>
            <w:r/>
            <w:r>
              <w:rPr>
                <w:rFonts w:ascii="Calibri" w:hAnsi="Calibri" w:eastAsia="Calibri"/>
                <w:b w:val="0"/>
                <w:i w:val="0"/>
                <w:color w:val="222222"/>
                <w:sz w:val="18"/>
              </w:rPr>
              <w:t>we belong to God and to Him we return</w:t>
            </w:r>
          </w:p>
        </w:tc>
      </w:tr>
    </w:tbl>
    <w:p/>
    <w:tbl>
      <w:tblPr>
        <w:tblStyle w:val="TableGrid"/>
        <w:tblW w:type="auto" w:w="0"/>
        <w:tblLook w:firstColumn="1" w:firstRow="1" w:lastColumn="0" w:lastRow="0" w:noHBand="0" w:noVBand="1" w:val="04A0"/>
      </w:tblPr>
      <w:tblGrid>
        <w:gridCol w:w="3264"/>
        <w:gridCol w:w="3264"/>
        <w:gridCol w:w="3264"/>
      </w:tblGrid>
      <w:tr>
        <w:tc>
          <w:tcPr>
            <w:tcW w:type="dxa" w:w="3264"/>
            <w:shd w:fill="1B3A4B" w:val="clear"/>
          </w:tcPr>
          <w:p>
            <w:r/>
            <w:r>
              <w:rPr>
                <w:rFonts w:ascii="Calibri" w:hAnsi="Calibri" w:eastAsia="Calibri"/>
                <w:b/>
                <w:i w:val="0"/>
                <w:color w:val="FFFFFF"/>
                <w:sz w:val="18"/>
              </w:rPr>
              <w:t>QB</w:t>
            </w:r>
          </w:p>
        </w:tc>
        <w:tc>
          <w:tcPr>
            <w:tcW w:type="dxa" w:w="3264"/>
            <w:shd w:fill="1B3A4B" w:val="clear"/>
          </w:tcPr>
          <w:p>
            <w:r/>
            <w:r>
              <w:rPr>
                <w:rFonts w:ascii="Calibri" w:hAnsi="Calibri" w:eastAsia="Calibri"/>
                <w:b/>
                <w:i w:val="0"/>
                <w:color w:val="FFFFFF"/>
                <w:sz w:val="18"/>
              </w:rPr>
              <w:t>Item</w:t>
            </w:r>
          </w:p>
        </w:tc>
        <w:tc>
          <w:tcPr>
            <w:tcW w:type="dxa" w:w="3264"/>
            <w:shd w:fill="1B3A4B" w:val="clear"/>
          </w:tcPr>
          <w:p>
            <w:r/>
            <w:r>
              <w:rPr>
                <w:rFonts w:ascii="Calibri" w:hAnsi="Calibri" w:eastAsia="Calibri"/>
                <w:b/>
                <w:i w:val="0"/>
                <w:color w:val="FFFFFF"/>
                <w:sz w:val="18"/>
              </w:rPr>
              <w:t>Call</w:t>
            </w:r>
          </w:p>
        </w:tc>
      </w:tr>
      <w:tr>
        <w:tc>
          <w:tcPr>
            <w:tcW w:type="dxa" w:w="3264"/>
          </w:tcPr>
          <w:p>
            <w:r/>
            <w:r>
              <w:rPr>
                <w:rFonts w:ascii="Calibri" w:hAnsi="Calibri" w:eastAsia="Calibri"/>
                <w:b w:val="0"/>
                <w:i w:val="0"/>
                <w:color w:val="222222"/>
                <w:sz w:val="18"/>
              </w:rPr>
              <w:t>QB-0041</w:t>
            </w:r>
          </w:p>
        </w:tc>
        <w:tc>
          <w:tcPr>
            <w:tcW w:type="dxa" w:w="3264"/>
          </w:tcPr>
          <w:p>
            <w:r/>
            <w:r>
              <w:rPr>
                <w:rFonts w:ascii="Calibri" w:hAnsi="Calibri" w:eastAsia="Calibri"/>
                <w:b w:val="0"/>
                <w:i w:val="0"/>
                <w:color w:val="222222"/>
                <w:sz w:val="18"/>
              </w:rPr>
              <w:t>Change of sacred direction vs Jerusalem prayer (1 Kgs 8; Dan 6:10)</w:t>
            </w:r>
          </w:p>
        </w:tc>
        <w:tc>
          <w:tcPr>
            <w:tcW w:type="dxa" w:w="3264"/>
          </w:tcPr>
          <w:p>
            <w:r/>
            <w:r>
              <w:rPr>
                <w:rFonts w:ascii="Calibri" w:hAnsi="Calibri" w:eastAsia="Calibri"/>
                <w:b w:val="0"/>
                <w:i w:val="0"/>
                <w:color w:val="222222"/>
                <w:sz w:val="18"/>
              </w:rPr>
              <w:t>REINTERPRETATION of the living center if old qibla = Jerusalem (tradition). Text itself does not name Jerusalem.</w:t>
            </w:r>
          </w:p>
        </w:tc>
      </w:tr>
      <w:tr>
        <w:tc>
          <w:tcPr>
            <w:tcW w:type="dxa" w:w="3264"/>
            <w:shd w:fill="F4F1EA" w:val="clear"/>
          </w:tcPr>
          <w:p>
            <w:r/>
            <w:r>
              <w:rPr>
                <w:rFonts w:ascii="Calibri" w:hAnsi="Calibri" w:eastAsia="Calibri"/>
                <w:b w:val="0"/>
                <w:i w:val="0"/>
                <w:color w:val="222222"/>
                <w:sz w:val="18"/>
              </w:rPr>
              <w:t>QB-0042</w:t>
            </w:r>
          </w:p>
        </w:tc>
        <w:tc>
          <w:tcPr>
            <w:tcW w:type="dxa" w:w="3264"/>
            <w:shd w:fill="F4F1EA" w:val="clear"/>
          </w:tcPr>
          <w:p>
            <w:r/>
            <w:r>
              <w:rPr>
                <w:rFonts w:ascii="Calibri" w:hAnsi="Calibri" w:eastAsia="Calibri"/>
                <w:b w:val="0"/>
                <w:i w:val="0"/>
                <w:color w:val="222222"/>
                <w:sz w:val="18"/>
              </w:rPr>
              <w:t>Slain are living (2:154)</w:t>
            </w:r>
          </w:p>
        </w:tc>
        <w:tc>
          <w:tcPr>
            <w:tcW w:type="dxa" w:w="3264"/>
            <w:shd w:fill="F4F1EA" w:val="clear"/>
          </w:tcPr>
          <w:p>
            <w:r/>
            <w:r>
              <w:rPr>
                <w:rFonts w:ascii="Calibri" w:hAnsi="Calibri" w:eastAsia="Calibri"/>
                <w:b w:val="0"/>
                <w:i w:val="0"/>
                <w:color w:val="222222"/>
                <w:sz w:val="18"/>
              </w:rPr>
              <w:t>PARTIAL AGREEMENT with some Jewish/Christian martyr-alive language; not identical to resurrection-on-the-third-day.</w:t>
            </w:r>
          </w:p>
        </w:tc>
      </w:tr>
    </w:tbl>
    <w:p/>
    <w:tbl>
      <w:tblPr>
        <w:tblStyle w:val="TableGrid"/>
        <w:tblW w:type="auto" w:w="0"/>
        <w:tblLook w:firstColumn="1" w:firstRow="1" w:lastColumn="0" w:lastRow="0" w:noHBand="0" w:noVBand="1" w:val="04A0"/>
      </w:tblPr>
      <w:tblGrid>
        <w:gridCol w:w="4896"/>
        <w:gridCol w:w="4896"/>
      </w:tblGrid>
      <w:tr>
        <w:tc>
          <w:tcPr>
            <w:tcW w:type="dxa" w:w="4896"/>
            <w:shd w:fill="1B3A4B" w:val="clear"/>
          </w:tcPr>
          <w:p>
            <w:r/>
            <w:r>
              <w:rPr>
                <w:rFonts w:ascii="Calibri" w:hAnsi="Calibri" w:eastAsia="Calibri"/>
                <w:b/>
                <w:i w:val="0"/>
                <w:color w:val="FFFFFF"/>
                <w:sz w:val="18"/>
              </w:rPr>
              <w:t>QRQ</w:t>
            </w:r>
          </w:p>
        </w:tc>
        <w:tc>
          <w:tcPr>
            <w:tcW w:type="dxa" w:w="4896"/>
            <w:shd w:fill="1B3A4B" w:val="clear"/>
          </w:tcPr>
          <w:p>
            <w:r/>
            <w:r>
              <w:rPr>
                <w:rFonts w:ascii="Calibri" w:hAnsi="Calibri" w:eastAsia="Calibri"/>
                <w:b/>
                <w:i w:val="0"/>
                <w:color w:val="FFFFFF"/>
                <w:sz w:val="18"/>
              </w:rPr>
              <w:t>This block</w:t>
            </w:r>
          </w:p>
        </w:tc>
      </w:tr>
      <w:tr>
        <w:tc>
          <w:tcPr>
            <w:tcW w:type="dxa" w:w="4896"/>
          </w:tcPr>
          <w:p>
            <w:r/>
            <w:r>
              <w:rPr>
                <w:rFonts w:ascii="Calibri" w:hAnsi="Calibri" w:eastAsia="Calibri"/>
                <w:b w:val="0"/>
                <w:i w:val="0"/>
                <w:color w:val="222222"/>
                <w:sz w:val="18"/>
              </w:rPr>
              <w:t>0001</w:t>
            </w:r>
          </w:p>
        </w:tc>
        <w:tc>
          <w:tcPr>
            <w:tcW w:type="dxa" w:w="4896"/>
          </w:tcPr>
          <w:p>
            <w:r/>
            <w:r>
              <w:rPr>
                <w:rFonts w:ascii="Calibri" w:hAnsi="Calibri" w:eastAsia="Calibri"/>
                <w:b w:val="0"/>
                <w:i w:val="0"/>
                <w:color w:val="222222"/>
                <w:sz w:val="18"/>
              </w:rPr>
              <w:t>Owns east and west; appoints and changes qibla; tests followers; remembers those who remember Him; curses concealers.</w:t>
            </w:r>
          </w:p>
        </w:tc>
      </w:tr>
      <w:tr>
        <w:tc>
          <w:tcPr>
            <w:tcW w:type="dxa" w:w="4896"/>
            <w:shd w:fill="F4F1EA" w:val="clear"/>
          </w:tcPr>
          <w:p>
            <w:r/>
            <w:r>
              <w:rPr>
                <w:rFonts w:ascii="Calibri" w:hAnsi="Calibri" w:eastAsia="Calibri"/>
                <w:b w:val="0"/>
                <w:i w:val="0"/>
                <w:color w:val="222222"/>
                <w:sz w:val="18"/>
              </w:rPr>
              <w:t>0003</w:t>
            </w:r>
          </w:p>
        </w:tc>
        <w:tc>
          <w:tcPr>
            <w:tcW w:type="dxa" w:w="4896"/>
            <w:shd w:fill="F4F1EA" w:val="clear"/>
          </w:tcPr>
          <w:p>
            <w:r/>
            <w:r>
              <w:rPr>
                <w:rFonts w:ascii="Calibri" w:hAnsi="Calibri" w:eastAsia="Calibri"/>
                <w:b w:val="0"/>
                <w:i w:val="0"/>
                <w:color w:val="222222"/>
                <w:sz w:val="18"/>
              </w:rPr>
              <w:t>Recognize-as-sons; conceal after We made it clear in the Book; tawbah must make clear.</w:t>
            </w:r>
          </w:p>
        </w:tc>
      </w:tr>
      <w:tr>
        <w:tc>
          <w:tcPr>
            <w:tcW w:type="dxa" w:w="4896"/>
          </w:tcPr>
          <w:p>
            <w:r/>
            <w:r>
              <w:rPr>
                <w:rFonts w:ascii="Calibri" w:hAnsi="Calibri" w:eastAsia="Calibri"/>
                <w:b w:val="0"/>
                <w:i w:val="0"/>
                <w:color w:val="222222"/>
                <w:sz w:val="18"/>
              </w:rPr>
              <w:t>0004</w:t>
            </w:r>
          </w:p>
        </w:tc>
        <w:tc>
          <w:tcPr>
            <w:tcW w:type="dxa" w:w="4896"/>
          </w:tcPr>
          <w:p>
            <w:r/>
            <w:r>
              <w:rPr>
                <w:rFonts w:ascii="Calibri" w:hAnsi="Calibri" w:eastAsia="Calibri"/>
                <w:b w:val="0"/>
                <w:i w:val="0"/>
                <w:color w:val="222222"/>
                <w:sz w:val="18"/>
              </w:rPr>
              <w:t>Messenger from you; 2:129 prayer content now described as sent.</w:t>
            </w:r>
          </w:p>
        </w:tc>
      </w:tr>
      <w:tr>
        <w:tc>
          <w:tcPr>
            <w:tcW w:type="dxa" w:w="4896"/>
            <w:shd w:fill="F4F1EA" w:val="clear"/>
          </w:tcPr>
          <w:p>
            <w:r/>
            <w:r>
              <w:rPr>
                <w:rFonts w:ascii="Calibri" w:hAnsi="Calibri" w:eastAsia="Calibri"/>
                <w:b w:val="0"/>
                <w:i w:val="0"/>
                <w:color w:val="222222"/>
                <w:sz w:val="18"/>
              </w:rPr>
              <w:t>0005</w:t>
            </w:r>
          </w:p>
        </w:tc>
        <w:tc>
          <w:tcPr>
            <w:tcW w:type="dxa" w:w="4896"/>
            <w:shd w:fill="F4F1EA" w:val="clear"/>
          </w:tcPr>
          <w:p>
            <w:r/>
            <w:r>
              <w:rPr>
                <w:rFonts w:ascii="Calibri" w:hAnsi="Calibri" w:eastAsia="Calibri"/>
                <w:b w:val="0"/>
                <w:i w:val="0"/>
                <w:color w:val="222222"/>
                <w:sz w:val="18"/>
              </w:rPr>
              <w:t>Qibla change as authorized replacement of a prior practice — cousin of naskh (2:106), not named naskh here.</w:t>
            </w:r>
          </w:p>
        </w:tc>
      </w:tr>
      <w:tr>
        <w:tc>
          <w:tcPr>
            <w:tcW w:type="dxa" w:w="4896"/>
          </w:tcPr>
          <w:p>
            <w:r/>
            <w:r>
              <w:rPr>
                <w:rFonts w:ascii="Calibri" w:hAnsi="Calibri" w:eastAsia="Calibri"/>
                <w:b w:val="0"/>
                <w:i w:val="0"/>
                <w:color w:val="222222"/>
                <w:sz w:val="18"/>
              </w:rPr>
              <w:t>0008</w:t>
            </w:r>
          </w:p>
        </w:tc>
        <w:tc>
          <w:tcPr>
            <w:tcW w:type="dxa" w:w="4896"/>
          </w:tcPr>
          <w:p>
            <w:r/>
            <w:r>
              <w:rPr>
                <w:rFonts w:ascii="Calibri" w:hAnsi="Calibri" w:eastAsia="Calibri"/>
                <w:b w:val="0"/>
                <w:i w:val="0"/>
                <w:color w:val="222222"/>
                <w:sz w:val="18"/>
              </w:rPr>
              <w:t>Slain in God's way are living; dying on kufr → abiding curse.</w:t>
            </w:r>
          </w:p>
        </w:tc>
      </w:tr>
      <w:tr>
        <w:tc>
          <w:tcPr>
            <w:tcW w:type="dxa" w:w="4896"/>
            <w:shd w:fill="F4F1EA" w:val="clear"/>
          </w:tcPr>
          <w:p>
            <w:r/>
            <w:r>
              <w:rPr>
                <w:rFonts w:ascii="Calibri" w:hAnsi="Calibri" w:eastAsia="Calibri"/>
                <w:b w:val="0"/>
                <w:i w:val="0"/>
                <w:color w:val="222222"/>
                <w:sz w:val="18"/>
              </w:rPr>
              <w:t>0010</w:t>
            </w:r>
          </w:p>
        </w:tc>
        <w:tc>
          <w:tcPr>
            <w:tcW w:type="dxa" w:w="4896"/>
            <w:shd w:fill="F4F1EA" w:val="clear"/>
          </w:tcPr>
          <w:p>
            <w:r/>
            <w:r>
              <w:rPr>
                <w:rFonts w:ascii="Calibri" w:hAnsi="Calibri" w:eastAsia="Calibri"/>
                <w:b w:val="0"/>
                <w:i w:val="0"/>
                <w:color w:val="222222"/>
                <w:sz w:val="18"/>
              </w:rPr>
              <w:t>People of the Book will not share this qibla; they do not share one another's.</w:t>
            </w:r>
          </w:p>
        </w:tc>
      </w:tr>
    </w:tbl>
    <w:p/>
    <w:p>
      <w:pPr>
        <w:pStyle w:val="Heading1"/>
      </w:pPr>
      <w:r>
        <w:rPr>
          <w:rFonts w:ascii="Calibri" w:hAnsi="Calibri"/>
          <w:color w:val="1B3A4B"/>
        </w:rPr>
        <w:t>13–16. IDs</w:t>
      </w:r>
    </w:p>
    <w:tbl>
      <w:tblPr>
        <w:tblStyle w:val="TableGrid"/>
        <w:tblW w:type="auto" w:w="0"/>
        <w:tblLook w:firstColumn="1" w:firstRow="1" w:lastColumn="0" w:lastRow="0" w:noHBand="0" w:noVBand="1" w:val="04A0"/>
      </w:tblPr>
      <w:tblGrid>
        <w:gridCol w:w="3264"/>
        <w:gridCol w:w="3264"/>
        <w:gridCol w:w="3264"/>
      </w:tblGrid>
      <w:tr>
        <w:tc>
          <w:tcPr>
            <w:tcW w:type="dxa" w:w="3264"/>
            <w:shd w:fill="1B3A4B" w:val="clear"/>
          </w:tcPr>
          <w:p>
            <w:r/>
            <w:r>
              <w:rPr>
                <w:rFonts w:ascii="Calibri" w:hAnsi="Calibri" w:eastAsia="Calibri"/>
                <w:b/>
                <w:i w:val="0"/>
                <w:color w:val="FFFFFF"/>
                <w:sz w:val="18"/>
              </w:rPr>
              <w:t>ID</w:t>
            </w:r>
          </w:p>
        </w:tc>
        <w:tc>
          <w:tcPr>
            <w:tcW w:type="dxa" w:w="3264"/>
            <w:shd w:fill="1B3A4B" w:val="clear"/>
          </w:tcPr>
          <w:p>
            <w:r/>
            <w:r>
              <w:rPr>
                <w:rFonts w:ascii="Calibri" w:hAnsi="Calibri" w:eastAsia="Calibri"/>
                <w:b/>
                <w:i w:val="0"/>
                <w:color w:val="FFFFFF"/>
                <w:sz w:val="18"/>
              </w:rPr>
              <w:t>Title</w:t>
            </w:r>
          </w:p>
        </w:tc>
        <w:tc>
          <w:tcPr>
            <w:tcW w:type="dxa" w:w="3264"/>
            <w:shd w:fill="1B3A4B" w:val="clear"/>
          </w:tcPr>
          <w:p>
            <w:r/>
            <w:r>
              <w:rPr>
                <w:rFonts w:ascii="Calibri" w:hAnsi="Calibri" w:eastAsia="Calibri"/>
                <w:b/>
                <w:i w:val="0"/>
                <w:color w:val="FFFFFF"/>
                <w:sz w:val="18"/>
              </w:rPr>
              <w:t>Class</w:t>
            </w:r>
          </w:p>
        </w:tc>
      </w:tr>
      <w:tr>
        <w:tc>
          <w:tcPr>
            <w:tcW w:type="dxa" w:w="3264"/>
          </w:tcPr>
          <w:p>
            <w:r/>
            <w:r>
              <w:rPr>
                <w:rFonts w:ascii="Calibri" w:hAnsi="Calibri" w:eastAsia="Calibri"/>
                <w:b w:val="0"/>
                <w:i w:val="0"/>
                <w:color w:val="222222"/>
                <w:sz w:val="18"/>
              </w:rPr>
              <w:t>QDISC-0050</w:t>
            </w:r>
          </w:p>
        </w:tc>
        <w:tc>
          <w:tcPr>
            <w:tcW w:type="dxa" w:w="3264"/>
          </w:tcPr>
          <w:p>
            <w:r/>
            <w:r>
              <w:rPr>
                <w:rFonts w:ascii="Calibri" w:hAnsi="Calibri" w:eastAsia="Calibri"/>
                <w:b w:val="0"/>
                <w:i w:val="0"/>
                <w:color w:val="222222"/>
                <w:sz w:val="18"/>
              </w:rPr>
              <w:t>Qibla turned to the Sacred Mosque; former qibla was a test</w:t>
            </w:r>
          </w:p>
        </w:tc>
        <w:tc>
          <w:tcPr>
            <w:tcW w:type="dxa" w:w="3264"/>
          </w:tcPr>
          <w:p>
            <w:r/>
            <w:r>
              <w:rPr>
                <w:rFonts w:ascii="Calibri" w:hAnsi="Calibri" w:eastAsia="Calibri"/>
                <w:b w:val="0"/>
                <w:i w:val="0"/>
                <w:color w:val="222222"/>
                <w:sz w:val="18"/>
              </w:rPr>
              <w:t>DIRECT; old target unnamed in verse</w:t>
            </w:r>
          </w:p>
        </w:tc>
      </w:tr>
      <w:tr>
        <w:tc>
          <w:tcPr>
            <w:tcW w:type="dxa" w:w="3264"/>
            <w:shd w:fill="F4F1EA" w:val="clear"/>
          </w:tcPr>
          <w:p>
            <w:r/>
            <w:r>
              <w:rPr>
                <w:rFonts w:ascii="Calibri" w:hAnsi="Calibri" w:eastAsia="Calibri"/>
                <w:b w:val="0"/>
                <w:i w:val="0"/>
                <w:color w:val="222222"/>
                <w:sz w:val="18"/>
              </w:rPr>
              <w:t>QDISC-0051</w:t>
            </w:r>
          </w:p>
        </w:tc>
        <w:tc>
          <w:tcPr>
            <w:tcW w:type="dxa" w:w="3264"/>
            <w:shd w:fill="F4F1EA" w:val="clear"/>
          </w:tcPr>
          <w:p>
            <w:r/>
            <w:r>
              <w:rPr>
                <w:rFonts w:ascii="Calibri" w:hAnsi="Calibri" w:eastAsia="Calibri"/>
                <w:b w:val="0"/>
                <w:i w:val="0"/>
                <w:color w:val="222222"/>
                <w:sz w:val="18"/>
              </w:rPr>
              <w:t>Ummah wasat; witnesses</w:t>
            </w:r>
          </w:p>
        </w:tc>
        <w:tc>
          <w:tcPr>
            <w:tcW w:type="dxa" w:w="3264"/>
            <w:shd w:fill="F4F1EA" w:val="clear"/>
          </w:tcPr>
          <w:p>
            <w:r/>
            <w:r>
              <w:rPr>
                <w:rFonts w:ascii="Calibri" w:hAnsi="Calibri" w:eastAsia="Calibri"/>
                <w:b w:val="0"/>
                <w:i w:val="0"/>
                <w:color w:val="222222"/>
                <w:sz w:val="18"/>
              </w:rPr>
              <w:t>DIRECT</w:t>
            </w:r>
          </w:p>
        </w:tc>
      </w:tr>
      <w:tr>
        <w:tc>
          <w:tcPr>
            <w:tcW w:type="dxa" w:w="3264"/>
          </w:tcPr>
          <w:p>
            <w:r/>
            <w:r>
              <w:rPr>
                <w:rFonts w:ascii="Calibri" w:hAnsi="Calibri" w:eastAsia="Calibri"/>
                <w:b w:val="0"/>
                <w:i w:val="0"/>
                <w:color w:val="222222"/>
                <w:sz w:val="18"/>
              </w:rPr>
              <w:t>QDISC-0052</w:t>
            </w:r>
          </w:p>
        </w:tc>
        <w:tc>
          <w:tcPr>
            <w:tcW w:type="dxa" w:w="3264"/>
          </w:tcPr>
          <w:p>
            <w:r/>
            <w:r>
              <w:rPr>
                <w:rFonts w:ascii="Calibri" w:hAnsi="Calibri" w:eastAsia="Calibri"/>
                <w:b w:val="0"/>
                <w:i w:val="0"/>
                <w:color w:val="222222"/>
                <w:sz w:val="18"/>
              </w:rPr>
              <w:t>Those given the Book recognize it as their sons; a party conceals</w:t>
            </w:r>
          </w:p>
        </w:tc>
        <w:tc>
          <w:tcPr>
            <w:tcW w:type="dxa" w:w="3264"/>
          </w:tcPr>
          <w:p>
            <w:r/>
            <w:r>
              <w:rPr>
                <w:rFonts w:ascii="Calibri" w:hAnsi="Calibri" w:eastAsia="Calibri"/>
                <w:b w:val="0"/>
                <w:i w:val="0"/>
                <w:color w:val="222222"/>
                <w:sz w:val="18"/>
              </w:rPr>
              <w:t>DIRECT</w:t>
            </w:r>
          </w:p>
        </w:tc>
      </w:tr>
      <w:tr>
        <w:tc>
          <w:tcPr>
            <w:tcW w:type="dxa" w:w="3264"/>
            <w:shd w:fill="F4F1EA" w:val="clear"/>
          </w:tcPr>
          <w:p>
            <w:r/>
            <w:r>
              <w:rPr>
                <w:rFonts w:ascii="Calibri" w:hAnsi="Calibri" w:eastAsia="Calibri"/>
                <w:b w:val="0"/>
                <w:i w:val="0"/>
                <w:color w:val="222222"/>
                <w:sz w:val="18"/>
              </w:rPr>
              <w:t>QDISC-0053</w:t>
            </w:r>
          </w:p>
        </w:tc>
        <w:tc>
          <w:tcPr>
            <w:tcW w:type="dxa" w:w="3264"/>
            <w:shd w:fill="F4F1EA" w:val="clear"/>
          </w:tcPr>
          <w:p>
            <w:r/>
            <w:r>
              <w:rPr>
                <w:rFonts w:ascii="Calibri" w:hAnsi="Calibri" w:eastAsia="Calibri"/>
                <w:b w:val="0"/>
                <w:i w:val="0"/>
                <w:color w:val="222222"/>
                <w:sz w:val="18"/>
              </w:rPr>
              <w:t>2:151 messenger matches 2:129 petition</w:t>
            </w:r>
          </w:p>
        </w:tc>
        <w:tc>
          <w:tcPr>
            <w:tcW w:type="dxa" w:w="3264"/>
            <w:shd w:fill="F4F1EA" w:val="clear"/>
          </w:tcPr>
          <w:p>
            <w:r/>
            <w:r>
              <w:rPr>
                <w:rFonts w:ascii="Calibri" w:hAnsi="Calibri" w:eastAsia="Calibri"/>
                <w:b w:val="0"/>
                <w:i w:val="0"/>
                <w:color w:val="222222"/>
                <w:sz w:val="18"/>
              </w:rPr>
              <w:t>DIRECT / strong pattern</w:t>
            </w:r>
          </w:p>
        </w:tc>
      </w:tr>
      <w:tr>
        <w:tc>
          <w:tcPr>
            <w:tcW w:type="dxa" w:w="3264"/>
          </w:tcPr>
          <w:p>
            <w:r/>
            <w:r>
              <w:rPr>
                <w:rFonts w:ascii="Calibri" w:hAnsi="Calibri" w:eastAsia="Calibri"/>
                <w:b w:val="0"/>
                <w:i w:val="0"/>
                <w:color w:val="222222"/>
                <w:sz w:val="18"/>
              </w:rPr>
              <w:t>QDISC-0054</w:t>
            </w:r>
          </w:p>
        </w:tc>
        <w:tc>
          <w:tcPr>
            <w:tcW w:type="dxa" w:w="3264"/>
          </w:tcPr>
          <w:p>
            <w:r/>
            <w:r>
              <w:rPr>
                <w:rFonts w:ascii="Calibri" w:hAnsi="Calibri" w:eastAsia="Calibri"/>
                <w:b w:val="0"/>
                <w:i w:val="0"/>
                <w:color w:val="222222"/>
                <w:sz w:val="18"/>
              </w:rPr>
              <w:t>Slain in God's way are living; Safa and Marwa are sha'a'ir</w:t>
            </w:r>
          </w:p>
        </w:tc>
        <w:tc>
          <w:tcPr>
            <w:tcW w:type="dxa" w:w="3264"/>
          </w:tcPr>
          <w:p>
            <w:r/>
            <w:r>
              <w:rPr>
                <w:rFonts w:ascii="Calibri" w:hAnsi="Calibri" w:eastAsia="Calibri"/>
                <w:b w:val="0"/>
                <w:i w:val="0"/>
                <w:color w:val="222222"/>
                <w:sz w:val="18"/>
              </w:rPr>
              <w:t>DIRECT</w:t>
            </w:r>
          </w:p>
        </w:tc>
      </w:tr>
      <w:tr>
        <w:tc>
          <w:tcPr>
            <w:tcW w:type="dxa" w:w="3264"/>
            <w:shd w:fill="F4F1EA" w:val="clear"/>
          </w:tcPr>
          <w:p>
            <w:r/>
            <w:r>
              <w:rPr>
                <w:rFonts w:ascii="Calibri" w:hAnsi="Calibri" w:eastAsia="Calibri"/>
                <w:b w:val="0"/>
                <w:i w:val="0"/>
                <w:color w:val="222222"/>
                <w:sz w:val="18"/>
              </w:rPr>
              <w:t>QDISC-0055</w:t>
            </w:r>
          </w:p>
        </w:tc>
        <w:tc>
          <w:tcPr>
            <w:tcW w:type="dxa" w:w="3264"/>
            <w:shd w:fill="F4F1EA" w:val="clear"/>
          </w:tcPr>
          <w:p>
            <w:r/>
            <w:r>
              <w:rPr>
                <w:rFonts w:ascii="Calibri" w:hAnsi="Calibri" w:eastAsia="Calibri"/>
                <w:b w:val="0"/>
                <w:i w:val="0"/>
                <w:color w:val="222222"/>
                <w:sz w:val="18"/>
              </w:rPr>
              <w:t>Concealers of sent-down proofs cursed unless they repent and make clear</w:t>
            </w:r>
          </w:p>
        </w:tc>
        <w:tc>
          <w:tcPr>
            <w:tcW w:type="dxa" w:w="3264"/>
            <w:shd w:fill="F4F1EA" w:val="clear"/>
          </w:tcPr>
          <w:p>
            <w:r/>
            <w:r>
              <w:rPr>
                <w:rFonts w:ascii="Calibri" w:hAnsi="Calibri" w:eastAsia="Calibri"/>
                <w:b w:val="0"/>
                <w:i w:val="0"/>
                <w:color w:val="222222"/>
                <w:sz w:val="18"/>
              </w:rPr>
              <w:t>DIRECT</w:t>
            </w:r>
          </w:p>
        </w:tc>
      </w:tr>
    </w:tbl>
    <w:p/>
    <w:p>
      <w:pPr>
        <w:pStyle w:val="Heading1"/>
      </w:pPr>
      <w:r>
        <w:rPr>
          <w:rFonts w:ascii="Calibri" w:hAnsi="Calibri"/>
          <w:color w:val="1B3A4B"/>
        </w:rPr>
        <w:t>21–22. Summary and next</w:t>
      </w:r>
    </w:p>
    <w:p>
      <w:pPr>
        <w:spacing w:after="160"/>
      </w:pPr>
      <w:r>
        <w:rPr>
          <w:rFonts w:ascii="Calibri" w:hAnsi="Calibri" w:eastAsia="Calibri"/>
          <w:b w:val="0"/>
          <w:i w:val="0"/>
          <w:color w:val="222222"/>
          <w:sz w:val="22"/>
        </w:rPr>
        <w:t>Worship direction is moved to the Sacred Mosque of the Abraham-Ishmael House. The old direction is treated as a completed test. People of the Book are said to know this is truth and still not share the qibla. Concealment after clarification draws a curse that tawbah can lift if it includes making-clear. The slain are not to be called dead.</w:t>
      </w:r>
    </w:p>
    <w:p>
      <w:pPr>
        <w:spacing w:after="160"/>
      </w:pPr>
      <w:r>
        <w:rPr>
          <w:rFonts w:ascii="Calibri" w:hAnsi="Calibri" w:eastAsia="Calibri"/>
          <w:b w:val="0"/>
          <w:i w:val="0"/>
          <w:color w:val="222222"/>
          <w:sz w:val="22"/>
        </w:rPr>
        <w:t>Next: 2:163–177 (one God; rivals; righteousness defined beyond turning faces east or west — 2:177 is a major ethics verse) or 2:163–177 as one packet.</w:t>
      </w:r>
    </w:p>
    <w:sectPr w:rsidR="00FC693F" w:rsidRPr="0006063C" w:rsidSect="00034616">
      <w:headerReference w:type="default" r:id="rId9"/>
      <w:footerReference w:type="default" r:id="rId10"/>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Calibri" w:hAnsi="Calibri" w:eastAsia="Calibri"/>
        <w:b w:val="0"/>
        <w:i w:val="0"/>
        <w:color w:val="8A6D3B"/>
        <w:sz w:val="18"/>
      </w:rPr>
      <w:t xml:space="preserve">LibreOffice OOXML  ·  download from chat  ·  Page </w:t>
    </w:r>
    <w:r>
      <w:fldChar w:fldCharType="begin"/>
    </w:r>
    <w:r>
      <w:instrText xml:space="preserve"> PAGE </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eastAsia="Calibri"/>
        <w:b w:val="0"/>
        <w:i/>
        <w:color w:val="8A6D3B"/>
        <w:sz w:val="18"/>
      </w:rPr>
      <w:t>Quran Research Project  ·  FROZEN v1.0  ·  S002 CP09 vv142-162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S002 CP09 vv142-162</dc:title>
  <dc:subject/>
  <dc:creator>Quran Research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