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2:196–214 (19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Complete ḥajj and ʿumrah for God. If prevented, an easy hady; do not shave until it reaches its place; illness or head-harm: fidya of fast or charity or offering. When secure: tamattuʿ ʿumrah-to-ḥajj with easy hady; if none, fast three days in ḥajj and seven when you return — ten complete. For those whose family is not resident at the Sacred Mosque. Ḥajj is in known months; whoever undertakes it: no rafath, no fusūq, no jidāl. Take provision; the best provision is taqwā. No sin to seek bounty from your Lord. When you pour down from ʿArafāt, remember God at the sacred mashʿar; remember Him as He guided you, though you were before of those astray. Then pour from where the people pour and ask forgiveness. When you have completed your rites, remember God as you remember your fathers or more intensely. Some say: our Lord give us in this world — they have no share in the hereafter. Some say: give us good in this world and good in the hereafter and protect us from the Fire — those have a share of what they earned. Remember God in numbered days; whoever hurries in two days, no sin; whoever delays, no sin, for one who fears. Among people is one whose worldly speech pleases you, and he calls God to witness what is in his heart, while he is the fiercest of disputers; when he turns away he strives in the land to corrupt and destroy crops and stock; God does not love corruption. When he is told fear God, pride in sin takes him. Among people is one who sells himself seeking God’s pleasure. O believers, enter into al-silm completely; do not follow Satan’s footsteps. If you slip after clear proofs, know God is mighty, wise. Do they wait for God to come to them in canopies of clouds with the angels? Ask the Children of Israel how many a clear sign We gave them. Whoever exchanges God’s blessing after it has come — God is severe in punishment. The life of this world is zīna for those who disbelieve; they ridicule those who believe; those who fear will be above them on the Day of Rising. Mankind was one ummah; then God sent prophets as bringers of good news and warners, and sent down with them the Book in truth to judge between people in what they differed. Only those who were given it differed in it after clear proofs, out of baghy among themselves. God guided those who believed to the truth of what they differed in, by His leave. God guides whom He wills to a straight path. Or did you think you would enter the Garden while there has not yet come to you the like of those who passed before you? Hardship and suffering touched them and they were shaken until the messenger and those who believed with him said: when is God’s help? Unquestionably God’s help is near.</w:t>
      </w:r>
    </w:p>
    <w:p>
      <w:pPr>
        <w:pStyle w:val="Heading1"/>
      </w:pPr>
      <w:r>
        <w:rPr>
          <w:rFonts w:ascii="Calibri" w:hAnsi="Calibri"/>
          <w:color w:val="1B3A4B"/>
        </w:rPr>
        <w:t>2–3. Investigation</w:t>
      </w:r>
    </w:p>
    <w:p>
      <w:pPr>
        <w:pStyle w:val="Heading2"/>
      </w:pPr>
      <w:r>
        <w:rPr>
          <w:rFonts w:ascii="Calibri" w:hAnsi="Calibri"/>
          <w:color w:val="1B3A4B"/>
        </w:rPr>
        <w:t>2:196–203 ḥajj / ʿumrah</w:t>
      </w:r>
    </w:p>
    <w:p>
      <w:pPr>
        <w:spacing w:after="160"/>
      </w:pPr>
      <w:r>
        <w:rPr>
          <w:rFonts w:ascii="Calibri" w:hAnsi="Calibri" w:eastAsia="Calibri"/>
          <w:b w:val="0"/>
          <w:i w:val="0"/>
          <w:color w:val="222222"/>
          <w:sz w:val="22"/>
        </w:rPr>
        <w:t>Legal skeleton: complete both rites for God; iḥṣār (prevention) → easy offering; no shaving until the offering arrives; head-fidya menu; tamattuʿ with offering or 3+7 fast; residents of the Ḥaram excepted from that tamattuʿ rule. Known months. Iḥrām bans: rafath, fusūq, jidāl. Provision / taqwā. Trade during ḥajj not sinful. Pouring from ʿArafāt; remember God at the sacred mashʿar; pour from where people pour. Remember God after rites as you remember fathers or more. Two prayers: world-only vs world-and-hereafter-and-Fire. Numbered days; two-day haste or delay both allowed for the muttaqī.</w:t>
      </w:r>
    </w:p>
    <w:p>
      <w:pPr>
        <w:spacing w:after="160"/>
      </w:pPr>
      <w:r>
        <w:rPr>
          <w:rFonts w:ascii="Calibri" w:hAnsi="Calibri" w:eastAsia="Calibri"/>
          <w:b w:val="0"/>
          <w:i w:val="0"/>
          <w:color w:val="222222"/>
          <w:sz w:val="22"/>
        </w:rPr>
        <w:t>This is the first detailed ḥajj code. Geography (ʿArafāt, mashʿar) is Arabian. QB-0048: PARTIAL AGREEMENT with pilgrimage-and-sacrifice structures in the Torah (ḥag, ʿolah, firstfruits, booths). OMISSION of Jerusalem/Temple as the site. ADDITION of ʿumrah, iḥrām bans in this wording, ʿArafāt. Not a rewrite of Leviticus 23; it is a parallel pilgrimage law attached to the House of 2:125.</w:t>
      </w:r>
    </w:p>
    <w:p>
      <w:pPr>
        <w:pStyle w:val="Heading2"/>
      </w:pPr>
      <w:r>
        <w:rPr>
          <w:rFonts w:ascii="Calibri" w:hAnsi="Calibri"/>
          <w:color w:val="1B3A4B"/>
        </w:rPr>
        <w:t>2:204–207 two kinds of speaker</w:t>
      </w:r>
    </w:p>
    <w:p>
      <w:pPr>
        <w:spacing w:after="160"/>
      </w:pPr>
      <w:r>
        <w:rPr>
          <w:rFonts w:ascii="Calibri" w:hAnsi="Calibri" w:eastAsia="Calibri"/>
          <w:b w:val="0"/>
          <w:i w:val="0"/>
          <w:color w:val="222222"/>
          <w:sz w:val="22"/>
        </w:rPr>
        <w:t>Pleasing speech + God called as witness + fiercest disputer + land-corruption vs one who sells himself seeking God’s riḍwān. Classic hypocrite / sincere pair without the word munāfiq here.</w:t>
      </w:r>
    </w:p>
    <w:p>
      <w:pPr>
        <w:pStyle w:val="Heading2"/>
      </w:pPr>
      <w:r>
        <w:rPr>
          <w:rFonts w:ascii="Calibri" w:hAnsi="Calibri"/>
          <w:color w:val="1B3A4B"/>
        </w:rPr>
        <w:t>2:208–211 silm; slip; clouds; Israel’s signs</w:t>
      </w:r>
    </w:p>
    <w:p>
      <w:pPr>
        <w:spacing w:after="160"/>
      </w:pPr>
      <w:r>
        <w:rPr>
          <w:rFonts w:ascii="Calibri" w:hAnsi="Calibri" w:eastAsia="Calibri"/>
          <w:b w:val="0"/>
          <w:i w:val="0"/>
          <w:color w:val="222222"/>
          <w:sz w:val="22"/>
        </w:rPr>
        <w:t>Udkhulū fī l-silmi kāffatan. Silm can mean peace or Islam (the submission). Tafsir majority: enter Islam wholly. Level 1: enter the silm completely; do not follow Satan. If you slip after bayyināt, God is ʿazīz ḥakīm. Do they wait for God to come in canopies of cloud with angels — the matter is decided. Ask Banī Isrāʾīl how many a clear sign We gave them. Exchanging God’s blessing after it came: severe punishment.</w:t>
      </w:r>
    </w:p>
    <w:p>
      <w:pPr>
        <w:spacing w:after="160"/>
      </w:pPr>
      <w:r>
        <w:rPr>
          <w:rFonts w:ascii="Calibri" w:hAnsi="Calibri" w:eastAsia="Calibri"/>
          <w:b w:val="0"/>
          <w:i w:val="0"/>
          <w:color w:val="222222"/>
          <w:sz w:val="22"/>
        </w:rPr>
        <w:t>Cloud-theophany language has biblical cousins (Exod 19; 24; 40; Dan 7). Here it is a warning against waiting for a spectacle instead of entering the silm.</w:t>
      </w:r>
    </w:p>
    <w:p>
      <w:pPr>
        <w:pStyle w:val="Heading2"/>
      </w:pPr>
      <w:r>
        <w:rPr>
          <w:rFonts w:ascii="Calibri" w:hAnsi="Calibri"/>
          <w:color w:val="1B3A4B"/>
        </w:rPr>
        <w:t>2:212–214 world-adornment; one ummah; Garden not cheap</w:t>
      </w:r>
    </w:p>
    <w:p>
      <w:pPr>
        <w:spacing w:after="160"/>
      </w:pPr>
      <w:r>
        <w:rPr>
          <w:rFonts w:ascii="Calibri" w:hAnsi="Calibri" w:eastAsia="Calibri"/>
          <w:b w:val="0"/>
          <w:i w:val="0"/>
          <w:color w:val="222222"/>
          <w:sz w:val="22"/>
        </w:rPr>
        <w:t>World-life is beautified for those who disbelieve; they mock the believers; muttaqūn will be above them on the Rising-Day. Mankind was one ummah; God sent prophets, mubashshirīn and mundhirīn, and sent down with them the Book with truth to judge in what they differed. Differing after knowledge is baghy. God guided the believers to the truth of that difference by His leave.</w:t>
      </w:r>
    </w:p>
    <w:p>
      <w:pPr>
        <w:spacing w:after="160"/>
      </w:pPr>
      <w:r>
        <w:rPr>
          <w:rFonts w:ascii="Calibri" w:hAnsi="Calibri" w:eastAsia="Calibri"/>
          <w:b w:val="0"/>
          <w:i w:val="0"/>
          <w:color w:val="222222"/>
          <w:sz w:val="22"/>
        </w:rPr>
        <w:t>2:213 is a theory of revelation-history: original human unity → difference → prophets + Book as judge → further difference by the Book’s own recipients out of rivalry → God guides whom He wills. This is a load-bearing QRQ-0005 / 0010 verse.</w:t>
      </w:r>
    </w:p>
    <w:p>
      <w:pPr>
        <w:spacing w:after="160"/>
      </w:pPr>
      <w:r>
        <w:rPr>
          <w:rFonts w:ascii="Calibri" w:hAnsi="Calibri" w:eastAsia="Calibri"/>
          <w:b w:val="0"/>
          <w:i w:val="0"/>
          <w:color w:val="222222"/>
          <w:sz w:val="22"/>
        </w:rPr>
        <w:t>2:214: you thought you would enter the Garden without the portion of those before you? They were touched by baʾsāʾ and ḍarrāʾ and shaken until messenger and believers said: when is God’s help? God’s help is near. Continuity of trial with prior communities.</w:t>
      </w:r>
    </w:p>
    <w:p>
      <w:pPr>
        <w:pStyle w:val="Heading1"/>
      </w:pPr>
      <w:r>
        <w:rPr>
          <w:rFonts w:ascii="Calibri" w:hAnsi="Calibri"/>
          <w:color w:val="1B3A4B"/>
        </w:rPr>
        <w:t>4–9. Language, comparison,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hajj / umrah</w:t>
            </w:r>
          </w:p>
        </w:tc>
        <w:tc>
          <w:tcPr>
            <w:tcW w:type="dxa" w:w="4896"/>
          </w:tcPr>
          <w:p>
            <w:r/>
            <w:r>
              <w:rPr>
                <w:rFonts w:ascii="Calibri" w:hAnsi="Calibri" w:eastAsia="Calibri"/>
                <w:b w:val="0"/>
                <w:i w:val="0"/>
                <w:color w:val="222222"/>
                <w:sz w:val="18"/>
              </w:rPr>
              <w:t>major / lesser pilgrimage</w:t>
            </w:r>
          </w:p>
        </w:tc>
      </w:tr>
      <w:tr>
        <w:tc>
          <w:tcPr>
            <w:tcW w:type="dxa" w:w="4896"/>
            <w:shd w:fill="F4F1EA" w:val="clear"/>
          </w:tcPr>
          <w:p>
            <w:r/>
            <w:r>
              <w:rPr>
                <w:rFonts w:ascii="Calibri" w:hAnsi="Calibri" w:eastAsia="Calibri"/>
                <w:b w:val="0"/>
                <w:i w:val="0"/>
                <w:color w:val="222222"/>
                <w:sz w:val="18"/>
              </w:rPr>
              <w:t>hady</w:t>
            </w:r>
          </w:p>
        </w:tc>
        <w:tc>
          <w:tcPr>
            <w:tcW w:type="dxa" w:w="4896"/>
            <w:shd w:fill="F4F1EA" w:val="clear"/>
          </w:tcPr>
          <w:p>
            <w:r/>
            <w:r>
              <w:rPr>
                <w:rFonts w:ascii="Calibri" w:hAnsi="Calibri" w:eastAsia="Calibri"/>
                <w:b w:val="0"/>
                <w:i w:val="0"/>
                <w:color w:val="222222"/>
                <w:sz w:val="18"/>
              </w:rPr>
              <w:t>offering driven to the House</w:t>
            </w:r>
          </w:p>
        </w:tc>
      </w:tr>
      <w:tr>
        <w:tc>
          <w:tcPr>
            <w:tcW w:type="dxa" w:w="4896"/>
          </w:tcPr>
          <w:p>
            <w:r/>
            <w:r>
              <w:rPr>
                <w:rFonts w:ascii="Calibri" w:hAnsi="Calibri" w:eastAsia="Calibri"/>
                <w:b w:val="0"/>
                <w:i w:val="0"/>
                <w:color w:val="222222"/>
                <w:sz w:val="18"/>
              </w:rPr>
              <w:t>ihsar</w:t>
            </w:r>
          </w:p>
        </w:tc>
        <w:tc>
          <w:tcPr>
            <w:tcW w:type="dxa" w:w="4896"/>
          </w:tcPr>
          <w:p>
            <w:r/>
            <w:r>
              <w:rPr>
                <w:rFonts w:ascii="Calibri" w:hAnsi="Calibri" w:eastAsia="Calibri"/>
                <w:b w:val="0"/>
                <w:i w:val="0"/>
                <w:color w:val="222222"/>
                <w:sz w:val="18"/>
              </w:rPr>
              <w:t>prevention / being blocked</w:t>
            </w:r>
          </w:p>
        </w:tc>
      </w:tr>
      <w:tr>
        <w:tc>
          <w:tcPr>
            <w:tcW w:type="dxa" w:w="4896"/>
            <w:shd w:fill="F4F1EA" w:val="clear"/>
          </w:tcPr>
          <w:p>
            <w:r/>
            <w:r>
              <w:rPr>
                <w:rFonts w:ascii="Calibri" w:hAnsi="Calibri" w:eastAsia="Calibri"/>
                <w:b w:val="0"/>
                <w:i w:val="0"/>
                <w:color w:val="222222"/>
                <w:sz w:val="18"/>
              </w:rPr>
              <w:t>rafath / fusuq / jidal</w:t>
            </w:r>
          </w:p>
        </w:tc>
        <w:tc>
          <w:tcPr>
            <w:tcW w:type="dxa" w:w="4896"/>
            <w:shd w:fill="F4F1EA" w:val="clear"/>
          </w:tcPr>
          <w:p>
            <w:r/>
            <w:r>
              <w:rPr>
                <w:rFonts w:ascii="Calibri" w:hAnsi="Calibri" w:eastAsia="Calibri"/>
                <w:b w:val="0"/>
                <w:i w:val="0"/>
                <w:color w:val="222222"/>
                <w:sz w:val="18"/>
              </w:rPr>
              <w:t>sexual talk or act / iniquity / quarrel — in ihram</w:t>
            </w:r>
          </w:p>
        </w:tc>
      </w:tr>
      <w:tr>
        <w:tc>
          <w:tcPr>
            <w:tcW w:type="dxa" w:w="4896"/>
          </w:tcPr>
          <w:p>
            <w:r/>
            <w:r>
              <w:rPr>
                <w:rFonts w:ascii="Calibri" w:hAnsi="Calibri" w:eastAsia="Calibri"/>
                <w:b w:val="0"/>
                <w:i w:val="0"/>
                <w:color w:val="222222"/>
                <w:sz w:val="18"/>
              </w:rPr>
              <w:t>Arafat / mash'ar</w:t>
            </w:r>
          </w:p>
        </w:tc>
        <w:tc>
          <w:tcPr>
            <w:tcW w:type="dxa" w:w="4896"/>
          </w:tcPr>
          <w:p>
            <w:r/>
            <w:r>
              <w:rPr>
                <w:rFonts w:ascii="Calibri" w:hAnsi="Calibri" w:eastAsia="Calibri"/>
                <w:b w:val="0"/>
                <w:i w:val="0"/>
                <w:color w:val="222222"/>
                <w:sz w:val="18"/>
              </w:rPr>
              <w:t>plain and sacred waymark of the hajj</w:t>
            </w:r>
          </w:p>
        </w:tc>
      </w:tr>
      <w:tr>
        <w:tc>
          <w:tcPr>
            <w:tcW w:type="dxa" w:w="4896"/>
            <w:shd w:fill="F4F1EA" w:val="clear"/>
          </w:tcPr>
          <w:p>
            <w:r/>
            <w:r>
              <w:rPr>
                <w:rFonts w:ascii="Calibri" w:hAnsi="Calibri" w:eastAsia="Calibri"/>
                <w:b w:val="0"/>
                <w:i w:val="0"/>
                <w:color w:val="222222"/>
                <w:sz w:val="18"/>
              </w:rPr>
              <w:t>al-silm kaffatan</w:t>
            </w:r>
          </w:p>
        </w:tc>
        <w:tc>
          <w:tcPr>
            <w:tcW w:type="dxa" w:w="4896"/>
            <w:shd w:fill="F4F1EA" w:val="clear"/>
          </w:tcPr>
          <w:p>
            <w:r/>
            <w:r>
              <w:rPr>
                <w:rFonts w:ascii="Calibri" w:hAnsi="Calibri" w:eastAsia="Calibri"/>
                <w:b w:val="0"/>
                <w:i w:val="0"/>
                <w:color w:val="222222"/>
                <w:sz w:val="18"/>
              </w:rPr>
              <w:t>the peace / Islam, entirely</w:t>
            </w:r>
          </w:p>
        </w:tc>
      </w:tr>
      <w:tr>
        <w:tc>
          <w:tcPr>
            <w:tcW w:type="dxa" w:w="4896"/>
          </w:tcPr>
          <w:p>
            <w:r/>
            <w:r>
              <w:rPr>
                <w:rFonts w:ascii="Calibri" w:hAnsi="Calibri" w:eastAsia="Calibri"/>
                <w:b w:val="0"/>
                <w:i w:val="0"/>
                <w:color w:val="222222"/>
                <w:sz w:val="18"/>
              </w:rPr>
              <w:t>ummah wahida</w:t>
            </w:r>
          </w:p>
        </w:tc>
        <w:tc>
          <w:tcPr>
            <w:tcW w:type="dxa" w:w="4896"/>
          </w:tcPr>
          <w:p>
            <w:r/>
            <w:r>
              <w:rPr>
                <w:rFonts w:ascii="Calibri" w:hAnsi="Calibri" w:eastAsia="Calibri"/>
                <w:b w:val="0"/>
                <w:i w:val="0"/>
                <w:color w:val="222222"/>
                <w:sz w:val="18"/>
              </w:rPr>
              <w:t>one community (of mankind)</w:t>
            </w:r>
          </w:p>
        </w:tc>
      </w:tr>
      <w:tr>
        <w:tc>
          <w:tcPr>
            <w:tcW w:type="dxa" w:w="4896"/>
            <w:shd w:fill="F4F1EA" w:val="clear"/>
          </w:tcPr>
          <w:p>
            <w:r/>
            <w:r>
              <w:rPr>
                <w:rFonts w:ascii="Calibri" w:hAnsi="Calibri" w:eastAsia="Calibri"/>
                <w:b w:val="0"/>
                <w:i w:val="0"/>
                <w:color w:val="222222"/>
                <w:sz w:val="18"/>
              </w:rPr>
              <w:t>baghy</w:t>
            </w:r>
          </w:p>
        </w:tc>
        <w:tc>
          <w:tcPr>
            <w:tcW w:type="dxa" w:w="4896"/>
            <w:shd w:fill="F4F1EA" w:val="clear"/>
          </w:tcPr>
          <w:p>
            <w:r/>
            <w:r>
              <w:rPr>
                <w:rFonts w:ascii="Calibri" w:hAnsi="Calibri" w:eastAsia="Calibri"/>
                <w:b w:val="0"/>
                <w:i w:val="0"/>
                <w:color w:val="222222"/>
                <w:sz w:val="18"/>
              </w:rPr>
              <w:t>insolent rivalry</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QB-0048</w:t>
            </w:r>
          </w:p>
        </w:tc>
        <w:tc>
          <w:tcPr>
            <w:tcW w:type="dxa" w:w="3264"/>
          </w:tcPr>
          <w:p>
            <w:r/>
            <w:r>
              <w:rPr>
                <w:rFonts w:ascii="Calibri" w:hAnsi="Calibri" w:eastAsia="Calibri"/>
                <w:b w:val="0"/>
                <w:i w:val="0"/>
                <w:color w:val="222222"/>
                <w:sz w:val="18"/>
              </w:rPr>
              <w:t>Hajj code // biblical pilgrimage festivals</w:t>
            </w:r>
          </w:p>
        </w:tc>
        <w:tc>
          <w:tcPr>
            <w:tcW w:type="dxa" w:w="3264"/>
          </w:tcPr>
          <w:p>
            <w:r/>
            <w:r>
              <w:rPr>
                <w:rFonts w:ascii="Calibri" w:hAnsi="Calibri" w:eastAsia="Calibri"/>
                <w:b w:val="0"/>
                <w:i w:val="0"/>
                <w:color w:val="222222"/>
                <w:sz w:val="18"/>
              </w:rPr>
              <w:t>PARTIAL AGREEMENT on pilgrimage + offering + days; different sanctuary and map</w:t>
            </w:r>
          </w:p>
        </w:tc>
      </w:tr>
      <w:tr>
        <w:tc>
          <w:tcPr>
            <w:tcW w:type="dxa" w:w="3264"/>
            <w:shd w:fill="F4F1EA" w:val="clear"/>
          </w:tcPr>
          <w:p>
            <w:r/>
            <w:r>
              <w:rPr>
                <w:rFonts w:ascii="Calibri" w:hAnsi="Calibri" w:eastAsia="Calibri"/>
                <w:b w:val="0"/>
                <w:i w:val="0"/>
                <w:color w:val="222222"/>
                <w:sz w:val="18"/>
              </w:rPr>
              <w:t>QB-0049</w:t>
            </w:r>
          </w:p>
        </w:tc>
        <w:tc>
          <w:tcPr>
            <w:tcW w:type="dxa" w:w="3264"/>
            <w:shd w:fill="F4F1EA" w:val="clear"/>
          </w:tcPr>
          <w:p>
            <w:r/>
            <w:r>
              <w:rPr>
                <w:rFonts w:ascii="Calibri" w:hAnsi="Calibri" w:eastAsia="Calibri"/>
                <w:b w:val="0"/>
                <w:i w:val="0"/>
                <w:color w:val="222222"/>
                <w:sz w:val="18"/>
              </w:rPr>
              <w:t>2:213 mankind one ummah then prophets and Book</w:t>
            </w:r>
          </w:p>
        </w:tc>
        <w:tc>
          <w:tcPr>
            <w:tcW w:type="dxa" w:w="3264"/>
            <w:shd w:fill="F4F1EA" w:val="clear"/>
          </w:tcPr>
          <w:p>
            <w:r/>
            <w:r>
              <w:rPr>
                <w:rFonts w:ascii="Calibri" w:hAnsi="Calibri" w:eastAsia="Calibri"/>
                <w:b w:val="0"/>
                <w:i w:val="0"/>
                <w:color w:val="222222"/>
                <w:sz w:val="18"/>
              </w:rPr>
              <w:t>REINTERPRETATION of sacred history vs Gen 11 / election of Israel as the main plot</w:t>
            </w:r>
          </w:p>
        </w:tc>
      </w:tr>
      <w:tr>
        <w:tc>
          <w:tcPr>
            <w:tcW w:type="dxa" w:w="3264"/>
          </w:tcPr>
          <w:p>
            <w:r/>
            <w:r>
              <w:rPr>
                <w:rFonts w:ascii="Calibri" w:hAnsi="Calibri" w:eastAsia="Calibri"/>
                <w:b w:val="0"/>
                <w:i w:val="0"/>
                <w:color w:val="222222"/>
                <w:sz w:val="18"/>
              </w:rPr>
              <w:t>QB-0050</w:t>
            </w:r>
          </w:p>
        </w:tc>
        <w:tc>
          <w:tcPr>
            <w:tcW w:type="dxa" w:w="3264"/>
          </w:tcPr>
          <w:p>
            <w:r/>
            <w:r>
              <w:rPr>
                <w:rFonts w:ascii="Calibri" w:hAnsi="Calibri" w:eastAsia="Calibri"/>
                <w:b w:val="0"/>
                <w:i w:val="0"/>
                <w:color w:val="222222"/>
                <w:sz w:val="18"/>
              </w:rPr>
              <w:t>2:214 Garden after shaking like those before</w:t>
            </w:r>
          </w:p>
        </w:tc>
        <w:tc>
          <w:tcPr>
            <w:tcW w:type="dxa" w:w="3264"/>
          </w:tcPr>
          <w:p>
            <w:r/>
            <w:r>
              <w:rPr>
                <w:rFonts w:ascii="Calibri" w:hAnsi="Calibri" w:eastAsia="Calibri"/>
                <w:b w:val="0"/>
                <w:i w:val="0"/>
                <w:color w:val="222222"/>
                <w:sz w:val="18"/>
              </w:rPr>
              <w:t>PARTIAL AGREEMENT with trial-of-the-faithful motif (Heb 11–12; Ps 22; Israel in the wilderness)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Severe in penalty; knows bounty-seeking; portion in both worlds; does not love corruption; guides whom He wills; help is near.</w:t>
            </w:r>
          </w:p>
        </w:tc>
      </w:tr>
      <w:tr>
        <w:tc>
          <w:tcPr>
            <w:tcW w:type="dxa" w:w="4896"/>
            <w:shd w:fill="F4F1EA" w:val="clear"/>
          </w:tcPr>
          <w:p>
            <w:r/>
            <w:r>
              <w:rPr>
                <w:rFonts w:ascii="Calibri" w:hAnsi="Calibri" w:eastAsia="Calibri"/>
                <w:b w:val="0"/>
                <w:i w:val="0"/>
                <w:color w:val="222222"/>
                <w:sz w:val="18"/>
              </w:rPr>
              <w:t>0005</w:t>
            </w:r>
          </w:p>
        </w:tc>
        <w:tc>
          <w:tcPr>
            <w:tcW w:type="dxa" w:w="4896"/>
            <w:shd w:fill="F4F1EA" w:val="clear"/>
          </w:tcPr>
          <w:p>
            <w:r/>
            <w:r>
              <w:rPr>
                <w:rFonts w:ascii="Calibri" w:hAnsi="Calibri" w:eastAsia="Calibri"/>
                <w:b w:val="0"/>
                <w:i w:val="0"/>
                <w:color w:val="222222"/>
                <w:sz w:val="18"/>
              </w:rPr>
              <w:t>2:213 Book sent down with prophets to judge difference; 2:196–203 ritual attached to the House.</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Hajj/umrah code; ihram bans; fidya menus.</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Two prayers (world vs both worlds); sell the self for God's pleasure; enter silm wholly.</w:t>
            </w:r>
          </w:p>
        </w:tc>
      </w:tr>
      <w:tr>
        <w:tc>
          <w:tcPr>
            <w:tcW w:type="dxa" w:w="4896"/>
          </w:tcPr>
          <w:p>
            <w:r/>
            <w:r>
              <w:rPr>
                <w:rFonts w:ascii="Calibri" w:hAnsi="Calibri" w:eastAsia="Calibri"/>
                <w:b w:val="0"/>
                <w:i w:val="0"/>
                <w:color w:val="222222"/>
                <w:sz w:val="18"/>
              </w:rPr>
              <w:t>0010</w:t>
            </w:r>
          </w:p>
        </w:tc>
        <w:tc>
          <w:tcPr>
            <w:tcW w:type="dxa" w:w="4896"/>
          </w:tcPr>
          <w:p>
            <w:r/>
            <w:r>
              <w:rPr>
                <w:rFonts w:ascii="Calibri" w:hAnsi="Calibri" w:eastAsia="Calibri"/>
                <w:b w:val="0"/>
                <w:i w:val="0"/>
                <w:color w:val="222222"/>
                <w:sz w:val="18"/>
              </w:rPr>
              <w:t>Difference after the Book is baghy; God then guides believers to the truth of the difference.</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QDISC-0064</w:t>
            </w:r>
          </w:p>
        </w:tc>
        <w:tc>
          <w:tcPr>
            <w:tcW w:type="dxa" w:w="3264"/>
          </w:tcPr>
          <w:p>
            <w:r/>
            <w:r>
              <w:rPr>
                <w:rFonts w:ascii="Calibri" w:hAnsi="Calibri" w:eastAsia="Calibri"/>
                <w:b w:val="0"/>
                <w:i w:val="0"/>
                <w:color w:val="222222"/>
                <w:sz w:val="18"/>
              </w:rPr>
              <w:t>Hajj and umrah completed for God; prevention and tamattu rules</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QDISC-0065</w:t>
            </w:r>
          </w:p>
        </w:tc>
        <w:tc>
          <w:tcPr>
            <w:tcW w:type="dxa" w:w="3264"/>
            <w:shd w:fill="F4F1EA" w:val="clear"/>
          </w:tcPr>
          <w:p>
            <w:r/>
            <w:r>
              <w:rPr>
                <w:rFonts w:ascii="Calibri" w:hAnsi="Calibri" w:eastAsia="Calibri"/>
                <w:b w:val="0"/>
                <w:i w:val="0"/>
                <w:color w:val="222222"/>
                <w:sz w:val="18"/>
              </w:rPr>
              <w:t>Arafat / mash'ar remembrance; two kinds of prayer</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QDISC-0066</w:t>
            </w:r>
          </w:p>
        </w:tc>
        <w:tc>
          <w:tcPr>
            <w:tcW w:type="dxa" w:w="3264"/>
          </w:tcPr>
          <w:p>
            <w:r/>
            <w:r>
              <w:rPr>
                <w:rFonts w:ascii="Calibri" w:hAnsi="Calibri" w:eastAsia="Calibri"/>
                <w:b w:val="0"/>
                <w:i w:val="0"/>
                <w:color w:val="222222"/>
                <w:sz w:val="18"/>
              </w:rPr>
              <w:t>Enter the silm completely; do not wait for cloud-theophany</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QDISC-0067</w:t>
            </w:r>
          </w:p>
        </w:tc>
        <w:tc>
          <w:tcPr>
            <w:tcW w:type="dxa" w:w="3264"/>
            <w:shd w:fill="F4F1EA" w:val="clear"/>
          </w:tcPr>
          <w:p>
            <w:r/>
            <w:r>
              <w:rPr>
                <w:rFonts w:ascii="Calibri" w:hAnsi="Calibri" w:eastAsia="Calibri"/>
                <w:b w:val="0"/>
                <w:i w:val="0"/>
                <w:color w:val="222222"/>
                <w:sz w:val="18"/>
              </w:rPr>
              <w:t>Mankind one ummah; prophets and Book to judge difference; difference after knowledge is baghy</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QDISC-0068</w:t>
            </w:r>
          </w:p>
        </w:tc>
        <w:tc>
          <w:tcPr>
            <w:tcW w:type="dxa" w:w="3264"/>
          </w:tcPr>
          <w:p>
            <w:r/>
            <w:r>
              <w:rPr>
                <w:rFonts w:ascii="Calibri" w:hAnsi="Calibri" w:eastAsia="Calibri"/>
                <w:b w:val="0"/>
                <w:i w:val="0"/>
                <w:color w:val="222222"/>
                <w:sz w:val="18"/>
              </w:rPr>
              <w:t>Garden not entered without the shaking that hit those before</w:t>
            </w:r>
          </w:p>
        </w:tc>
        <w:tc>
          <w:tcPr>
            <w:tcW w:type="dxa" w:w="3264"/>
          </w:tcPr>
          <w:p>
            <w:r/>
            <w:r>
              <w:rPr>
                <w:rFonts w:ascii="Calibri" w:hAnsi="Calibri" w:eastAsia="Calibri"/>
                <w:b w:val="0"/>
                <w:i w:val="0"/>
                <w:color w:val="222222"/>
                <w:sz w:val="18"/>
              </w:rPr>
              <w:t>DIRECT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Ḥajj is legislated at the House already claimed for Abraham and Ishmael. Human history is told as original unity, then difference, then prophets and a judging Book, then rivalry among the Book’s recipients. The Garden is not a cheap door.</w:t>
      </w:r>
    </w:p>
    <w:p>
      <w:pPr>
        <w:spacing w:after="160"/>
      </w:pPr>
      <w:r>
        <w:rPr>
          <w:rFonts w:ascii="Calibri" w:hAnsi="Calibri" w:eastAsia="Calibri"/>
          <w:b w:val="0"/>
          <w:i w:val="0"/>
          <w:color w:val="222222"/>
          <w:sz w:val="22"/>
        </w:rPr>
        <w:t>Next: 2:215–242 (spending, fighting orphans, wine/maysir first mention, menstruation, oaths, divorce — the family-law panel). May split 215–220 and 221–242 if thick.</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CP12 vv196-214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CP12 vv196-214</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