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S003 — ĀL ʿIMRĀN — CP04</w:t>
      </w:r>
    </w:p>
    <w:p>
      <w:pPr>
        <w:spacing w:after="40"/>
      </w:pPr>
      <w:r>
        <w:rPr>
          <w:rFonts w:ascii="Calibri" w:hAnsi="Calibri" w:eastAsia="Calibri"/>
          <w:b/>
          <w:i w:val="0"/>
          <w:color w:val="1B3A4B"/>
          <w:sz w:val="22"/>
        </w:rPr>
        <w:t xml:space="preserve">Unit: </w:t>
      </w:r>
      <w:r>
        <w:rPr>
          <w:rFonts w:ascii="Calibri" w:hAnsi="Calibri" w:eastAsia="Calibri"/>
          <w:b w:val="0"/>
          <w:i w:val="0"/>
          <w:color w:val="222222"/>
          <w:sz w:val="22"/>
        </w:rPr>
        <w:t>3:92–120 (29 verses)</w:t>
      </w:r>
    </w:p>
    <w:p>
      <w:pPr>
        <w:spacing w:after="40"/>
      </w:pPr>
      <w:r>
        <w:rPr>
          <w:rFonts w:ascii="Calibri" w:hAnsi="Calibri" w:eastAsia="Calibri"/>
          <w:b/>
          <w:i w:val="0"/>
          <w:color w:val="1B3A4B"/>
          <w:sz w:val="22"/>
        </w:rPr>
        <w:t xml:space="preserve">Date: </w:t>
      </w:r>
      <w:r>
        <w:rPr>
          <w:rFonts w:ascii="Calibri" w:hAnsi="Calibri" w:eastAsia="Calibri"/>
          <w:b w:val="0"/>
          <w:i w:val="0"/>
          <w:color w:val="222222"/>
          <w:sz w:val="22"/>
        </w:rPr>
        <w:t>11 September 2026</w:t>
      </w:r>
    </w:p>
    <w:p>
      <w:pPr>
        <w:pStyle w:val="Heading1"/>
      </w:pPr>
      <w:r>
        <w:rPr>
          <w:rFonts w:ascii="Calibri" w:hAnsi="Calibri"/>
          <w:color w:val="1B3A4B"/>
        </w:rPr>
        <w:t>1. Overview</w:t>
      </w:r>
    </w:p>
    <w:p>
      <w:pPr>
        <w:spacing w:after="160"/>
      </w:pPr>
      <w:r>
        <w:rPr>
          <w:rFonts w:ascii="Calibri" w:hAnsi="Calibri" w:eastAsia="Calibri"/>
          <w:b w:val="0"/>
          <w:i w:val="0"/>
          <w:color w:val="222222"/>
          <w:sz w:val="22"/>
        </w:rPr>
        <w:t>You will not attain birr until you spend of what you love. All food was lawful to the Children of Israel except what Israel forbade himself before the Torah was sent down. Bring the Torah and recite it if you are truthful. Whoever invents a lie about God after that: the ẓālimūn. God has spoken truth; follow the millah of Abraham the ḥanīf; he was not of the mushrikīn. The first House set up for people is the one at Bakka, blessed, a guidance for the worlds. In it are clear signs: the standing-place of Abraham; whoever enters it is safe. To God upon people is ḥajj of the House for whoever can make a way to it; whoever disbelieves — God is free of need of the worlds. People of the Book: why do you disbelieve in God’s signs? Why do you bar from God’s way those who believe, seeking to make it crooked, while you are witnesses? If you obey a party of those given the Book they will turn you back after your belief into kāfirīn. How can you disbelieve while God’s signs are recited to you and among you is His messenger? Whoever holds fast to God is guided. Fear God as He should be feared; do not die except as muslimūn. Hold fast to the rope of God all together; do not divide. Remember when you were enemies and He joined your hearts. You were on the brink of a pit of Fire and He saved you. Let there be from you an ummah inviting to good, commanding maʿrūf, forbidding munkar. Do not be like those who divided and differed after clear proofs. On the day faces go white and faces go black. You are the best ummah brought forth for people: you command maʿrūf, forbid munkar, and believe in God. If the People of the Book had believed it would have been better for them; among them are believers; most are fāsiqūn. They will not harm you except harm; if they fight you they will turn their backs. Humiliation is stamped on them wherever they are caught except for a rope from God and a rope from the people. They incurred wrath; wretchedness was stamped — because they disbelieved in God’s signs and killed the prophets without right. They are not alike. Among the People of the Book is an ummah standing, reciting God’s signs in the watches of the night, prostrating; they believe in God and the Last Day, command maʿrūf, forbid munkar, hasten in good works; those are of the ṣāliḥīn. What they do of good will not be denied. Those who disbelieve: neither wealth nor children will avail. The likeness of what they spend in this life is a freezing wind that strikes the tillage of a people who wronged themselves. O believers, do not take intimates from outside yourselves; they spare no effort to ruin you; hatred has appeared from their mouths; what their breasts hide is greater. There you are, you love them and they do not love you; you believe in the Book, all of it. When they meet you they say we believe; when they are alone they bite their fingers at you. If good touches you it grieves them; if evil touches you they rejoice. If you endure and fear, their plot will not harm you.</w:t>
      </w:r>
    </w:p>
    <w:p>
      <w:pPr>
        <w:pStyle w:val="Heading1"/>
      </w:pPr>
      <w:r>
        <w:rPr>
          <w:rFonts w:ascii="Calibri" w:hAnsi="Calibri"/>
          <w:color w:val="1B3A4B"/>
        </w:rPr>
        <w:t>2–3. Investigation</w:t>
      </w:r>
    </w:p>
    <w:p>
      <w:pPr>
        <w:pStyle w:val="Heading2"/>
      </w:pPr>
      <w:r>
        <w:rPr>
          <w:rFonts w:ascii="Calibri" w:hAnsi="Calibri"/>
          <w:color w:val="1B3A4B"/>
        </w:rPr>
        <w:t>3:92 spend what you love</w:t>
      </w:r>
    </w:p>
    <w:p>
      <w:pPr>
        <w:spacing w:after="160"/>
      </w:pPr>
      <w:r>
        <w:rPr>
          <w:rFonts w:ascii="Calibri" w:hAnsi="Calibri" w:eastAsia="Calibri"/>
          <w:b w:val="0"/>
          <w:i w:val="0"/>
          <w:color w:val="222222"/>
          <w:sz w:val="22"/>
        </w:rPr>
        <w:t>Birr is not reached until the gift costs. Tightens 2:177 and 2:261–274.</w:t>
      </w:r>
    </w:p>
    <w:p>
      <w:pPr>
        <w:pStyle w:val="Heading2"/>
      </w:pPr>
      <w:r>
        <w:rPr>
          <w:rFonts w:ascii="Calibri" w:hAnsi="Calibri"/>
          <w:color w:val="1B3A4B"/>
        </w:rPr>
        <w:t>3:93–95 Israel’s food; bring the Torah</w:t>
      </w:r>
    </w:p>
    <w:p>
      <w:pPr>
        <w:spacing w:after="160"/>
      </w:pPr>
      <w:r>
        <w:rPr>
          <w:rFonts w:ascii="Calibri" w:hAnsi="Calibri" w:eastAsia="Calibri"/>
          <w:b w:val="0"/>
          <w:i w:val="0"/>
          <w:color w:val="222222"/>
          <w:sz w:val="22"/>
        </w:rPr>
        <w:t>All food was lawful to Banī Isrāʾīl except what Israel (Jacob) forbade himself before the Torah came down. Challenge: bring the Torah and recite it if you are truthful. Then: God has spoken truth; follow Abraham’s millah.</w:t>
      </w:r>
    </w:p>
    <w:p>
      <w:pPr>
        <w:spacing w:after="160"/>
      </w:pPr>
      <w:r>
        <w:rPr>
          <w:rFonts w:ascii="Calibri" w:hAnsi="Calibri" w:eastAsia="Calibri"/>
          <w:b w:val="0"/>
          <w:i w:val="0"/>
          <w:color w:val="222222"/>
          <w:sz w:val="22"/>
        </w:rPr>
        <w:t>QB-0076: PARTIAL AGREEMENT that Israel’s food law is a later fence (Lev 11; Deut 14) rather than Adamic. The Quran’s claim is sharper: the full ḥarām-list arrives with Torah, plus a personal ban Jacob placed on himself (Gen 32:32 sinew is the usual tafsir hook — Level 4). “Bring the Torah” treats the book in their hands as something that can be recited in public as a check. That sits in tension with 3:78’s twisted-tongues charge: the same corpus is both appealable and accused of being mouthed wrongly.</w:t>
      </w:r>
    </w:p>
    <w:p>
      <w:pPr>
        <w:pStyle w:val="Heading2"/>
      </w:pPr>
      <w:r>
        <w:rPr>
          <w:rFonts w:ascii="Calibri" w:hAnsi="Calibri"/>
          <w:color w:val="1B3A4B"/>
        </w:rPr>
        <w:t>3:96–97 first House at Bakka</w:t>
      </w:r>
    </w:p>
    <w:p>
      <w:pPr>
        <w:spacing w:after="160"/>
      </w:pPr>
      <w:r>
        <w:rPr>
          <w:rFonts w:ascii="Calibri" w:hAnsi="Calibri" w:eastAsia="Calibri"/>
          <w:b w:val="0"/>
          <w:i w:val="0"/>
          <w:color w:val="222222"/>
          <w:sz w:val="22"/>
        </w:rPr>
        <w:t>Awwalu baytin wuḍiʿa li-l-nāsi la-lladhī bi-Bakkah. Blessed; guidance for the worlds. Clear signs; maqām Ibrāhīm; whoever enters is safe. Ḥajj of the House is upon people who can make a way. God does not need the worlds.</w:t>
      </w:r>
    </w:p>
    <w:p>
      <w:pPr>
        <w:spacing w:after="160"/>
      </w:pPr>
      <w:r>
        <w:rPr>
          <w:rFonts w:ascii="Calibri" w:hAnsi="Calibri" w:eastAsia="Calibri"/>
          <w:b w:val="0"/>
          <w:i w:val="0"/>
          <w:color w:val="222222"/>
          <w:sz w:val="22"/>
        </w:rPr>
        <w:t>Bakka is received as Makkah (phonological variant). QB-0077: CONTRAST with the HB’s first-sanctuary story (tabernacle, then Jerusalem / Zion). Psalm 84:6 mentions ʿēmeq ha-bākā (“valley of Baca”) in a pilgrimage psalm toward Zion — a real verbal cousin, not identity of place. The Quran places the first House at Bakka and ties it to Abraham’s standing-place (already 2:125). Jerusalem is not named here.</w:t>
      </w:r>
    </w:p>
    <w:p>
      <w:pPr>
        <w:pStyle w:val="Heading2"/>
      </w:pPr>
      <w:r>
        <w:rPr>
          <w:rFonts w:ascii="Calibri" w:hAnsi="Calibri"/>
          <w:color w:val="1B3A4B"/>
        </w:rPr>
        <w:t>3:100–109 rope; do not divide; an ummah inviting</w:t>
      </w:r>
    </w:p>
    <w:p>
      <w:pPr>
        <w:spacing w:after="160"/>
      </w:pPr>
      <w:r>
        <w:rPr>
          <w:rFonts w:ascii="Calibri" w:hAnsi="Calibri" w:eastAsia="Calibri"/>
          <w:b w:val="0"/>
          <w:i w:val="0"/>
          <w:color w:val="222222"/>
          <w:sz w:val="22"/>
        </w:rPr>
        <w:t>Do not follow a party of the Book-people back into kufr. Hold to God. Die as muslimūn. Hold the rope of God together; do not divide. Enemy-to-brother memory. Let there be an ummah that invites to good, commands maʿrūf, forbids munkar. Do not imitate those who split after proofs. Faces white and black on the day.</w:t>
      </w:r>
    </w:p>
    <w:p>
      <w:pPr>
        <w:pStyle w:val="Heading2"/>
      </w:pPr>
      <w:r>
        <w:rPr>
          <w:rFonts w:ascii="Calibri" w:hAnsi="Calibri"/>
          <w:color w:val="1B3A4B"/>
        </w:rPr>
        <w:t>3:110–115 best ummah; they are not alike</w:t>
      </w:r>
    </w:p>
    <w:p>
      <w:pPr>
        <w:spacing w:after="160"/>
      </w:pPr>
      <w:r>
        <w:rPr>
          <w:rFonts w:ascii="Calibri" w:hAnsi="Calibri" w:eastAsia="Calibri"/>
          <w:b w:val="0"/>
          <w:i w:val="0"/>
          <w:color w:val="222222"/>
          <w:sz w:val="22"/>
        </w:rPr>
        <w:t>Kuntum khayra ummatin ukhrijat li-l-nās — you are the best ummah brought forth for people — on the condition named in the same breath: command maʿrūf, forbid munkar, believe in God. If the People of the Book believed it would be better; among them are believers; most are fāsiqūn. Harm without being able to finish you; if they fight they turn their backs. Humiliation stamped except for a rope from God or from people. Wrath and wretchedness because of signs-denied and prophets killed.</w:t>
      </w:r>
    </w:p>
    <w:p>
      <w:pPr>
        <w:spacing w:after="160"/>
      </w:pPr>
      <w:r>
        <w:rPr>
          <w:rFonts w:ascii="Calibri" w:hAnsi="Calibri" w:eastAsia="Calibri"/>
          <w:b w:val="0"/>
          <w:i w:val="0"/>
          <w:color w:val="222222"/>
          <w:sz w:val="22"/>
        </w:rPr>
        <w:t>Then the brake: they are not alike. Among them is an ummah qāʾimah, reciting in the night, believing in God and the Last Day, commanding maʿrūf, of the ṣāliḥīn. Good they do is not denied.</w:t>
      </w:r>
    </w:p>
    <w:p>
      <w:pPr>
        <w:spacing w:after="160"/>
      </w:pPr>
      <w:r>
        <w:rPr>
          <w:rFonts w:ascii="Calibri" w:hAnsi="Calibri" w:eastAsia="Calibri"/>
          <w:b w:val="0"/>
          <w:i w:val="0"/>
          <w:color w:val="222222"/>
          <w:sz w:val="22"/>
        </w:rPr>
        <w:t>QB-0078: PARTIAL AGREEMENT / REINTERPRETATION of chosen-people language (Exod 19:5–6; Deut 7; 1 Pet 2:9). The “best ummah” is task-defined (enjoin / forbid / believe), then immediately qualified: the People of the Book are not a single block. 3:113–114 is the closest thing in this surah to 2:62 still breathing after 3:85.</w:t>
      </w:r>
    </w:p>
    <w:p>
      <w:pPr>
        <w:pStyle w:val="Heading2"/>
      </w:pPr>
      <w:r>
        <w:rPr>
          <w:rFonts w:ascii="Calibri" w:hAnsi="Calibri"/>
          <w:color w:val="1B3A4B"/>
        </w:rPr>
        <w:t>3:118–120 bitāna</w:t>
      </w:r>
    </w:p>
    <w:p>
      <w:pPr>
        <w:spacing w:after="160"/>
      </w:pPr>
      <w:r>
        <w:rPr>
          <w:rFonts w:ascii="Calibri" w:hAnsi="Calibri" w:eastAsia="Calibri"/>
          <w:b w:val="0"/>
          <w:i w:val="0"/>
          <w:color w:val="222222"/>
          <w:sz w:val="22"/>
        </w:rPr>
        <w:t>Do not take intimates from outside yourselves. They love your ruin; hatred shows in the mouth; the breast hides more. You love them; they do not love you; you believe in the Book, all of it. Two-faced greeting. If you endure and fear, their plot does not harm you. In-group caution after the “not alike” praise — both sentences stand.</w:t>
      </w:r>
    </w:p>
    <w:p>
      <w:pPr>
        <w:pStyle w:val="Heading1"/>
      </w:pPr>
      <w:r>
        <w:rPr>
          <w:rFonts w:ascii="Calibri" w:hAnsi="Calibri"/>
          <w:color w:val="1B3A4B"/>
        </w:rPr>
        <w:t>4–9. IDs</w:t>
      </w:r>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QB</w:t>
            </w:r>
          </w:p>
        </w:tc>
        <w:tc>
          <w:tcPr>
            <w:tcW w:type="dxa" w:w="3264"/>
            <w:shd w:fill="1B3A4B" w:val="clear"/>
          </w:tcPr>
          <w:p>
            <w:r/>
            <w:r>
              <w:rPr>
                <w:rFonts w:ascii="Calibri" w:hAnsi="Calibri" w:eastAsia="Calibri"/>
                <w:b/>
                <w:i w:val="0"/>
                <w:color w:val="FFFFFF"/>
                <w:sz w:val="18"/>
              </w:rPr>
              <w:t>Item</w:t>
            </w:r>
          </w:p>
        </w:tc>
        <w:tc>
          <w:tcPr>
            <w:tcW w:type="dxa" w:w="3264"/>
            <w:shd w:fill="1B3A4B" w:val="clear"/>
          </w:tcPr>
          <w:p>
            <w:r/>
            <w:r>
              <w:rPr>
                <w:rFonts w:ascii="Calibri" w:hAnsi="Calibri" w:eastAsia="Calibri"/>
                <w:b/>
                <w:i w:val="0"/>
                <w:color w:val="FFFFFF"/>
                <w:sz w:val="18"/>
              </w:rPr>
              <w:t>Call</w:t>
            </w:r>
          </w:p>
        </w:tc>
      </w:tr>
      <w:tr>
        <w:tc>
          <w:tcPr>
            <w:tcW w:type="dxa" w:w="3264"/>
          </w:tcPr>
          <w:p>
            <w:r/>
            <w:r>
              <w:rPr>
                <w:rFonts w:ascii="Calibri" w:hAnsi="Calibri" w:eastAsia="Calibri"/>
                <w:b w:val="0"/>
                <w:i w:val="0"/>
                <w:color w:val="222222"/>
                <w:sz w:val="18"/>
              </w:rPr>
              <w:t>QB-0076</w:t>
            </w:r>
          </w:p>
        </w:tc>
        <w:tc>
          <w:tcPr>
            <w:tcW w:type="dxa" w:w="3264"/>
          </w:tcPr>
          <w:p>
            <w:r/>
            <w:r>
              <w:rPr>
                <w:rFonts w:ascii="Calibri" w:hAnsi="Calibri" w:eastAsia="Calibri"/>
                <w:b w:val="0"/>
                <w:i w:val="0"/>
                <w:color w:val="222222"/>
                <w:sz w:val="18"/>
              </w:rPr>
              <w:t>Food lawful before Torah; bring the Torah</w:t>
            </w:r>
          </w:p>
        </w:tc>
        <w:tc>
          <w:tcPr>
            <w:tcW w:type="dxa" w:w="3264"/>
          </w:tcPr>
          <w:p>
            <w:r/>
            <w:r>
              <w:rPr>
                <w:rFonts w:ascii="Calibri" w:hAnsi="Calibri" w:eastAsia="Calibri"/>
                <w:b w:val="0"/>
                <w:i w:val="0"/>
                <w:color w:val="222222"/>
                <w:sz w:val="18"/>
              </w:rPr>
              <w:t>PARTIAL AGREEMENT that Mosaic food law is later; public-recitation challenge</w:t>
            </w:r>
          </w:p>
        </w:tc>
      </w:tr>
      <w:tr>
        <w:tc>
          <w:tcPr>
            <w:tcW w:type="dxa" w:w="3264"/>
            <w:shd w:fill="F4F1EA" w:val="clear"/>
          </w:tcPr>
          <w:p>
            <w:r/>
            <w:r>
              <w:rPr>
                <w:rFonts w:ascii="Calibri" w:hAnsi="Calibri" w:eastAsia="Calibri"/>
                <w:b w:val="0"/>
                <w:i w:val="0"/>
                <w:color w:val="222222"/>
                <w:sz w:val="18"/>
              </w:rPr>
              <w:t>QB-0077</w:t>
            </w:r>
          </w:p>
        </w:tc>
        <w:tc>
          <w:tcPr>
            <w:tcW w:type="dxa" w:w="3264"/>
            <w:shd w:fill="F4F1EA" w:val="clear"/>
          </w:tcPr>
          <w:p>
            <w:r/>
            <w:r>
              <w:rPr>
                <w:rFonts w:ascii="Calibri" w:hAnsi="Calibri" w:eastAsia="Calibri"/>
                <w:b w:val="0"/>
                <w:i w:val="0"/>
                <w:color w:val="222222"/>
                <w:sz w:val="18"/>
              </w:rPr>
              <w:t>First House at Bakka</w:t>
            </w:r>
          </w:p>
        </w:tc>
        <w:tc>
          <w:tcPr>
            <w:tcW w:type="dxa" w:w="3264"/>
            <w:shd w:fill="F4F1EA" w:val="clear"/>
          </w:tcPr>
          <w:p>
            <w:r/>
            <w:r>
              <w:rPr>
                <w:rFonts w:ascii="Calibri" w:hAnsi="Calibri" w:eastAsia="Calibri"/>
                <w:b w:val="0"/>
                <w:i w:val="0"/>
                <w:color w:val="222222"/>
                <w:sz w:val="18"/>
              </w:rPr>
              <w:t>CONTRAST with Zion/tabernacle as first sanctuary; Ps 84 Baca is a verbal cousin not a merge</w:t>
            </w:r>
          </w:p>
        </w:tc>
      </w:tr>
      <w:tr>
        <w:tc>
          <w:tcPr>
            <w:tcW w:type="dxa" w:w="3264"/>
          </w:tcPr>
          <w:p>
            <w:r/>
            <w:r>
              <w:rPr>
                <w:rFonts w:ascii="Calibri" w:hAnsi="Calibri" w:eastAsia="Calibri"/>
                <w:b w:val="0"/>
                <w:i w:val="0"/>
                <w:color w:val="222222"/>
                <w:sz w:val="18"/>
              </w:rPr>
              <w:t>QB-0078</w:t>
            </w:r>
          </w:p>
        </w:tc>
        <w:tc>
          <w:tcPr>
            <w:tcW w:type="dxa" w:w="3264"/>
          </w:tcPr>
          <w:p>
            <w:r/>
            <w:r>
              <w:rPr>
                <w:rFonts w:ascii="Calibri" w:hAnsi="Calibri" w:eastAsia="Calibri"/>
                <w:b w:val="0"/>
                <w:i w:val="0"/>
                <w:color w:val="222222"/>
                <w:sz w:val="18"/>
              </w:rPr>
              <w:t>Best ummah / they are not alike</w:t>
            </w:r>
          </w:p>
        </w:tc>
        <w:tc>
          <w:tcPr>
            <w:tcW w:type="dxa" w:w="3264"/>
          </w:tcPr>
          <w:p>
            <w:r/>
            <w:r>
              <w:rPr>
                <w:rFonts w:ascii="Calibri" w:hAnsi="Calibri" w:eastAsia="Calibri"/>
                <w:b w:val="0"/>
                <w:i w:val="0"/>
                <w:color w:val="222222"/>
                <w:sz w:val="18"/>
              </w:rPr>
              <w:t>REINTERPRETATION of chosen-people speech; 3:113 keeps a righteous Book-ummah in view</w:t>
            </w:r>
          </w:p>
        </w:tc>
      </w:tr>
    </w:tbl>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ID</w:t>
            </w:r>
          </w:p>
        </w:tc>
        <w:tc>
          <w:tcPr>
            <w:tcW w:type="dxa" w:w="4896"/>
            <w:shd w:fill="1B3A4B" w:val="clear"/>
          </w:tcPr>
          <w:p>
            <w:r/>
            <w:r>
              <w:rPr>
                <w:rFonts w:ascii="Calibri" w:hAnsi="Calibri" w:eastAsia="Calibri"/>
                <w:b/>
                <w:i w:val="0"/>
                <w:color w:val="FFFFFF"/>
                <w:sz w:val="18"/>
              </w:rPr>
              <w:t>Title</w:t>
            </w:r>
          </w:p>
        </w:tc>
      </w:tr>
      <w:tr>
        <w:tc>
          <w:tcPr>
            <w:tcW w:type="dxa" w:w="4896"/>
          </w:tcPr>
          <w:p>
            <w:r/>
            <w:r>
              <w:rPr>
                <w:rFonts w:ascii="Calibri" w:hAnsi="Calibri" w:eastAsia="Calibri"/>
                <w:b w:val="0"/>
                <w:i w:val="0"/>
                <w:color w:val="222222"/>
                <w:sz w:val="18"/>
              </w:rPr>
              <w:t>QDISC-0107</w:t>
            </w:r>
          </w:p>
        </w:tc>
        <w:tc>
          <w:tcPr>
            <w:tcW w:type="dxa" w:w="4896"/>
          </w:tcPr>
          <w:p>
            <w:r/>
            <w:r>
              <w:rPr>
                <w:rFonts w:ascii="Calibri" w:hAnsi="Calibri" w:eastAsia="Calibri"/>
                <w:b w:val="0"/>
                <w:i w:val="0"/>
                <w:color w:val="222222"/>
                <w:sz w:val="18"/>
              </w:rPr>
              <w:t>Birr requires spending what you love</w:t>
            </w:r>
          </w:p>
        </w:tc>
      </w:tr>
      <w:tr>
        <w:tc>
          <w:tcPr>
            <w:tcW w:type="dxa" w:w="4896"/>
            <w:shd w:fill="F4F1EA" w:val="clear"/>
          </w:tcPr>
          <w:p>
            <w:r/>
            <w:r>
              <w:rPr>
                <w:rFonts w:ascii="Calibri" w:hAnsi="Calibri" w:eastAsia="Calibri"/>
                <w:b w:val="0"/>
                <w:i w:val="0"/>
                <w:color w:val="222222"/>
                <w:sz w:val="18"/>
              </w:rPr>
              <w:t>QDISC-0108</w:t>
            </w:r>
          </w:p>
        </w:tc>
        <w:tc>
          <w:tcPr>
            <w:tcW w:type="dxa" w:w="4896"/>
            <w:shd w:fill="F4F1EA" w:val="clear"/>
          </w:tcPr>
          <w:p>
            <w:r/>
            <w:r>
              <w:rPr>
                <w:rFonts w:ascii="Calibri" w:hAnsi="Calibri" w:eastAsia="Calibri"/>
                <w:b w:val="0"/>
                <w:i w:val="0"/>
                <w:color w:val="222222"/>
                <w:sz w:val="18"/>
              </w:rPr>
              <w:t>All food lawful to Israel except Jacob's self-ban before Torah; bring the Torah</w:t>
            </w:r>
          </w:p>
        </w:tc>
      </w:tr>
      <w:tr>
        <w:tc>
          <w:tcPr>
            <w:tcW w:type="dxa" w:w="4896"/>
          </w:tcPr>
          <w:p>
            <w:r/>
            <w:r>
              <w:rPr>
                <w:rFonts w:ascii="Calibri" w:hAnsi="Calibri" w:eastAsia="Calibri"/>
                <w:b w:val="0"/>
                <w:i w:val="0"/>
                <w:color w:val="222222"/>
                <w:sz w:val="18"/>
              </w:rPr>
              <w:t>QDISC-0109</w:t>
            </w:r>
          </w:p>
        </w:tc>
        <w:tc>
          <w:tcPr>
            <w:tcW w:type="dxa" w:w="4896"/>
          </w:tcPr>
          <w:p>
            <w:r/>
            <w:r>
              <w:rPr>
                <w:rFonts w:ascii="Calibri" w:hAnsi="Calibri" w:eastAsia="Calibri"/>
                <w:b w:val="0"/>
                <w:i w:val="0"/>
                <w:color w:val="222222"/>
                <w:sz w:val="18"/>
              </w:rPr>
              <w:t>First House at Bakka; maqam Ibrahim; hajj on those who can</w:t>
            </w:r>
          </w:p>
        </w:tc>
      </w:tr>
      <w:tr>
        <w:tc>
          <w:tcPr>
            <w:tcW w:type="dxa" w:w="4896"/>
            <w:shd w:fill="F4F1EA" w:val="clear"/>
          </w:tcPr>
          <w:p>
            <w:r/>
            <w:r>
              <w:rPr>
                <w:rFonts w:ascii="Calibri" w:hAnsi="Calibri" w:eastAsia="Calibri"/>
                <w:b w:val="0"/>
                <w:i w:val="0"/>
                <w:color w:val="222222"/>
                <w:sz w:val="18"/>
              </w:rPr>
              <w:t>QDISC-0110</w:t>
            </w:r>
          </w:p>
        </w:tc>
        <w:tc>
          <w:tcPr>
            <w:tcW w:type="dxa" w:w="4896"/>
            <w:shd w:fill="F4F1EA" w:val="clear"/>
          </w:tcPr>
          <w:p>
            <w:r/>
            <w:r>
              <w:rPr>
                <w:rFonts w:ascii="Calibri" w:hAnsi="Calibri" w:eastAsia="Calibri"/>
                <w:b w:val="0"/>
                <w:i w:val="0"/>
                <w:color w:val="222222"/>
                <w:sz w:val="18"/>
              </w:rPr>
              <w:t>Hold the rope; do not divide; an ummah inviting to good</w:t>
            </w:r>
          </w:p>
        </w:tc>
      </w:tr>
      <w:tr>
        <w:tc>
          <w:tcPr>
            <w:tcW w:type="dxa" w:w="4896"/>
          </w:tcPr>
          <w:p>
            <w:r/>
            <w:r>
              <w:rPr>
                <w:rFonts w:ascii="Calibri" w:hAnsi="Calibri" w:eastAsia="Calibri"/>
                <w:b w:val="0"/>
                <w:i w:val="0"/>
                <w:color w:val="222222"/>
                <w:sz w:val="18"/>
              </w:rPr>
              <w:t>QDISC-0111</w:t>
            </w:r>
          </w:p>
        </w:tc>
        <w:tc>
          <w:tcPr>
            <w:tcW w:type="dxa" w:w="4896"/>
          </w:tcPr>
          <w:p>
            <w:r/>
            <w:r>
              <w:rPr>
                <w:rFonts w:ascii="Calibri" w:hAnsi="Calibri" w:eastAsia="Calibri"/>
                <w:b w:val="0"/>
                <w:i w:val="0"/>
                <w:color w:val="222222"/>
                <w:sz w:val="18"/>
              </w:rPr>
              <w:t>Best ummah; People of the Book not alike; a standing ummah among them</w:t>
            </w:r>
          </w:p>
        </w:tc>
      </w:tr>
      <w:tr>
        <w:tc>
          <w:tcPr>
            <w:tcW w:type="dxa" w:w="4896"/>
            <w:shd w:fill="F4F1EA" w:val="clear"/>
          </w:tcPr>
          <w:p>
            <w:r/>
            <w:r>
              <w:rPr>
                <w:rFonts w:ascii="Calibri" w:hAnsi="Calibri" w:eastAsia="Calibri"/>
                <w:b w:val="0"/>
                <w:i w:val="0"/>
                <w:color w:val="222222"/>
                <w:sz w:val="18"/>
              </w:rPr>
              <w:t>QDISC-0112</w:t>
            </w:r>
          </w:p>
        </w:tc>
        <w:tc>
          <w:tcPr>
            <w:tcW w:type="dxa" w:w="4896"/>
            <w:shd w:fill="F4F1EA" w:val="clear"/>
          </w:tcPr>
          <w:p>
            <w:r/>
            <w:r>
              <w:rPr>
                <w:rFonts w:ascii="Calibri" w:hAnsi="Calibri" w:eastAsia="Calibri"/>
                <w:b w:val="0"/>
                <w:i w:val="0"/>
                <w:color w:val="222222"/>
                <w:sz w:val="18"/>
              </w:rPr>
              <w:t>Do not take intimates from outside; you believe the Book all of it</w:t>
            </w:r>
          </w:p>
        </w:tc>
      </w:tr>
    </w:tbl>
    <w:p/>
    <w:p>
      <w:pPr>
        <w:pStyle w:val="Heading1"/>
      </w:pPr>
      <w:r>
        <w:rPr>
          <w:rFonts w:ascii="Calibri" w:hAnsi="Calibri"/>
          <w:color w:val="1B3A4B"/>
        </w:rPr>
        <w:t>21–22. Summary and next</w:t>
      </w:r>
    </w:p>
    <w:p>
      <w:pPr>
        <w:spacing w:after="160"/>
      </w:pPr>
      <w:r>
        <w:rPr>
          <w:rFonts w:ascii="Calibri" w:hAnsi="Calibri" w:eastAsia="Calibri"/>
          <w:b w:val="0"/>
          <w:i w:val="0"/>
          <w:color w:val="222222"/>
          <w:sz w:val="22"/>
        </w:rPr>
        <w:t>Bakka is named the first House. The Torah is challenged to be recited in public. “Best ummah” is a task, not a race, and is followed at once by “they are not alike.” 3:113 is a remaining open window toward righteous People of the Book after 3:85.</w:t>
      </w:r>
    </w:p>
    <w:p>
      <w:pPr>
        <w:spacing w:after="160"/>
      </w:pPr>
      <w:r>
        <w:rPr>
          <w:rFonts w:ascii="Calibri" w:hAnsi="Calibri" w:eastAsia="Calibri"/>
          <w:b w:val="0"/>
          <w:i w:val="0"/>
          <w:color w:val="222222"/>
          <w:sz w:val="22"/>
        </w:rPr>
        <w:t>Next: 3:121–148 or 3:121–179 (Uḥud cluster: the two groups, one-third turning back, the rumor the messenger was killed, those who died). Comparison to battle narratives is light; theology of defeat is the payload.</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 OOXML  ·  download from chat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FROZEN v1.0  ·  S003 CP04 vv092-120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S003 CP04 vv092-120</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