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3:121–148 (28 verses)</w:t>
      </w:r>
    </w:p>
    <w:p>
      <w:pPr>
        <w:spacing w:after="40"/>
      </w:pPr>
      <w:r>
        <w:rPr>
          <w:rFonts w:ascii="Calibri" w:hAnsi="Calibri" w:eastAsia="Calibri"/>
          <w:b/>
          <w:i w:val="0"/>
          <w:color w:val="1B3A4B"/>
          <w:sz w:val="22"/>
        </w:rPr>
        <w:t xml:space="preserve">Asbab tag: </w:t>
      </w:r>
      <w:r>
        <w:rPr>
          <w:rFonts w:ascii="Calibri" w:hAnsi="Calibri" w:eastAsia="Calibri"/>
          <w:b w:val="0"/>
          <w:i w:val="0"/>
          <w:color w:val="222222"/>
          <w:sz w:val="22"/>
        </w:rPr>
        <w:t>Uḥud is TRADITION for 121–128 and 139–148; Badr is NAMED in 3:123</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When you left your household at dawn posting the believers at stations for battle — God is hearing, knowing — when two parties among you were about to lose heart, though God was their walī. God had already helped you at Badr when you were lowly. When you said to the believers: is it not enough that your Lord reinforce you with three thousand angels sent down? Yes — if you endure and fear, and they come on you in this rush, your Lord will reinforce you with five thousand marked angels. God made it only as good news and so that your hearts be at rest; victory is only from God. That He might cut off a part of those who disbelieve or suppress them so they turn back disappointed. You have nothing of the matter; He turns to them or punishes them. To God belongs what is in the heavens and the earth; He forgives whom He wills and punishes whom He wills. O believers, do not eat ribā doubled and redoubled; fear God. Guard a Fire prepared for the kāfirīn. Obey God and the messenger that you may receive mercy. Race to forgiveness and a Garden as wide as the heavens and the earth prepared for the muttaqīn — who spend in ease and hardship, restrain rage, pardon people; God loves the muḥsinīn. Those who, when they do a fāḥisha or wrong themselves, remember God and ask forgiveness — and who forgives sins except God? — and do not persist. Their repayment: Gardens. Ways of practice have passed before you; travel in the land and see how the deniers ended. Do not weaken or grieve; you will be uppermost if you are believers. If a wound touches you, a like wound has touched the people. Those days We alternate among people so that God may know those who believe and take witnesses from you. God loves not the ẓālimīn. And that God may purge those who believe and wipe out the kāfirīn. Or did you think you would enter the Garden while God has not yet known those who struggle among you and those who endure? You were wishing for death before you met it; now you have seen it. Muḥammad is only a messenger; messengers have passed before him. If he dies or is killed, will you turn on your heels? Whoever turns on his heels will not harm God at all. God will repay the grateful. A soul does not die except by God’s leave, a named term. Whoever wants the reward of this world, We give him of it; whoever wants the reward of the hereafter, We give him of it. How many a prophet fought, with him many ribbiyyūn; they did not weaken for what hit them in God’s way, did not slacken, did not yield. Their only word was: our Lord forgive us our sins and our excess in our affair, make our feet firm, help us against the kāfir people. God gave them the reward of this world and the good reward of the hereafter.</w:t>
      </w:r>
    </w:p>
    <w:p>
      <w:pPr>
        <w:pStyle w:val="Heading1"/>
      </w:pPr>
      <w:r>
        <w:rPr>
          <w:rFonts w:ascii="Calibri" w:hAnsi="Calibri"/>
          <w:color w:val="1B3A4B"/>
        </w:rPr>
        <w:t>2–3. Investigation</w:t>
      </w:r>
    </w:p>
    <w:p>
      <w:pPr>
        <w:pStyle w:val="Heading2"/>
      </w:pPr>
      <w:r>
        <w:rPr>
          <w:rFonts w:ascii="Calibri" w:hAnsi="Calibri"/>
          <w:color w:val="1B3A4B"/>
        </w:rPr>
        <w:t>3:121–129 battle frame; Badr named; angels</w:t>
      </w:r>
    </w:p>
    <w:p>
      <w:pPr>
        <w:spacing w:after="160"/>
      </w:pPr>
      <w:r>
        <w:rPr>
          <w:rFonts w:ascii="Calibri" w:hAnsi="Calibri" w:eastAsia="Calibri"/>
          <w:b w:val="0"/>
          <w:i w:val="0"/>
          <w:color w:val="222222"/>
          <w:sz w:val="22"/>
        </w:rPr>
        <w:t>Dawn posting; two parties about to fail; God their walī. Badr is the named prior help when they were low. Angel-reinforcement: 3,000 sent down; 5,000 marked if they endure and the enemy comes at once. The reinforcement is good news and heart-calm; naṣr is only from God. Cut off / suppress a portion of the disbelievers. You have nothing of the matter — He turns or punishes.</w:t>
      </w:r>
    </w:p>
    <w:p>
      <w:pPr>
        <w:spacing w:after="160"/>
      </w:pPr>
      <w:r>
        <w:rPr>
          <w:rFonts w:ascii="Calibri" w:hAnsi="Calibri" w:eastAsia="Calibri"/>
          <w:b w:val="0"/>
          <w:i w:val="0"/>
          <w:color w:val="222222"/>
          <w:sz w:val="22"/>
        </w:rPr>
        <w:t>Uḥud as the occasion of 121–122 is asbāb (Bani Ḥārithah / Bani Salama in the reports). Level 1 does not name Uḥud. Badr is Level 1. Angel-counts are Level 1; identifying Gabriel or colored turbans is Level 4.</w:t>
      </w:r>
    </w:p>
    <w:p>
      <w:pPr>
        <w:spacing w:after="160"/>
      </w:pPr>
      <w:r>
        <w:rPr>
          <w:rFonts w:ascii="Calibri" w:hAnsi="Calibri" w:eastAsia="Calibri"/>
          <w:b w:val="0"/>
          <w:i w:val="0"/>
          <w:color w:val="222222"/>
          <w:sz w:val="22"/>
        </w:rPr>
        <w:t>QB-0079: PARTIAL AGREEMENT with HB / NT war-help from heaven (2 Kgs 6:17; 19:35; Matt 26:53 twelve legions). Numbers and “marked” angels are this text’s own.</w:t>
      </w:r>
    </w:p>
    <w:p>
      <w:pPr>
        <w:pStyle w:val="Heading2"/>
      </w:pPr>
      <w:r>
        <w:rPr>
          <w:rFonts w:ascii="Calibri" w:hAnsi="Calibri"/>
          <w:color w:val="1B3A4B"/>
        </w:rPr>
        <w:t>3:130–138 ethics dropped into the battle file</w:t>
      </w:r>
    </w:p>
    <w:p>
      <w:pPr>
        <w:spacing w:after="160"/>
      </w:pPr>
      <w:r>
        <w:rPr>
          <w:rFonts w:ascii="Calibri" w:hAnsi="Calibri" w:eastAsia="Calibri"/>
          <w:b w:val="0"/>
          <w:i w:val="0"/>
          <w:color w:val="222222"/>
          <w:sz w:val="22"/>
        </w:rPr>
        <w:t>Ribā doubled and redoubled — a second ribā hit after 2:275. Fire prepared for kāfirīn. Obey God and the messenger. Race to a Garden wide as heavens and earth. Spend in ease and hardship; restrain ghayẓ; pardon people. When they do a fāḥisha or wrong themselves they remember God and ask forgiveness and do not persist. Travel and see the end of deniers. Do not weaken; you will be uppermost if you believe.</w:t>
      </w:r>
    </w:p>
    <w:p>
      <w:pPr>
        <w:pStyle w:val="Heading2"/>
      </w:pPr>
      <w:r>
        <w:rPr>
          <w:rFonts w:ascii="Calibri" w:hAnsi="Calibri"/>
          <w:color w:val="1B3A4B"/>
        </w:rPr>
        <w:t>3:140–143 days alternated; Garden not cheap</w:t>
      </w:r>
    </w:p>
    <w:p>
      <w:pPr>
        <w:spacing w:after="160"/>
      </w:pPr>
      <w:r>
        <w:rPr>
          <w:rFonts w:ascii="Calibri" w:hAnsi="Calibri" w:eastAsia="Calibri"/>
          <w:b w:val="0"/>
          <w:i w:val="0"/>
          <w:color w:val="222222"/>
          <w:sz w:val="22"/>
        </w:rPr>
        <w:t>If a wound touches you, a like wound touched them. Days are rotated among people so God may know the believers and take shuhadāʾ, purge the believers, wipe out the kāfirīn. Did you think you would enter the Garden before struggle and ṣabr were known? You wished for death before you met it; now you have seen it. Same theology as 2:214.</w:t>
      </w:r>
    </w:p>
    <w:p>
      <w:pPr>
        <w:pStyle w:val="Heading2"/>
      </w:pPr>
      <w:r>
        <w:rPr>
          <w:rFonts w:ascii="Calibri" w:hAnsi="Calibri"/>
          <w:color w:val="1B3A4B"/>
        </w:rPr>
        <w:t>3:144 Muḥammad is only a messenger</w:t>
      </w:r>
    </w:p>
    <w:p>
      <w:pPr>
        <w:spacing w:after="160"/>
      </w:pPr>
      <w:r>
        <w:rPr>
          <w:rFonts w:ascii="Calibri" w:hAnsi="Calibri" w:eastAsia="Calibri"/>
          <w:b w:val="0"/>
          <w:i w:val="0"/>
          <w:color w:val="222222"/>
          <w:sz w:val="22"/>
        </w:rPr>
        <w:t>Wa-mā Muḥammadun illā rasūlun qad khalat min qablihi l-rusul. If he dies or is killed, will you turn on your heels? Turning does not harm God. Grateful are repaid. A soul dies only by God’s leave, a named term.</w:t>
      </w:r>
    </w:p>
    <w:p>
      <w:pPr>
        <w:spacing w:after="160"/>
      </w:pPr>
      <w:r>
        <w:rPr>
          <w:rFonts w:ascii="Calibri" w:hAnsi="Calibri" w:eastAsia="Calibri"/>
          <w:b w:val="0"/>
          <w:i w:val="0"/>
          <w:color w:val="222222"/>
          <w:sz w:val="22"/>
        </w:rPr>
        <w:t>First occurrence of the proper name Muḥammad in this surah (the other Quranic namings are 33:40, 47:2, 48:29). The sentence is a mortality-and-succession verse: messengers pass; the message does not. Asbāb: rumor at Uḥud that he had been killed. Later recitation at his actual death is TRADITION (Abū Bakr). Level 1 is the sentence itself.</w:t>
      </w:r>
    </w:p>
    <w:p>
      <w:pPr>
        <w:spacing w:after="160"/>
      </w:pPr>
      <w:r>
        <w:rPr>
          <w:rFonts w:ascii="Calibri" w:hAnsi="Calibri" w:eastAsia="Calibri"/>
          <w:b w:val="0"/>
          <w:i w:val="0"/>
          <w:color w:val="222222"/>
          <w:sz w:val="22"/>
        </w:rPr>
        <w:t>QB-0080: PARTIAL AGREEMENT with the biblical pattern that prophets die and the word continues (Moses in Deut 34; “not to us but to your name” logic). CONTRAST with high-Christology claims that the central figure’s death is itself the saving act — here the feared death is a test of whether the community turns on its heels, not a claimed atonement.</w:t>
      </w:r>
    </w:p>
    <w:p>
      <w:pPr>
        <w:pStyle w:val="Heading2"/>
      </w:pPr>
      <w:r>
        <w:rPr>
          <w:rFonts w:ascii="Calibri" w:hAnsi="Calibri"/>
          <w:color w:val="1B3A4B"/>
        </w:rPr>
        <w:t>3:146–148 prophets who fought with ribbiyyūn</w:t>
      </w:r>
    </w:p>
    <w:p>
      <w:pPr>
        <w:spacing w:after="160"/>
      </w:pPr>
      <w:r>
        <w:rPr>
          <w:rFonts w:ascii="Calibri" w:hAnsi="Calibri" w:eastAsia="Calibri"/>
          <w:b w:val="0"/>
          <w:i w:val="0"/>
          <w:color w:val="222222"/>
          <w:sz w:val="22"/>
        </w:rPr>
        <w:t>Many a prophet fought, and with him large numbers of devoted men. They did not weaken at what hit them. Their word: forgive our sins and our excess; make our feet firm; help us. God gave world-reward and the good hereafter-reward. The Quran here assumes fighting prophets as a known class. Which HB figures count is tafsir (Moses, David, etc.).</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Badr</w:t>
            </w:r>
          </w:p>
        </w:tc>
        <w:tc>
          <w:tcPr>
            <w:tcW w:type="dxa" w:w="4896"/>
          </w:tcPr>
          <w:p>
            <w:r/>
            <w:r>
              <w:rPr>
                <w:rFonts w:ascii="Calibri" w:hAnsi="Calibri" w:eastAsia="Calibri"/>
                <w:b w:val="0"/>
                <w:i w:val="0"/>
                <w:color w:val="222222"/>
                <w:sz w:val="18"/>
              </w:rPr>
              <w:t>named prior victory when they were low</w:t>
            </w:r>
          </w:p>
        </w:tc>
      </w:tr>
      <w:tr>
        <w:tc>
          <w:tcPr>
            <w:tcW w:type="dxa" w:w="4896"/>
            <w:shd w:fill="F4F1EA" w:val="clear"/>
          </w:tcPr>
          <w:p>
            <w:r/>
            <w:r>
              <w:rPr>
                <w:rFonts w:ascii="Calibri" w:hAnsi="Calibri" w:eastAsia="Calibri"/>
                <w:b w:val="0"/>
                <w:i w:val="0"/>
                <w:color w:val="222222"/>
                <w:sz w:val="18"/>
              </w:rPr>
              <w:t>3000 / 5000 angels</w:t>
            </w:r>
          </w:p>
        </w:tc>
        <w:tc>
          <w:tcPr>
            <w:tcW w:type="dxa" w:w="4896"/>
            <w:shd w:fill="F4F1EA" w:val="clear"/>
          </w:tcPr>
          <w:p>
            <w:r/>
            <w:r>
              <w:rPr>
                <w:rFonts w:ascii="Calibri" w:hAnsi="Calibri" w:eastAsia="Calibri"/>
                <w:b w:val="0"/>
                <w:i w:val="0"/>
                <w:color w:val="222222"/>
                <w:sz w:val="18"/>
              </w:rPr>
              <w:t>Level 1 counts; identities extra</w:t>
            </w:r>
          </w:p>
        </w:tc>
      </w:tr>
      <w:tr>
        <w:tc>
          <w:tcPr>
            <w:tcW w:type="dxa" w:w="4896"/>
          </w:tcPr>
          <w:p>
            <w:r/>
            <w:r>
              <w:rPr>
                <w:rFonts w:ascii="Calibri" w:hAnsi="Calibri" w:eastAsia="Calibri"/>
                <w:b w:val="0"/>
                <w:i w:val="0"/>
                <w:color w:val="222222"/>
                <w:sz w:val="18"/>
              </w:rPr>
              <w:t>laysa laka min al-amr shay'</w:t>
            </w:r>
          </w:p>
        </w:tc>
        <w:tc>
          <w:tcPr>
            <w:tcW w:type="dxa" w:w="4896"/>
          </w:tcPr>
          <w:p>
            <w:r/>
            <w:r>
              <w:rPr>
                <w:rFonts w:ascii="Calibri" w:hAnsi="Calibri" w:eastAsia="Calibri"/>
                <w:b w:val="0"/>
                <w:i w:val="0"/>
                <w:color w:val="222222"/>
                <w:sz w:val="18"/>
              </w:rPr>
              <w:t>you have nothing of the matter</w:t>
            </w:r>
          </w:p>
        </w:tc>
      </w:tr>
      <w:tr>
        <w:tc>
          <w:tcPr>
            <w:tcW w:type="dxa" w:w="4896"/>
            <w:shd w:fill="F4F1EA" w:val="clear"/>
          </w:tcPr>
          <w:p>
            <w:r/>
            <w:r>
              <w:rPr>
                <w:rFonts w:ascii="Calibri" w:hAnsi="Calibri" w:eastAsia="Calibri"/>
                <w:b w:val="0"/>
                <w:i w:val="0"/>
                <w:color w:val="222222"/>
                <w:sz w:val="18"/>
              </w:rPr>
              <w:t>Muhammadun illa rasul</w:t>
            </w:r>
          </w:p>
        </w:tc>
        <w:tc>
          <w:tcPr>
            <w:tcW w:type="dxa" w:w="4896"/>
            <w:shd w:fill="F4F1EA" w:val="clear"/>
          </w:tcPr>
          <w:p>
            <w:r/>
            <w:r>
              <w:rPr>
                <w:rFonts w:ascii="Calibri" w:hAnsi="Calibri" w:eastAsia="Calibri"/>
                <w:b w:val="0"/>
                <w:i w:val="0"/>
                <w:color w:val="222222"/>
                <w:sz w:val="18"/>
              </w:rPr>
              <w:t>Muhammad is only a messenger</w:t>
            </w:r>
          </w:p>
        </w:tc>
      </w:tr>
      <w:tr>
        <w:tc>
          <w:tcPr>
            <w:tcW w:type="dxa" w:w="4896"/>
          </w:tcPr>
          <w:p>
            <w:r/>
            <w:r>
              <w:rPr>
                <w:rFonts w:ascii="Calibri" w:hAnsi="Calibri" w:eastAsia="Calibri"/>
                <w:b w:val="0"/>
                <w:i w:val="0"/>
                <w:color w:val="222222"/>
                <w:sz w:val="18"/>
              </w:rPr>
              <w:t>ribbiyyun</w:t>
            </w:r>
          </w:p>
        </w:tc>
        <w:tc>
          <w:tcPr>
            <w:tcW w:type="dxa" w:w="4896"/>
          </w:tcPr>
          <w:p>
            <w:r/>
            <w:r>
              <w:rPr>
                <w:rFonts w:ascii="Calibri" w:hAnsi="Calibri" w:eastAsia="Calibri"/>
                <w:b w:val="0"/>
                <w:i w:val="0"/>
                <w:color w:val="222222"/>
                <w:sz w:val="18"/>
              </w:rPr>
              <w:t>large devoted bands with earlier prophets</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QB-0079</w:t>
            </w:r>
          </w:p>
        </w:tc>
        <w:tc>
          <w:tcPr>
            <w:tcW w:type="dxa" w:w="3264"/>
          </w:tcPr>
          <w:p>
            <w:r/>
            <w:r>
              <w:rPr>
                <w:rFonts w:ascii="Calibri" w:hAnsi="Calibri" w:eastAsia="Calibri"/>
                <w:b w:val="0"/>
                <w:i w:val="0"/>
                <w:color w:val="222222"/>
                <w:sz w:val="18"/>
              </w:rPr>
              <w:t>Angelic reinforcement</w:t>
            </w:r>
          </w:p>
        </w:tc>
        <w:tc>
          <w:tcPr>
            <w:tcW w:type="dxa" w:w="3264"/>
          </w:tcPr>
          <w:p>
            <w:r/>
            <w:r>
              <w:rPr>
                <w:rFonts w:ascii="Calibri" w:hAnsi="Calibri" w:eastAsia="Calibri"/>
                <w:b w:val="0"/>
                <w:i w:val="0"/>
                <w:color w:val="222222"/>
                <w:sz w:val="18"/>
              </w:rPr>
              <w:t>PARTIAL AGREEMENT with heavenly-host war help</w:t>
            </w:r>
          </w:p>
        </w:tc>
      </w:tr>
      <w:tr>
        <w:tc>
          <w:tcPr>
            <w:tcW w:type="dxa" w:w="3264"/>
            <w:shd w:fill="F4F1EA" w:val="clear"/>
          </w:tcPr>
          <w:p>
            <w:r/>
            <w:r>
              <w:rPr>
                <w:rFonts w:ascii="Calibri" w:hAnsi="Calibri" w:eastAsia="Calibri"/>
                <w:b w:val="0"/>
                <w:i w:val="0"/>
                <w:color w:val="222222"/>
                <w:sz w:val="18"/>
              </w:rPr>
              <w:t>QB-0080</w:t>
            </w:r>
          </w:p>
        </w:tc>
        <w:tc>
          <w:tcPr>
            <w:tcW w:type="dxa" w:w="3264"/>
            <w:shd w:fill="F4F1EA" w:val="clear"/>
          </w:tcPr>
          <w:p>
            <w:r/>
            <w:r>
              <w:rPr>
                <w:rFonts w:ascii="Calibri" w:hAnsi="Calibri" w:eastAsia="Calibri"/>
                <w:b w:val="0"/>
                <w:i w:val="0"/>
                <w:color w:val="222222"/>
                <w:sz w:val="18"/>
              </w:rPr>
              <w:t>Messenger dies; community must not turn</w:t>
            </w:r>
          </w:p>
        </w:tc>
        <w:tc>
          <w:tcPr>
            <w:tcW w:type="dxa" w:w="3264"/>
            <w:shd w:fill="F4F1EA" w:val="clear"/>
          </w:tcPr>
          <w:p>
            <w:r/>
            <w:r>
              <w:rPr>
                <w:rFonts w:ascii="Calibri" w:hAnsi="Calibri" w:eastAsia="Calibri"/>
                <w:b w:val="0"/>
                <w:i w:val="0"/>
                <w:color w:val="222222"/>
                <w:sz w:val="18"/>
              </w:rPr>
              <w:t>PARTIAL AGREEMENT that prophets pass; CONTRAST with atonement-death as the point</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QDISC-0113</w:t>
            </w:r>
          </w:p>
        </w:tc>
        <w:tc>
          <w:tcPr>
            <w:tcW w:type="dxa" w:w="4896"/>
          </w:tcPr>
          <w:p>
            <w:r/>
            <w:r>
              <w:rPr>
                <w:rFonts w:ascii="Calibri" w:hAnsi="Calibri" w:eastAsia="Calibri"/>
                <w:b w:val="0"/>
                <w:i w:val="0"/>
                <w:color w:val="222222"/>
                <w:sz w:val="18"/>
              </w:rPr>
              <w:t>Dawn posting; two parties falter; Badr help; 3000/5000 angels</w:t>
            </w:r>
          </w:p>
        </w:tc>
      </w:tr>
      <w:tr>
        <w:tc>
          <w:tcPr>
            <w:tcW w:type="dxa" w:w="4896"/>
            <w:shd w:fill="F4F1EA" w:val="clear"/>
          </w:tcPr>
          <w:p>
            <w:r/>
            <w:r>
              <w:rPr>
                <w:rFonts w:ascii="Calibri" w:hAnsi="Calibri" w:eastAsia="Calibri"/>
                <w:b w:val="0"/>
                <w:i w:val="0"/>
                <w:color w:val="222222"/>
                <w:sz w:val="18"/>
              </w:rPr>
              <w:t>QDISC-0114</w:t>
            </w:r>
          </w:p>
        </w:tc>
        <w:tc>
          <w:tcPr>
            <w:tcW w:type="dxa" w:w="4896"/>
            <w:shd w:fill="F4F1EA" w:val="clear"/>
          </w:tcPr>
          <w:p>
            <w:r/>
            <w:r>
              <w:rPr>
                <w:rFonts w:ascii="Calibri" w:hAnsi="Calibri" w:eastAsia="Calibri"/>
                <w:b w:val="0"/>
                <w:i w:val="0"/>
                <w:color w:val="222222"/>
                <w:sz w:val="18"/>
              </w:rPr>
              <w:t>You have nothing of the matter; doubled riba banned again</w:t>
            </w:r>
          </w:p>
        </w:tc>
      </w:tr>
      <w:tr>
        <w:tc>
          <w:tcPr>
            <w:tcW w:type="dxa" w:w="4896"/>
          </w:tcPr>
          <w:p>
            <w:r/>
            <w:r>
              <w:rPr>
                <w:rFonts w:ascii="Calibri" w:hAnsi="Calibri" w:eastAsia="Calibri"/>
                <w:b w:val="0"/>
                <w:i w:val="0"/>
                <w:color w:val="222222"/>
                <w:sz w:val="18"/>
              </w:rPr>
              <w:t>QDISC-0115</w:t>
            </w:r>
          </w:p>
        </w:tc>
        <w:tc>
          <w:tcPr>
            <w:tcW w:type="dxa" w:w="4896"/>
          </w:tcPr>
          <w:p>
            <w:r/>
            <w:r>
              <w:rPr>
                <w:rFonts w:ascii="Calibri" w:hAnsi="Calibri" w:eastAsia="Calibri"/>
                <w:b w:val="0"/>
                <w:i w:val="0"/>
                <w:color w:val="222222"/>
                <w:sz w:val="18"/>
              </w:rPr>
              <w:t>Garden after spend, restrained rage, pardon, tawba without persistence</w:t>
            </w:r>
          </w:p>
        </w:tc>
      </w:tr>
      <w:tr>
        <w:tc>
          <w:tcPr>
            <w:tcW w:type="dxa" w:w="4896"/>
            <w:shd w:fill="F4F1EA" w:val="clear"/>
          </w:tcPr>
          <w:p>
            <w:r/>
            <w:r>
              <w:rPr>
                <w:rFonts w:ascii="Calibri" w:hAnsi="Calibri" w:eastAsia="Calibri"/>
                <w:b w:val="0"/>
                <w:i w:val="0"/>
                <w:color w:val="222222"/>
                <w:sz w:val="18"/>
              </w:rPr>
              <w:t>QDISC-0116</w:t>
            </w:r>
          </w:p>
        </w:tc>
        <w:tc>
          <w:tcPr>
            <w:tcW w:type="dxa" w:w="4896"/>
            <w:shd w:fill="F4F1EA" w:val="clear"/>
          </w:tcPr>
          <w:p>
            <w:r/>
            <w:r>
              <w:rPr>
                <w:rFonts w:ascii="Calibri" w:hAnsi="Calibri" w:eastAsia="Calibri"/>
                <w:b w:val="0"/>
                <w:i w:val="0"/>
                <w:color w:val="222222"/>
                <w:sz w:val="18"/>
              </w:rPr>
              <w:t>Days rotated; Garden not before struggle is known</w:t>
            </w:r>
          </w:p>
        </w:tc>
      </w:tr>
      <w:tr>
        <w:tc>
          <w:tcPr>
            <w:tcW w:type="dxa" w:w="4896"/>
          </w:tcPr>
          <w:p>
            <w:r/>
            <w:r>
              <w:rPr>
                <w:rFonts w:ascii="Calibri" w:hAnsi="Calibri" w:eastAsia="Calibri"/>
                <w:b w:val="0"/>
                <w:i w:val="0"/>
                <w:color w:val="222222"/>
                <w:sz w:val="18"/>
              </w:rPr>
              <w:t>QDISC-0117</w:t>
            </w:r>
          </w:p>
        </w:tc>
        <w:tc>
          <w:tcPr>
            <w:tcW w:type="dxa" w:w="4896"/>
          </w:tcPr>
          <w:p>
            <w:r/>
            <w:r>
              <w:rPr>
                <w:rFonts w:ascii="Calibri" w:hAnsi="Calibri" w:eastAsia="Calibri"/>
                <w:b w:val="0"/>
                <w:i w:val="0"/>
                <w:color w:val="222222"/>
                <w:sz w:val="18"/>
              </w:rPr>
              <w:t>Muhammad is only a messenger; if he dies or is killed do not turn on your heels</w:t>
            </w:r>
          </w:p>
        </w:tc>
      </w:tr>
      <w:tr>
        <w:tc>
          <w:tcPr>
            <w:tcW w:type="dxa" w:w="4896"/>
            <w:shd w:fill="F4F1EA" w:val="clear"/>
          </w:tcPr>
          <w:p>
            <w:r/>
            <w:r>
              <w:rPr>
                <w:rFonts w:ascii="Calibri" w:hAnsi="Calibri" w:eastAsia="Calibri"/>
                <w:b w:val="0"/>
                <w:i w:val="0"/>
                <w:color w:val="222222"/>
                <w:sz w:val="18"/>
              </w:rPr>
              <w:t>QDISC-0118</w:t>
            </w:r>
          </w:p>
        </w:tc>
        <w:tc>
          <w:tcPr>
            <w:tcW w:type="dxa" w:w="4896"/>
            <w:shd w:fill="F4F1EA" w:val="clear"/>
          </w:tcPr>
          <w:p>
            <w:r/>
            <w:r>
              <w:rPr>
                <w:rFonts w:ascii="Calibri" w:hAnsi="Calibri" w:eastAsia="Calibri"/>
                <w:b w:val="0"/>
                <w:i w:val="0"/>
                <w:color w:val="222222"/>
                <w:sz w:val="18"/>
              </w:rPr>
              <w:t>Prophets fought with devoted bands; they did not weaken</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Badr is named. Uḥud is the traditional frame. The theological payload is 3:144: the named messenger is mortal; turning on the heels after his death would not harm God. Angels calm the heart; victory is God’s.</w:t>
      </w:r>
    </w:p>
    <w:p>
      <w:pPr>
        <w:spacing w:after="160"/>
      </w:pPr>
      <w:r>
        <w:rPr>
          <w:rFonts w:ascii="Calibri" w:hAnsi="Calibri" w:eastAsia="Calibri"/>
          <w:b w:val="0"/>
          <w:i w:val="0"/>
          <w:color w:val="222222"/>
          <w:sz w:val="22"/>
        </w:rPr>
        <w:t>Next: 3:149–180 (Satan frightens his allies; Uhud post-mortem: they went for the gains; a security-sleep; rumor; those who stayed). Then 3:181–200 closes the surah.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CP05 vv121-148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CP05 vv121-148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